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1348-2022-EnMs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任丘市振华防腐材料有限公司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2"/>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2023年01月09日 上午至2023年01月09日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r>
              <w:rPr>
                <w:rFonts w:hint="eastAsia" w:ascii="宋体" w:hAnsi="宋体"/>
                <w:b/>
                <w:color w:val="000000"/>
                <w:szCs w:val="21"/>
                <w:lang w:val="de-DE" w:eastAsia="zh-CN"/>
              </w:rPr>
              <w:t>☑</w:t>
            </w:r>
            <w:r>
              <w:rPr>
                <w:rFonts w:hint="eastAsia" w:ascii="宋体" w:hAnsi="宋体"/>
                <w:b/>
                <w:color w:val="000000"/>
                <w:szCs w:val="21"/>
              </w:rPr>
              <w:t>能源认证标准</w:t>
            </w:r>
            <w:r>
              <w:rPr>
                <w:rFonts w:hint="eastAsia" w:ascii="宋体" w:hAnsi="宋体"/>
                <w:b/>
                <w:color w:val="000000"/>
                <w:szCs w:val="21"/>
                <w:lang w:val="de-DE"/>
              </w:rPr>
              <w:t>：</w:t>
            </w:r>
            <w:r>
              <w:rPr>
                <w:rFonts w:hint="eastAsia" w:ascii="宋体" w:hAnsi="宋体"/>
                <w:b/>
                <w:sz w:val="21"/>
                <w:szCs w:val="21"/>
              </w:rPr>
              <w:t>RB/T</w:t>
            </w:r>
            <w:r>
              <w:rPr>
                <w:rFonts w:hint="eastAsia" w:ascii="宋体" w:hAnsi="宋体"/>
                <w:b/>
                <w:sz w:val="21"/>
                <w:szCs w:val="21"/>
                <w:lang w:val="en-US" w:eastAsia="zh-CN"/>
              </w:rPr>
              <w:t>109-2013</w:t>
            </w:r>
            <w:r>
              <w:rPr>
                <w:rFonts w:hint="eastAsia" w:ascii="宋体" w:hAnsi="宋体"/>
                <w:b/>
                <w:sz w:val="21"/>
                <w:szCs w:val="21"/>
              </w:rPr>
              <w:t xml:space="preserve"> </w:t>
            </w:r>
            <w:r>
              <w:rPr>
                <w:rFonts w:hint="eastAsia" w:ascii="宋体" w:hAnsi="宋体"/>
                <w:b/>
                <w:sz w:val="21"/>
                <w:szCs w:val="21"/>
                <w:lang w:val="en-US" w:eastAsia="zh-CN"/>
              </w:rPr>
              <w:t>能源管理体系</w:t>
            </w:r>
            <w:r>
              <w:rPr>
                <w:rFonts w:hint="eastAsia" w:ascii="宋体" w:hAnsi="宋体"/>
                <w:b/>
                <w:sz w:val="21"/>
                <w:szCs w:val="21"/>
              </w:rPr>
              <w:t xml:space="preserve"> </w:t>
            </w:r>
            <w:r>
              <w:rPr>
                <w:rFonts w:hint="eastAsia" w:ascii="宋体" w:hAnsi="宋体"/>
                <w:b/>
                <w:sz w:val="21"/>
                <w:szCs w:val="21"/>
                <w:lang w:val="en-US" w:eastAsia="zh-CN"/>
              </w:rPr>
              <w:t>人造板及木制品企业认证要求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r>
              <w:rPr>
                <w:rFonts w:hint="eastAsia" w:ascii="宋体"/>
                <w:b/>
                <w:color w:val="000000"/>
                <w:szCs w:val="21"/>
                <w:lang w:eastAsia="zh-CN"/>
              </w:rPr>
              <w:t>☑</w:t>
            </w:r>
            <w:r>
              <w:rPr>
                <w:rFonts w:hint="eastAsia" w:ascii="宋体"/>
                <w:b/>
                <w:color w:val="000000"/>
                <w:szCs w:val="21"/>
              </w:rPr>
              <w:t>现场</w:t>
            </w:r>
            <w:r>
              <w:rPr>
                <w:rFonts w:hint="eastAsia" w:ascii="宋体"/>
                <w:b/>
                <w:color w:val="000000"/>
                <w:szCs w:val="21"/>
                <w:lang w:val="en-US" w:eastAsia="zh-CN"/>
              </w:rPr>
              <w:t>结合远程</w:t>
            </w:r>
            <w:r>
              <w:rPr>
                <w:rFonts w:hint="eastAsia" w:ascii="宋体"/>
                <w:b/>
                <w:color w:val="000000"/>
                <w:szCs w:val="21"/>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任丘市麻家坞镇孟家庄村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2"/>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rFonts w:hint="eastAsia" w:eastAsia="宋体"/>
                <w:szCs w:val="21"/>
                <w:lang w:val="en-US" w:eastAsia="zh-CN"/>
              </w:rPr>
            </w:pPr>
            <w:r>
              <w:rPr>
                <w:szCs w:val="21"/>
              </w:rPr>
              <w:t>组长</w:t>
            </w:r>
            <w:r>
              <w:rPr>
                <w:rFonts w:hint="eastAsia"/>
                <w:szCs w:val="21"/>
                <w:lang w:val="en-US" w:eastAsia="zh-CN"/>
              </w:rPr>
              <w:t>A</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r>
              <w:rPr>
                <w:b/>
                <w:color w:val="000000"/>
                <w:szCs w:val="21"/>
              </w:rPr>
              <w:t>2.4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宋翠琳</w:t>
            </w:r>
          </w:p>
        </w:tc>
        <w:tc>
          <w:tcPr>
            <w:tcW w:w="1089" w:type="dxa"/>
            <w:vAlign w:val="center"/>
          </w:tcPr>
          <w:p>
            <w:pPr>
              <w:spacing w:line="240" w:lineRule="exact"/>
              <w:jc w:val="center"/>
              <w:rPr>
                <w:rFonts w:hint="eastAsia" w:eastAsia="宋体"/>
                <w:szCs w:val="21"/>
                <w:lang w:val="en-US" w:eastAsia="zh-CN"/>
              </w:rPr>
            </w:pPr>
            <w:r>
              <w:rPr>
                <w:szCs w:val="21"/>
              </w:rPr>
              <w:t>组员</w:t>
            </w:r>
            <w:r>
              <w:rPr>
                <w:rFonts w:hint="eastAsia"/>
                <w:szCs w:val="21"/>
                <w:lang w:val="en-US" w:eastAsia="zh-CN"/>
              </w:rPr>
              <w:t>B</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2022-N1EnMS-1082241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任丘市振华防腐材料有限公司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任丘市麻家坞镇孟家庄村</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062550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任丘市麻家坞镇孟家庄村</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062550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张戈</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18633493932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王建光</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r>
              <w:rPr>
                <w:rFonts w:hint="eastAsia" w:ascii="宋体"/>
                <w:b/>
                <w:color w:val="000000"/>
                <w:szCs w:val="21"/>
                <w:lang w:val="en-US" w:eastAsia="zh-CN"/>
              </w:rPr>
              <w:t>王建光</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防腐木杆</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val="0"/>
                <w:bCs/>
                <w:sz w:val="20"/>
                <w:lang w:val="en-US" w:eastAsia="zh-CN"/>
              </w:rPr>
              <w:t>原木—剥皮—风干—浸油—出罐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t>防腐木杆生产所涉及的能源管理活动</w:t>
            </w:r>
            <w:bookmarkEnd w:id="31"/>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2"/>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16"/>
        <w:gridCol w:w="1540"/>
        <w:gridCol w:w="590"/>
        <w:gridCol w:w="1980"/>
        <w:gridCol w:w="216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116"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4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59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1980"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2160"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859"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16" w:type="dxa"/>
          </w:tcPr>
          <w:p>
            <w:pPr>
              <w:spacing w:before="40" w:after="40"/>
              <w:rPr>
                <w:rFonts w:hint="eastAsia" w:eastAsia="宋体"/>
                <w:szCs w:val="21"/>
                <w:lang w:val="en-US" w:eastAsia="zh-CN"/>
              </w:rPr>
            </w:pPr>
            <w:r>
              <w:rPr>
                <w:sz w:val="21"/>
                <w:szCs w:val="21"/>
              </w:rPr>
              <w:t>任丘市振华防腐材料有限公司</w:t>
            </w:r>
            <w:r>
              <w:rPr>
                <w:rFonts w:hint="eastAsia"/>
                <w:sz w:val="21"/>
                <w:szCs w:val="21"/>
                <w:lang w:val="en-US" w:eastAsia="zh-CN"/>
              </w:rPr>
              <w:t>/</w:t>
            </w:r>
            <w:r>
              <w:rPr>
                <w:sz w:val="21"/>
                <w:szCs w:val="21"/>
              </w:rPr>
              <w:t>任丘市麻家坞镇孟家庄村</w:t>
            </w:r>
          </w:p>
        </w:tc>
        <w:tc>
          <w:tcPr>
            <w:tcW w:w="1540" w:type="dxa"/>
          </w:tcPr>
          <w:p>
            <w:pPr>
              <w:spacing w:before="40" w:after="40"/>
              <w:rPr>
                <w:rFonts w:eastAsia="黑体"/>
                <w:szCs w:val="21"/>
                <w:lang w:val="de-DE" w:eastAsia="ja-JP"/>
              </w:rPr>
            </w:pPr>
            <w:r>
              <w:rPr>
                <w:sz w:val="21"/>
                <w:szCs w:val="21"/>
              </w:rPr>
              <w:t>任丘市麻家坞镇孟家庄村</w:t>
            </w:r>
          </w:p>
        </w:tc>
        <w:tc>
          <w:tcPr>
            <w:tcW w:w="590" w:type="dxa"/>
            <w:vAlign w:val="center"/>
          </w:tcPr>
          <w:p>
            <w:pPr>
              <w:spacing w:before="40" w:after="40"/>
              <w:rPr>
                <w:rFonts w:hint="default" w:eastAsia="黑体"/>
                <w:szCs w:val="21"/>
                <w:lang w:val="en-US" w:eastAsia="zh-CN"/>
              </w:rPr>
            </w:pPr>
            <w:r>
              <w:rPr>
                <w:rFonts w:hint="eastAsia" w:eastAsia="黑体"/>
                <w:szCs w:val="21"/>
                <w:lang w:val="en-US" w:eastAsia="zh-CN"/>
              </w:rPr>
              <w:t>25人</w:t>
            </w:r>
          </w:p>
        </w:tc>
        <w:tc>
          <w:tcPr>
            <w:tcW w:w="1980" w:type="dxa"/>
            <w:vAlign w:val="center"/>
          </w:tcPr>
          <w:p>
            <w:pPr>
              <w:pStyle w:val="23"/>
              <w:rPr>
                <w:rFonts w:eastAsia="黑体" w:cs="Arial"/>
                <w:sz w:val="21"/>
                <w:szCs w:val="21"/>
                <w:lang w:val="en-US" w:eastAsia="ja-JP"/>
              </w:rPr>
            </w:pPr>
            <w:r>
              <w:t>防腐木杆生产所涉及的能源管理活动</w:t>
            </w:r>
          </w:p>
        </w:tc>
        <w:tc>
          <w:tcPr>
            <w:tcW w:w="2160" w:type="dxa"/>
            <w:vAlign w:val="center"/>
          </w:tcPr>
          <w:p>
            <w:pPr>
              <w:spacing w:before="40" w:after="40"/>
              <w:rPr>
                <w:rFonts w:eastAsia="黑体"/>
                <w:szCs w:val="21"/>
                <w:lang w:eastAsia="ja-JP"/>
              </w:rPr>
            </w:pPr>
            <w:r>
              <w:rPr>
                <w:rFonts w:hint="eastAsia" w:ascii="宋体" w:hAnsi="宋体"/>
                <w:b w:val="0"/>
                <w:bCs/>
                <w:sz w:val="21"/>
                <w:szCs w:val="21"/>
              </w:rPr>
              <w:t>GB/T 23331-2020/ISO50001：2018标准</w:t>
            </w:r>
            <w:r>
              <w:rPr>
                <w:rFonts w:hint="eastAsia" w:ascii="宋体" w:hAnsi="宋体"/>
                <w:b w:val="0"/>
                <w:bCs/>
                <w:sz w:val="21"/>
                <w:szCs w:val="21"/>
                <w:lang w:eastAsia="zh-CN"/>
              </w:rPr>
              <w:t>☑</w:t>
            </w:r>
            <w:r>
              <w:rPr>
                <w:rFonts w:hint="eastAsia" w:ascii="宋体" w:hAnsi="宋体"/>
                <w:b w:val="0"/>
                <w:bCs/>
                <w:sz w:val="21"/>
                <w:szCs w:val="21"/>
              </w:rPr>
              <w:t>RB/T</w:t>
            </w:r>
            <w:r>
              <w:rPr>
                <w:rFonts w:hint="eastAsia" w:ascii="宋体" w:hAnsi="宋体"/>
                <w:b w:val="0"/>
                <w:bCs/>
                <w:sz w:val="21"/>
                <w:szCs w:val="21"/>
                <w:lang w:val="en-US" w:eastAsia="zh-CN"/>
              </w:rPr>
              <w:t>109-2013</w:t>
            </w:r>
            <w:r>
              <w:rPr>
                <w:rFonts w:hint="eastAsia" w:ascii="宋体" w:hAnsi="宋体"/>
                <w:b w:val="0"/>
                <w:bCs/>
                <w:sz w:val="21"/>
                <w:szCs w:val="21"/>
              </w:rPr>
              <w:t xml:space="preserve"> </w:t>
            </w:r>
          </w:p>
        </w:tc>
        <w:sdt>
          <w:sdtPr>
            <w:rPr>
              <w:rFonts w:eastAsia="黑体"/>
              <w:szCs w:val="21"/>
            </w:rPr>
            <w:id w:val="271604670"/>
          </w:sdtPr>
          <w:sdtEndPr>
            <w:rPr>
              <w:rFonts w:eastAsia="黑体"/>
              <w:szCs w:val="21"/>
            </w:rPr>
          </w:sdtEndPr>
          <w:sdtContent>
            <w:tc>
              <w:tcPr>
                <w:tcW w:w="859"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16" w:type="dxa"/>
            <w:vAlign w:val="center"/>
          </w:tcPr>
          <w:p>
            <w:pPr>
              <w:spacing w:before="40" w:after="40"/>
              <w:rPr>
                <w:rFonts w:eastAsia="黑体"/>
                <w:szCs w:val="21"/>
                <w:lang w:eastAsia="ja-JP"/>
              </w:rPr>
            </w:pPr>
          </w:p>
        </w:tc>
        <w:tc>
          <w:tcPr>
            <w:tcW w:w="1540" w:type="dxa"/>
            <w:vAlign w:val="center"/>
          </w:tcPr>
          <w:p>
            <w:pPr>
              <w:spacing w:before="40" w:after="40"/>
              <w:rPr>
                <w:rFonts w:eastAsia="黑体"/>
                <w:szCs w:val="21"/>
                <w:lang w:eastAsia="ja-JP"/>
              </w:rPr>
            </w:pPr>
          </w:p>
        </w:tc>
        <w:tc>
          <w:tcPr>
            <w:tcW w:w="590" w:type="dxa"/>
            <w:vAlign w:val="center"/>
          </w:tcPr>
          <w:p>
            <w:pPr>
              <w:spacing w:before="40" w:after="40"/>
              <w:rPr>
                <w:rFonts w:eastAsia="黑体"/>
                <w:szCs w:val="21"/>
                <w:lang w:eastAsia="ja-JP"/>
              </w:rPr>
            </w:pPr>
          </w:p>
        </w:tc>
        <w:tc>
          <w:tcPr>
            <w:tcW w:w="1980" w:type="dxa"/>
            <w:vAlign w:val="center"/>
          </w:tcPr>
          <w:p>
            <w:pPr>
              <w:spacing w:before="40" w:after="40"/>
              <w:rPr>
                <w:rFonts w:eastAsia="黑体"/>
                <w:szCs w:val="21"/>
                <w:lang w:eastAsia="ja-JP"/>
              </w:rPr>
            </w:pPr>
          </w:p>
        </w:tc>
        <w:tc>
          <w:tcPr>
            <w:tcW w:w="2160"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859"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2"/>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b/>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b/>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b/>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b/>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b/>
                <w:sz w:val="21"/>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18-19</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年11月8日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2"/>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t>□节能主管部门、□动力装置场所、</w:t>
            </w:r>
            <w:r>
              <w:rPr>
                <w:rFonts w:hint="eastAsia" w:ascii="宋体"/>
                <w:color w:val="000000"/>
                <w:spacing w:val="-10"/>
                <w:szCs w:val="21"/>
                <w:lang w:eastAsia="zh-CN"/>
              </w:rPr>
              <w:t>☑</w:t>
            </w:r>
            <w:r>
              <w:rPr>
                <w:rFonts w:hint="eastAsia" w:ascii="宋体"/>
                <w:color w:val="000000"/>
                <w:spacing w:val="-10"/>
                <w:szCs w:val="21"/>
              </w:rPr>
              <w:t>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2"/>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2023-01-</w:t>
            </w:r>
            <w:bookmarkEnd w:id="32"/>
            <w:r>
              <w:rPr>
                <w:rFonts w:hint="eastAsia" w:ascii="宋体"/>
                <w:b/>
                <w:color w:val="000000"/>
                <w:szCs w:val="21"/>
                <w:lang w:val="en-US" w:eastAsia="zh-CN"/>
              </w:rPr>
              <w:t>11-12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2"/>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eastAsia="宋体"/>
          <w:szCs w:val="21"/>
          <w:lang w:val="en-US" w:eastAsia="zh-CN"/>
        </w:rPr>
        <w:drawing>
          <wp:anchor distT="0" distB="0" distL="114300" distR="114300" simplePos="0" relativeHeight="251662336" behindDoc="0" locked="0" layoutInCell="1" allowOverlap="1">
            <wp:simplePos x="0" y="0"/>
            <wp:positionH relativeFrom="column">
              <wp:posOffset>4015105</wp:posOffset>
            </wp:positionH>
            <wp:positionV relativeFrom="paragraph">
              <wp:posOffset>229235</wp:posOffset>
            </wp:positionV>
            <wp:extent cx="716280" cy="328930"/>
            <wp:effectExtent l="0" t="0" r="7620" b="1270"/>
            <wp:wrapNone/>
            <wp:docPr id="3" name="图片 2" descr="ba8dee3f6982ee44ff5b46e779d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a8dee3f6982ee44ff5b46e779d5858"/>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716280" cy="328930"/>
                    </a:xfrm>
                    <a:prstGeom prst="rect">
                      <a:avLst/>
                    </a:prstGeom>
                    <a:noFill/>
                    <a:ln>
                      <a:noFill/>
                    </a:ln>
                  </pic:spPr>
                </pic:pic>
              </a:graphicData>
            </a:graphic>
          </wp:anchor>
        </w:drawing>
      </w:r>
      <w:r>
        <w:rPr>
          <w:rFonts w:hint="eastAsia" w:eastAsia="宋体"/>
          <w:color w:val="000000"/>
          <w:lang w:eastAsia="zh-CN"/>
        </w:rPr>
        <w:drawing>
          <wp:anchor distT="0" distB="0" distL="114300" distR="114300" simplePos="0" relativeHeight="251661312" behindDoc="0" locked="0" layoutInCell="1" allowOverlap="1">
            <wp:simplePos x="0" y="0"/>
            <wp:positionH relativeFrom="column">
              <wp:posOffset>1678305</wp:posOffset>
            </wp:positionH>
            <wp:positionV relativeFrom="paragraph">
              <wp:posOffset>336550</wp:posOffset>
            </wp:positionV>
            <wp:extent cx="775335" cy="316230"/>
            <wp:effectExtent l="0" t="0" r="0" b="0"/>
            <wp:wrapNone/>
            <wp:docPr id="2" name="图片 1" descr="6c6425c6b9d8f0524cda94f4d62b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c6425c6b9d8f0524cda94f4d62b40c"/>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75335" cy="31623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9"/>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9"/>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2"/>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15"/>
        <w:gridCol w:w="201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10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0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103" w:type="dxa"/>
            <w:gridSpan w:val="2"/>
            <w:vAlign w:val="center"/>
          </w:tcPr>
          <w:p>
            <w:pPr>
              <w:pStyle w:val="9"/>
              <w:pBdr>
                <w:bottom w:val="none" w:color="auto" w:sz="0" w:space="0"/>
              </w:pBdr>
              <w:tabs>
                <w:tab w:val="center" w:pos="5737"/>
                <w:tab w:val="clear" w:pos="4153"/>
              </w:tabs>
              <w:jc w:val="both"/>
              <w:rPr>
                <w:color w:val="000000"/>
                <w:sz w:val="21"/>
                <w:szCs w:val="21"/>
              </w:rPr>
            </w:pPr>
            <w:r>
              <w:rPr>
                <w:rFonts w:hint="eastAsia"/>
                <w:color w:val="000000"/>
                <w:sz w:val="21"/>
                <w:szCs w:val="21"/>
                <w:lang w:val="en-US" w:eastAsia="zh-CN"/>
              </w:rPr>
              <w:t>2022年没有统计水的能源使用情况</w:t>
            </w:r>
          </w:p>
        </w:tc>
        <w:tc>
          <w:tcPr>
            <w:tcW w:w="2010" w:type="dxa"/>
            <w:vAlign w:val="center"/>
          </w:tcPr>
          <w:p>
            <w:pPr>
              <w:pStyle w:val="9"/>
              <w:pBdr>
                <w:bottom w:val="none" w:color="auto" w:sz="0" w:space="0"/>
              </w:pBdr>
              <w:ind w:right="600"/>
              <w:jc w:val="both"/>
              <w:rPr>
                <w:b w:val="0"/>
                <w:bCs/>
                <w:color w:val="000000"/>
                <w:sz w:val="21"/>
                <w:szCs w:val="21"/>
              </w:rPr>
            </w:pPr>
            <w:r>
              <w:rPr>
                <w:rFonts w:ascii="宋体" w:hAnsi="宋体"/>
                <w:b w:val="0"/>
                <w:bCs/>
                <w:sz w:val="21"/>
                <w:szCs w:val="21"/>
              </w:rPr>
              <w:t>GB/T 2</w:t>
            </w:r>
            <w:r>
              <w:rPr>
                <w:rFonts w:hint="eastAsia" w:ascii="宋体" w:hAnsi="宋体"/>
                <w:b w:val="0"/>
                <w:bCs/>
                <w:sz w:val="21"/>
                <w:szCs w:val="21"/>
              </w:rPr>
              <w:t>3331-2020/ISO 50001:2018</w:t>
            </w:r>
          </w:p>
        </w:tc>
        <w:tc>
          <w:tcPr>
            <w:tcW w:w="1133" w:type="dxa"/>
            <w:vAlign w:val="center"/>
          </w:tcPr>
          <w:p>
            <w:pPr>
              <w:pStyle w:val="9"/>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6.6</w:t>
            </w: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103"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textAlignment w:val="auto"/>
              <w:rPr>
                <w:rFonts w:hint="eastAsia"/>
                <w:color w:val="000000"/>
                <w:sz w:val="21"/>
                <w:szCs w:val="21"/>
                <w:lang w:val="en-US" w:eastAsia="zh-CN"/>
              </w:rPr>
            </w:pPr>
            <w:bookmarkStart w:id="33" w:name="_GoBack"/>
            <w:r>
              <w:rPr>
                <w:rFonts w:hint="eastAsia"/>
                <w:color w:val="000000"/>
                <w:sz w:val="21"/>
                <w:szCs w:val="21"/>
                <w:lang w:val="en-US" w:eastAsia="zh-CN"/>
              </w:rPr>
              <w:t>2022年1-9月液化天然气和电的统计计算数据有误。</w:t>
            </w:r>
          </w:p>
          <w:bookmarkEnd w:id="33"/>
          <w:p>
            <w:pPr>
              <w:pStyle w:val="9"/>
              <w:pBdr>
                <w:bottom w:val="none" w:color="auto" w:sz="0" w:space="0"/>
              </w:pBdr>
              <w:tabs>
                <w:tab w:val="center" w:pos="5737"/>
                <w:tab w:val="clear" w:pos="4153"/>
              </w:tabs>
              <w:jc w:val="both"/>
              <w:rPr>
                <w:color w:val="000000"/>
                <w:sz w:val="21"/>
                <w:szCs w:val="21"/>
              </w:rPr>
            </w:pPr>
          </w:p>
        </w:tc>
        <w:tc>
          <w:tcPr>
            <w:tcW w:w="2010" w:type="dxa"/>
            <w:vAlign w:val="center"/>
          </w:tcPr>
          <w:p>
            <w:pPr>
              <w:pStyle w:val="9"/>
              <w:pBdr>
                <w:bottom w:val="none" w:color="auto" w:sz="0" w:space="0"/>
              </w:pBdr>
              <w:ind w:right="600" w:rightChars="0"/>
              <w:jc w:val="both"/>
              <w:rPr>
                <w:rFonts w:ascii="Calibri" w:hAnsi="Calibri" w:eastAsia="宋体" w:cs="Times New Roman"/>
                <w:b w:val="0"/>
                <w:bCs/>
                <w:color w:val="000000"/>
                <w:kern w:val="2"/>
                <w:sz w:val="21"/>
                <w:szCs w:val="21"/>
                <w:lang w:val="en-US" w:eastAsia="zh-CN" w:bidi="ar-SA"/>
              </w:rPr>
            </w:pPr>
            <w:r>
              <w:rPr>
                <w:rFonts w:ascii="宋体" w:hAnsi="宋体"/>
                <w:b w:val="0"/>
                <w:bCs/>
                <w:sz w:val="21"/>
                <w:szCs w:val="21"/>
              </w:rPr>
              <w:t>GB/T 2</w:t>
            </w:r>
            <w:r>
              <w:rPr>
                <w:rFonts w:hint="eastAsia" w:ascii="宋体" w:hAnsi="宋体"/>
                <w:b w:val="0"/>
                <w:bCs/>
                <w:sz w:val="21"/>
                <w:szCs w:val="21"/>
              </w:rPr>
              <w:t>3331-2020/ISO 50001:2018</w:t>
            </w:r>
          </w:p>
        </w:tc>
        <w:tc>
          <w:tcPr>
            <w:tcW w:w="1133" w:type="dxa"/>
            <w:vAlign w:val="center"/>
          </w:tcPr>
          <w:p>
            <w:pPr>
              <w:pStyle w:val="9"/>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6.6</w:t>
            </w: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5103"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2010"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5103"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2010"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9"/>
              <w:pBdr>
                <w:bottom w:val="none" w:color="auto" w:sz="0" w:space="0"/>
              </w:pBdr>
              <w:ind w:right="600"/>
              <w:jc w:val="both"/>
              <w:rPr>
                <w:rFonts w:ascii="宋体"/>
                <w:color w:val="000000"/>
                <w:sz w:val="21"/>
                <w:szCs w:val="21"/>
              </w:rPr>
            </w:pPr>
          </w:p>
        </w:tc>
        <w:tc>
          <w:tcPr>
            <w:tcW w:w="5103" w:type="dxa"/>
            <w:gridSpan w:val="2"/>
            <w:vAlign w:val="center"/>
          </w:tcPr>
          <w:p>
            <w:pPr>
              <w:pStyle w:val="9"/>
              <w:pBdr>
                <w:bottom w:val="none" w:color="auto" w:sz="0" w:space="0"/>
              </w:pBdr>
              <w:tabs>
                <w:tab w:val="center" w:pos="5737"/>
                <w:tab w:val="clear" w:pos="4153"/>
              </w:tabs>
              <w:jc w:val="both"/>
              <w:rPr>
                <w:color w:val="000000"/>
                <w:sz w:val="21"/>
                <w:szCs w:val="21"/>
              </w:rPr>
            </w:pPr>
          </w:p>
        </w:tc>
        <w:tc>
          <w:tcPr>
            <w:tcW w:w="2010" w:type="dxa"/>
            <w:vAlign w:val="center"/>
          </w:tcPr>
          <w:p>
            <w:pPr>
              <w:pStyle w:val="9"/>
              <w:pBdr>
                <w:bottom w:val="none" w:color="auto" w:sz="0" w:space="0"/>
              </w:pBdr>
              <w:ind w:right="600"/>
              <w:jc w:val="both"/>
              <w:rPr>
                <w:color w:val="000000"/>
                <w:sz w:val="21"/>
                <w:szCs w:val="21"/>
              </w:rPr>
            </w:pPr>
          </w:p>
        </w:tc>
        <w:tc>
          <w:tcPr>
            <w:tcW w:w="1133" w:type="dxa"/>
            <w:vAlign w:val="center"/>
          </w:tcPr>
          <w:p>
            <w:pPr>
              <w:pStyle w:val="9"/>
              <w:pBdr>
                <w:bottom w:val="none" w:color="auto" w:sz="0" w:space="0"/>
              </w:pBdr>
              <w:ind w:right="600"/>
              <w:jc w:val="both"/>
              <w:rPr>
                <w:color w:val="000000"/>
                <w:sz w:val="21"/>
                <w:szCs w:val="21"/>
              </w:rPr>
            </w:pPr>
          </w:p>
        </w:tc>
        <w:tc>
          <w:tcPr>
            <w:tcW w:w="934" w:type="dxa"/>
            <w:vAlign w:val="center"/>
          </w:tcPr>
          <w:p>
            <w:pPr>
              <w:pStyle w:val="9"/>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color w:val="000000"/>
                <w:lang w:eastAsia="zh-CN"/>
              </w:rPr>
              <w:drawing>
                <wp:anchor distT="0" distB="0" distL="114300" distR="114300" simplePos="0" relativeHeight="251663360" behindDoc="0" locked="0" layoutInCell="1" allowOverlap="1">
                  <wp:simplePos x="0" y="0"/>
                  <wp:positionH relativeFrom="column">
                    <wp:posOffset>675005</wp:posOffset>
                  </wp:positionH>
                  <wp:positionV relativeFrom="paragraph">
                    <wp:posOffset>12700</wp:posOffset>
                  </wp:positionV>
                  <wp:extent cx="775335" cy="316230"/>
                  <wp:effectExtent l="0" t="0" r="0" b="0"/>
                  <wp:wrapNone/>
                  <wp:docPr id="5" name="图片 1" descr="6c6425c6b9d8f0524cda94f4d62b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6c6425c6b9d8f0524cda94f4d62b40c"/>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75335" cy="31623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王建光</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color w:val="000000"/>
                <w:lang w:eastAsia="zh-CN"/>
              </w:rPr>
              <w:drawing>
                <wp:anchor distT="0" distB="0" distL="114300" distR="114300" simplePos="0" relativeHeight="251664384" behindDoc="0" locked="0" layoutInCell="1" allowOverlap="1">
                  <wp:simplePos x="0" y="0"/>
                  <wp:positionH relativeFrom="column">
                    <wp:posOffset>484505</wp:posOffset>
                  </wp:positionH>
                  <wp:positionV relativeFrom="paragraph">
                    <wp:posOffset>57150</wp:posOffset>
                  </wp:positionV>
                  <wp:extent cx="775335" cy="316230"/>
                  <wp:effectExtent l="0" t="0" r="0" b="0"/>
                  <wp:wrapNone/>
                  <wp:docPr id="6" name="图片 1" descr="6c6425c6b9d8f0524cda94f4d62b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6c6425c6b9d8f0524cda94f4d62b40c"/>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775335" cy="31623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9</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52C2C7DD"/>
    <w:multiLevelType w:val="singleLevel"/>
    <w:tmpl w:val="52C2C7DD"/>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dhOGY5MzIwYjM5OWFmZGI4MTBhODVhYjUzMzlkOTUifQ=="/>
  </w:docVars>
  <w:rsids>
    <w:rsidRoot w:val="00000000"/>
    <w:rsid w:val="01843AD8"/>
    <w:rsid w:val="0430754F"/>
    <w:rsid w:val="08942CFC"/>
    <w:rsid w:val="08D542BB"/>
    <w:rsid w:val="16B310F5"/>
    <w:rsid w:val="1F2733AF"/>
    <w:rsid w:val="211E158A"/>
    <w:rsid w:val="24A24B03"/>
    <w:rsid w:val="2536529E"/>
    <w:rsid w:val="26C72930"/>
    <w:rsid w:val="33137195"/>
    <w:rsid w:val="3A77753E"/>
    <w:rsid w:val="3BC67995"/>
    <w:rsid w:val="3C4F16D6"/>
    <w:rsid w:val="3CDA58EE"/>
    <w:rsid w:val="46EC6103"/>
    <w:rsid w:val="5023629C"/>
    <w:rsid w:val="53966981"/>
    <w:rsid w:val="5BAA4A8D"/>
    <w:rsid w:val="5D7E0FB5"/>
    <w:rsid w:val="78D41F79"/>
    <w:rsid w:val="7A3F13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next w:val="5"/>
    <w:qFormat/>
    <w:uiPriority w:val="0"/>
    <w:rPr>
      <w:sz w:val="24"/>
    </w:rPr>
  </w:style>
  <w:style w:type="paragraph" w:styleId="5">
    <w:name w:val="List Bullet 5"/>
    <w:basedOn w:val="1"/>
    <w:semiHidden/>
    <w:unhideWhenUsed/>
    <w:qFormat/>
    <w:uiPriority w:val="99"/>
    <w:pPr>
      <w:numPr>
        <w:ilvl w:val="0"/>
        <w:numId w:val="2"/>
      </w:numPr>
    </w:p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paragraph" w:styleId="11">
    <w:name w:val="Body Text First Indent"/>
    <w:basedOn w:val="4"/>
    <w:unhideWhenUsed/>
    <w:qFormat/>
    <w:uiPriority w:val="99"/>
    <w:pPr>
      <w:ind w:firstLine="420" w:firstLineChars="10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link w:val="7"/>
    <w:semiHidden/>
    <w:qFormat/>
    <w:locked/>
    <w:uiPriority w:val="99"/>
    <w:rPr>
      <w:rFonts w:ascii="Times New Roman" w:hAnsi="Times New Roman" w:eastAsia="宋体" w:cs="Times New Roman"/>
      <w:sz w:val="18"/>
      <w:szCs w:val="18"/>
    </w:rPr>
  </w:style>
  <w:style w:type="character" w:customStyle="1" w:styleId="16">
    <w:name w:val="页脚 Char"/>
    <w:link w:val="8"/>
    <w:qFormat/>
    <w:locked/>
    <w:uiPriority w:val="99"/>
    <w:rPr>
      <w:rFonts w:ascii="Times New Roman" w:hAnsi="Times New Roman" w:eastAsia="宋体" w:cs="Times New Roman"/>
      <w:sz w:val="18"/>
      <w:szCs w:val="18"/>
    </w:rPr>
  </w:style>
  <w:style w:type="character" w:customStyle="1" w:styleId="17">
    <w:name w:val="页眉 Char"/>
    <w:link w:val="9"/>
    <w:qFormat/>
    <w:locked/>
    <w:uiPriority w:val="99"/>
    <w:rPr>
      <w:rFonts w:ascii="Calibri" w:hAnsi="Calibri" w:eastAsia="宋体" w:cs="Times New Roman"/>
      <w:sz w:val="18"/>
      <w:szCs w:val="18"/>
    </w:rPr>
  </w:style>
  <w:style w:type="character" w:customStyle="1" w:styleId="18">
    <w:name w:val="副标题 Char"/>
    <w:link w:val="10"/>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3960</Words>
  <Characters>4512</Characters>
  <Lines>67</Lines>
  <Paragraphs>18</Paragraphs>
  <TotalTime>3</TotalTime>
  <ScaleCrop>false</ScaleCrop>
  <LinksUpToDate>false</LinksUpToDate>
  <CharactersWithSpaces>4603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2023-01-11T07:42:41Z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