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18"/>
        <w:gridCol w:w="198"/>
        <w:gridCol w:w="86"/>
        <w:gridCol w:w="1004"/>
        <w:gridCol w:w="723"/>
        <w:gridCol w:w="973"/>
        <w:gridCol w:w="256"/>
        <w:gridCol w:w="49"/>
        <w:gridCol w:w="245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重庆兰阀流体控制设备有限公司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重庆市渝北区双凤桥街道翔宇路36号2幢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重庆市渝北区双凤桥街道翔宇路36号2幢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18725660020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highlight w:val="none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highlight w:val="none"/>
              </w:rPr>
              <w:t>杨明忠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0062-2022-QE-2022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Q：流体控制设备、仪器仪表、阀门及配件的销售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E：流体控制设备、仪器仪表、阀门及配件的销售所涉及场所的相关环境管理活动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■GB/T19001-2016/ISO 9001:2015   □GB/T 50430-2017■GB/T24001-2016/ISO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□GB/T45001-2020/ISO45001：2020标准 □ISO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2023年01月05日 上午至2023年01月05日 下午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1.0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10795</wp:posOffset>
                  </wp:positionV>
                  <wp:extent cx="696595" cy="351155"/>
                  <wp:effectExtent l="0" t="0" r="1905" b="4445"/>
                  <wp:wrapNone/>
                  <wp:docPr id="3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1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</w:tc>
        <w:tc>
          <w:tcPr>
            <w:tcW w:w="127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37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7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2023年01月0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日期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2023年01月0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2023年01月0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9" w:name="_GoBack"/>
      <w:bookmarkEnd w:id="29"/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40"/>
        <w:gridCol w:w="1065"/>
        <w:gridCol w:w="60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1月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5.3组织的角色、职责和权限；6.1应对风险和机遇的措施；6.2目标及其实现的策划；6.3变更的策划；7.1.1资源 总则；7.4沟通；9.1.1监测、分析和评价总则；9.1.3分析和评价；9.3管理评审；10.1改进 总则；10.3持续改进。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上次不符合项验证（销售部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）。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11:00-12:30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午餐12:30-13:00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办公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室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（含财务）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6.2质量目标及其实现的策划；9.2内部审核；10.2不符合和纠正措施；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6.1.2环境因素；6.1.3合规义务；6.2目标及其达成的策划；8.1运行策划和控制；8.2应急准备和响应；9.1监视、测量、分析与评估；9.1.2符合性评估；9.2内部审核；10.2不符合和纠正措施/EMS运行控制相关财务支出证据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01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其实现的策划；7.1.5监视和测量资源；8.1运行策划和控制；8.2产品和服务的要求；8.3设计开发控制； 8.5.1生产和服务提供的控制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  <w:t>（上次不符合验证）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8.5.2标识和可追溯性；8.5.3顾客或外部供方的财产；8.5.4防护；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8.5.5交付后活动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8.5.6更改控制；8.6产品和服务放行；8.7不合格输出的控制；9.1.2顾客满意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/权限；6.2质量目标及其实现的策划；8.4外部提供供方的控制；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95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080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审核组内部沟通,并与受审核方沟通、末次会议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C8E4CB0"/>
    <w:rsid w:val="484E10AB"/>
    <w:rsid w:val="49465C88"/>
    <w:rsid w:val="5E9B4495"/>
    <w:rsid w:val="6A477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1992</Words>
  <Characters>2778</Characters>
  <Lines>37</Lines>
  <Paragraphs>10</Paragraphs>
  <TotalTime>3</TotalTime>
  <ScaleCrop>false</ScaleCrop>
  <LinksUpToDate>false</LinksUpToDate>
  <CharactersWithSpaces>2840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2023-01-04T13:50:34Z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2052-11.1.0.12980</vt:lpwstr>
  </property>
</Properties>
</file>