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1383-2022-E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重庆盈路通科技有限公司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2023年01月03日 上午至2023年01月03日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cs="宋体"/>
                <w:b/>
                <w:color w:val="000000"/>
                <w:szCs w:val="21"/>
                <w:lang w:val="de-DE"/>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cs="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cs="宋体"/>
                <w:b/>
                <w:color w:val="000000"/>
                <w:szCs w:val="21"/>
                <w:lang w:val="de-DE"/>
              </w:rPr>
              <w:t>■</w:t>
            </w:r>
            <w:r>
              <w:rPr>
                <w:rFonts w:hint="eastAsia" w:ascii="宋体" w:hAnsi="宋体"/>
                <w:b/>
                <w:color w:val="000000"/>
                <w:szCs w:val="21"/>
                <w:lang w:val="de-DE"/>
              </w:rPr>
              <w:t>适用于受审核方的法律法规及其他要求</w:t>
            </w:r>
            <w:r>
              <w:rPr>
                <w:rFonts w:hint="eastAsia" w:ascii="宋体" w:hAnsi="宋体" w:cs="宋体"/>
                <w:b/>
                <w:color w:val="000000"/>
                <w:szCs w:val="21"/>
                <w:lang w:val="de-DE"/>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重庆市渝北区双凤桥街道桃源大道1002号丁香水谢11栋1-2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2021-N1EMS-2230067</w:t>
            </w:r>
          </w:p>
        </w:tc>
        <w:tc>
          <w:tcPr>
            <w:tcW w:w="1140" w:type="dxa"/>
            <w:vAlign w:val="center"/>
          </w:tcPr>
          <w:p>
            <w:pPr>
              <w:spacing w:line="240" w:lineRule="exact"/>
              <w:jc w:val="center"/>
              <w:rPr>
                <w:b/>
                <w:color w:val="000000"/>
                <w:szCs w:val="21"/>
              </w:rPr>
            </w:pPr>
            <w:r>
              <w:rPr>
                <w:b/>
                <w:color w:val="000000"/>
                <w:szCs w:val="21"/>
              </w:rPr>
              <w:t>29.11.05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重庆盈路通科技有限公司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重庆市渝北区双凤桥街道空港东路55号2幢</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401120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重庆市渝北区双凤桥街道空港东路55号2幢</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401120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秦大华</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15826088599</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兰亚成</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兰亚成</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7" w:name="_GoBack"/>
            <w:bookmarkEnd w:id="37"/>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jc w:val="left"/>
              <w:rPr>
                <w:rFonts w:hint="eastAsia" w:ascii="宋体" w:hAnsi="宋体" w:eastAsia="宋体" w:cs="Times New Roman"/>
                <w:b/>
                <w:color w:val="000000"/>
                <w:szCs w:val="21"/>
              </w:rPr>
            </w:pPr>
            <w:r>
              <w:rPr>
                <w:rFonts w:hint="eastAsia" w:ascii="宋体" w:hAnsi="宋体" w:eastAsia="宋体" w:cs="Times New Roman"/>
                <w:b/>
                <w:color w:val="000000"/>
                <w:szCs w:val="21"/>
              </w:rPr>
              <w:t>服务：润滑油（脂）的销售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none"/>
              </w:rPr>
            </w:pPr>
            <w:r>
              <w:rPr>
                <w:rFonts w:hint="eastAsia" w:ascii="宋体" w:hAnsi="宋体"/>
                <w:color w:val="000000"/>
                <w:szCs w:val="21"/>
                <w:highlight w:val="none"/>
              </w:rPr>
              <w:t>生产/服务提供流程简图</w:t>
            </w:r>
          </w:p>
          <w:p>
            <w:pPr>
              <w:tabs>
                <w:tab w:val="left" w:pos="0"/>
              </w:tabs>
              <w:rPr>
                <w:rFonts w:ascii="宋体" w:hAnsi="宋体"/>
                <w:color w:val="000000"/>
                <w:szCs w:val="21"/>
                <w:highlight w:val="none"/>
              </w:rPr>
            </w:pPr>
          </w:p>
          <w:p>
            <w:pPr>
              <w:tabs>
                <w:tab w:val="left" w:pos="0"/>
              </w:tabs>
              <w:rPr>
                <w:rFonts w:ascii="宋体" w:hAnsi="宋体"/>
                <w:color w:val="000000"/>
                <w:szCs w:val="21"/>
                <w:highlight w:val="none"/>
              </w:rPr>
            </w:pPr>
          </w:p>
        </w:tc>
        <w:tc>
          <w:tcPr>
            <w:tcW w:w="8058" w:type="dxa"/>
            <w:gridSpan w:val="7"/>
            <w:shd w:val="clear" w:color="auto" w:fill="auto"/>
          </w:tcPr>
          <w:p>
            <w:pPr>
              <w:pStyle w:val="12"/>
              <w:rPr>
                <w:rFonts w:hint="eastAsia" w:ascii="Times New Roman" w:hAnsi="Times New Roman" w:eastAsia="宋体" w:cs="Times New Roman"/>
                <w:bCs w:val="0"/>
                <w:color w:val="000000" w:themeColor="text1"/>
                <w:spacing w:val="0"/>
                <w:kern w:val="2"/>
                <w:sz w:val="21"/>
                <w:szCs w:val="24"/>
                <w:highlight w:val="none"/>
                <w:lang w:val="en-US" w:eastAsia="zh-CN" w:bidi="ar-SA"/>
              </w:rPr>
            </w:pPr>
            <w:r>
              <w:rPr>
                <w:rFonts w:hint="eastAsia" w:ascii="Times New Roman" w:hAnsi="Times New Roman" w:eastAsia="宋体" w:cs="Times New Roman"/>
                <w:bCs w:val="0"/>
                <w:color w:val="000000" w:themeColor="text1"/>
                <w:spacing w:val="0"/>
                <w:kern w:val="2"/>
                <w:sz w:val="21"/>
                <w:szCs w:val="24"/>
                <w:highlight w:val="none"/>
                <w:lang w:val="en-US" w:eastAsia="zh-CN" w:bidi="ar-SA"/>
              </w:rPr>
              <w:t>销售流程：顾客洽谈→签订合同→产品销售→客户验收→售后服务。</w:t>
            </w:r>
          </w:p>
          <w:p>
            <w:pPr>
              <w:tabs>
                <w:tab w:val="left" w:pos="360"/>
              </w:tabs>
              <w:ind w:left="360" w:hanging="360"/>
              <w:rPr>
                <w:rFonts w:asci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35" w:name="审核范围"/>
            <w:r>
              <w:t>润滑油（脂）的销售所涉及场所的相关环境管理活动</w:t>
            </w:r>
            <w:bookmarkEnd w:id="35"/>
          </w:p>
        </w:tc>
        <w:tc>
          <w:tcPr>
            <w:tcW w:w="2006" w:type="dxa"/>
            <w:gridSpan w:val="3"/>
            <w:vAlign w:val="center"/>
          </w:tcPr>
          <w:p>
            <w:pPr>
              <w:spacing w:line="400" w:lineRule="exact"/>
              <w:rPr>
                <w:rFonts w:ascii="宋体" w:hAnsi="宋体"/>
                <w:b/>
                <w:color w:val="000000"/>
                <w:szCs w:val="21"/>
              </w:rPr>
            </w:pPr>
            <w:bookmarkStart w:id="36" w:name="专业代码"/>
            <w:r>
              <w:t>29.11.05</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重庆盈路通科技有限公司</w:t>
            </w:r>
            <w:r>
              <w:rPr>
                <w:rFonts w:hint="eastAsia"/>
                <w:szCs w:val="21"/>
              </w:rPr>
              <w:t>/</w:t>
            </w:r>
            <w:r>
              <w:rPr>
                <w:sz w:val="21"/>
                <w:szCs w:val="21"/>
              </w:rPr>
              <w:t>重庆市渝北区双凤桥街道空港东路55号2幢</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sz w:val="21"/>
                <w:szCs w:val="21"/>
              </w:rPr>
              <w:t>重庆市渝北区双凤桥街道桃源大道1002号丁香水谢11栋1-2</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10</w:t>
            </w:r>
          </w:p>
        </w:tc>
        <w:tc>
          <w:tcPr>
            <w:tcW w:w="2803" w:type="dxa"/>
            <w:vAlign w:val="center"/>
          </w:tcPr>
          <w:p>
            <w:pPr>
              <w:pStyle w:val="21"/>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润滑油（脂）的销售所涉及场所的相关环境管理活动</w:t>
            </w:r>
          </w:p>
        </w:tc>
        <w:tc>
          <w:tcPr>
            <w:tcW w:w="669"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0"/>
                <w:szCs w:val="20"/>
                <w:lang w:val="en-GB" w:eastAsia="de-DE" w:bidi="ar-SA"/>
              </w:rPr>
              <w:t>GB/T24001-2016</w:t>
            </w:r>
            <w:r>
              <w:rPr>
                <w:rFonts w:hint="eastAsia" w:ascii="Times New Roman" w:hAnsi="Times New Roman" w:cs="Times New Roman"/>
                <w:kern w:val="2"/>
                <w:sz w:val="20"/>
                <w:szCs w:val="20"/>
                <w:lang w:val="en-US" w:eastAsia="zh-CN" w:bidi="ar-SA"/>
              </w:rPr>
              <w:t>；</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s="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Theme="minorEastAsia" w:hAnsiTheme="minorEastAsia" w:eastAsiaTheme="minorEastAsia"/>
                <w:b/>
                <w:color w:val="000000"/>
                <w:szCs w:val="21"/>
                <w:u w:val="single"/>
              </w:rPr>
              <w:t>2022年</w:t>
            </w:r>
            <w:r>
              <w:rPr>
                <w:rFonts w:hint="eastAsia" w:asciiTheme="minorEastAsia" w:hAnsiTheme="minorEastAsia" w:eastAsiaTheme="minorEastAsia"/>
                <w:b/>
                <w:color w:val="000000"/>
                <w:szCs w:val="21"/>
                <w:u w:val="single"/>
                <w:lang w:val="en-US" w:eastAsia="zh-CN"/>
              </w:rPr>
              <w:t>8</w:t>
            </w:r>
            <w:r>
              <w:rPr>
                <w:rFonts w:hint="eastAsia" w:asciiTheme="minorEastAsia" w:hAnsiTheme="minorEastAsia" w:eastAsiaTheme="minorEastAsia"/>
                <w:b/>
                <w:color w:val="000000"/>
                <w:szCs w:val="21"/>
                <w:u w:val="single"/>
              </w:rPr>
              <w:t>月1日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highlight w:val="green"/>
              </w:rPr>
            </w:pPr>
            <w:r>
              <w:rPr>
                <w:rFonts w:hint="eastAsia" w:ascii="宋体" w:hAnsi="宋体"/>
                <w:b/>
                <w:color w:val="000000"/>
                <w:szCs w:val="21"/>
              </w:rPr>
              <w:t>11.已根据策划和标准要求于</w:t>
            </w:r>
            <w:r>
              <w:rPr>
                <w:rFonts w:hint="eastAsia" w:asciiTheme="minorEastAsia" w:hAnsiTheme="minorEastAsia" w:eastAsiaTheme="minorEastAsia"/>
                <w:b/>
                <w:color w:val="000000"/>
                <w:szCs w:val="21"/>
                <w:u w:val="single"/>
              </w:rPr>
              <w:t>2022年</w:t>
            </w:r>
            <w:r>
              <w:rPr>
                <w:rFonts w:hint="eastAsia" w:asciiTheme="minorEastAsia" w:hAnsiTheme="minorEastAsia" w:eastAsiaTheme="minorEastAsia"/>
                <w:b/>
                <w:color w:val="000000"/>
                <w:szCs w:val="21"/>
                <w:u w:val="single"/>
                <w:lang w:val="en-US" w:eastAsia="zh-CN"/>
              </w:rPr>
              <w:t>11</w:t>
            </w:r>
            <w:r>
              <w:rPr>
                <w:rFonts w:hint="eastAsia" w:asciiTheme="minorEastAsia" w:hAnsiTheme="minorEastAsia" w:eastAsiaTheme="minorEastAsia"/>
                <w:b/>
                <w:color w:val="000000"/>
                <w:szCs w:val="21"/>
                <w:u w:val="single"/>
              </w:rPr>
              <w:t>月</w:t>
            </w:r>
            <w:r>
              <w:rPr>
                <w:rFonts w:hint="eastAsia" w:asciiTheme="minorEastAsia" w:hAnsiTheme="minorEastAsia" w:eastAsiaTheme="minorEastAsia"/>
                <w:b/>
                <w:color w:val="000000"/>
                <w:szCs w:val="21"/>
                <w:u w:val="single"/>
                <w:lang w:val="en-US" w:eastAsia="zh-CN"/>
              </w:rPr>
              <w:t>10</w:t>
            </w:r>
            <w:r>
              <w:rPr>
                <w:rFonts w:hint="eastAsia" w:asciiTheme="minorEastAsia" w:hAnsiTheme="minorEastAsia" w:eastAsiaTheme="minorEastAsia"/>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highlight w:val="green"/>
                <w:lang w:val="en-GB" w:eastAsia="zh-CN"/>
              </w:rPr>
            </w:pPr>
            <w:r>
              <w:rPr>
                <w:rFonts w:hint="eastAsia" w:ascii="宋体" w:hAnsi="宋体" w:eastAsia="宋体"/>
                <w:color w:val="000000"/>
                <w:sz w:val="21"/>
                <w:szCs w:val="21"/>
                <w:lang w:val="en-US" w:eastAsia="zh-CN"/>
              </w:rPr>
              <w:t xml:space="preserve">12.已根据策划于 </w:t>
            </w:r>
            <w:r>
              <w:rPr>
                <w:rFonts w:hint="eastAsia" w:asciiTheme="minorEastAsia" w:hAnsiTheme="minorEastAsia" w:eastAsiaTheme="minorEastAsia"/>
                <w:color w:val="000000"/>
                <w:sz w:val="21"/>
                <w:szCs w:val="21"/>
                <w:u w:val="single"/>
              </w:rPr>
              <w:t>2022年</w:t>
            </w:r>
            <w:r>
              <w:rPr>
                <w:rFonts w:hint="eastAsia" w:asciiTheme="minorEastAsia" w:hAnsiTheme="minorEastAsia" w:eastAsiaTheme="minorEastAsia"/>
                <w:color w:val="000000"/>
                <w:sz w:val="21"/>
                <w:szCs w:val="21"/>
                <w:u w:val="single"/>
                <w:lang w:val="en-US" w:eastAsia="zh-CN"/>
              </w:rPr>
              <w:t>12</w:t>
            </w:r>
            <w:r>
              <w:rPr>
                <w:rFonts w:hint="eastAsia" w:asciiTheme="minorEastAsia" w:hAnsiTheme="minorEastAsia" w:eastAsiaTheme="minorEastAsia"/>
                <w:color w:val="000000"/>
                <w:sz w:val="21"/>
                <w:szCs w:val="21"/>
                <w:u w:val="single"/>
              </w:rPr>
              <w:t>月</w:t>
            </w:r>
            <w:r>
              <w:rPr>
                <w:rFonts w:hint="eastAsia" w:asciiTheme="minorEastAsia" w:hAnsiTheme="minorEastAsia" w:eastAsiaTheme="minorEastAsia"/>
                <w:color w:val="000000"/>
                <w:sz w:val="21"/>
                <w:szCs w:val="21"/>
                <w:u w:val="single"/>
                <w:lang w:val="en-US" w:eastAsia="zh-CN"/>
              </w:rPr>
              <w:t>10</w:t>
            </w:r>
            <w:r>
              <w:rPr>
                <w:rFonts w:hint="eastAsia" w:asciiTheme="minorEastAsia" w:hAnsiTheme="minorEastAsia" w:eastAsiaTheme="minorEastAsia"/>
                <w:color w:val="000000"/>
                <w:sz w:val="21"/>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043104097"/>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56117736"/>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85168350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1775961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1495845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5244568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373886545"/>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28164650"/>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641650891"/>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572457034"/>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551534513"/>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是否按法规办理了环境影响评价登记表/报告表/报告书</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是否按法规办理了环境影响评价报告表/报告书的验收</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是否按法规办理了《排污许可证》</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是否提供近期环境监测报告</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sdt>
              <w:sdtPr>
                <w:rPr>
                  <w:rFonts w:hint="eastAsia" w:cs="宋体" w:asciiTheme="minorEastAsia" w:hAnsiTheme="minorEastAsia" w:eastAsiaTheme="minorEastAsia"/>
                  <w:color w:val="000000"/>
                  <w:kern w:val="0"/>
                </w:rPr>
                <w:id w:val="1854064648"/>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是否有相关方重大环境方面的投诉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r>
              <w:rPr>
                <w:rFonts w:hint="eastAsia" w:asciiTheme="minorEastAsia" w:hAnsiTheme="minorEastAsia" w:eastAsiaTheme="minorEastAsia"/>
                <w:color w:val="000000"/>
                <w:spacing w:val="-10"/>
                <w:szCs w:val="21"/>
                <w:lang w:eastAsia="zh-CN"/>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□环境主管部门、□动力装置场所、□危险化学品仓库、□污染物治疗设施、□危废堆放场所，</w:t>
            </w:r>
            <w:sdt>
              <w:sdtPr>
                <w:rPr>
                  <w:rFonts w:hint="eastAsia" w:cs="宋体" w:asciiTheme="minorEastAsia" w:hAnsiTheme="minorEastAsia" w:eastAsiaTheme="minorEastAsia"/>
                  <w:color w:val="000000"/>
                  <w:kern w:val="0"/>
                </w:rPr>
                <w:id w:val="1019507582"/>
              </w:sdtPr>
              <w:sdtEndPr>
                <w:rPr>
                  <w:rFonts w:hint="eastAsia" w:cs="宋体" w:asciiTheme="minorEastAsia" w:hAnsiTheme="minorEastAsia" w:eastAsiaTheme="minorEastAsia"/>
                  <w:color w:val="000000"/>
                  <w:kern w:val="0"/>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初步定于202</w:t>
            </w:r>
            <w:r>
              <w:rPr>
                <w:rFonts w:hint="eastAsia" w:ascii="宋体"/>
                <w:b/>
                <w:color w:val="000000"/>
                <w:szCs w:val="21"/>
                <w:lang w:val="en-US" w:eastAsia="zh-CN"/>
              </w:rPr>
              <w:t>3</w:t>
            </w:r>
            <w:r>
              <w:rPr>
                <w:rFonts w:hint="eastAsia" w:ascii="宋体"/>
                <w:b/>
                <w:color w:val="000000"/>
                <w:szCs w:val="21"/>
              </w:rPr>
              <w:t>-</w:t>
            </w:r>
            <w:r>
              <w:rPr>
                <w:rFonts w:hint="eastAsia" w:ascii="宋体"/>
                <w:b/>
                <w:color w:val="000000"/>
                <w:szCs w:val="21"/>
                <w:lang w:val="en-US" w:eastAsia="zh-CN"/>
              </w:rPr>
              <w:t>1</w:t>
            </w:r>
            <w:r>
              <w:rPr>
                <w:rFonts w:hint="eastAsia" w:ascii="宋体"/>
                <w:b/>
                <w:color w:val="000000"/>
                <w:szCs w:val="21"/>
              </w:rPr>
              <w:t>-</w:t>
            </w:r>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zCs w:val="21"/>
                <w:lang w:eastAsia="zh-CN"/>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ascii="宋体" w:hAnsi="宋体" w:cs="宋体"/>
                <w:color w:val="000000"/>
                <w:kern w:val="0"/>
                <w:szCs w:val="21"/>
              </w:rPr>
              <w:t>润滑油（脂）的销售所涉及场所的相关环境管理活动</w:t>
            </w:r>
          </w:p>
        </w:tc>
        <w:tc>
          <w:tcPr>
            <w:tcW w:w="1541" w:type="dxa"/>
            <w:vAlign w:val="center"/>
          </w:tcPr>
          <w:p>
            <w:pPr>
              <w:spacing w:line="400" w:lineRule="exact"/>
              <w:rPr>
                <w:rFonts w:ascii="宋体" w:hAnsi="宋体"/>
                <w:b/>
                <w:color w:val="000000"/>
                <w:szCs w:val="21"/>
              </w:rPr>
            </w:pPr>
            <w:r>
              <w:rPr>
                <w:rFonts w:hint="eastAsia" w:ascii="宋体" w:hAnsi="宋体" w:cs="宋体"/>
                <w:color w:val="000000"/>
                <w:kern w:val="0"/>
                <w:szCs w:val="24"/>
              </w:rPr>
              <w:t>29.11.05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1778000</wp:posOffset>
            </wp:positionH>
            <wp:positionV relativeFrom="paragraph">
              <wp:posOffset>349250</wp:posOffset>
            </wp:positionV>
            <wp:extent cx="815340" cy="403860"/>
            <wp:effectExtent l="0" t="0" r="3810" b="15240"/>
            <wp:wrapNone/>
            <wp:docPr id="2" name="图片 2"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2023年1月3日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hint="eastAsia" w:eastAsia="隶书"/>
          <w:color w:val="000000"/>
          <w:szCs w:val="21"/>
          <w:lang w:val="en-US" w:eastAsia="zh-CN"/>
        </w:rPr>
      </w:pPr>
      <w:r>
        <w:rPr>
          <w:rFonts w:hint="eastAsia" w:eastAsia="隶书"/>
          <w:color w:val="000000"/>
          <w:szCs w:val="21"/>
        </w:rPr>
        <w:t>附</w:t>
      </w:r>
      <w:r>
        <w:rPr>
          <w:rFonts w:hint="eastAsia" w:eastAsia="隶书"/>
          <w:color w:val="000000"/>
          <w:szCs w:val="21"/>
          <w:lang w:val="en-US" w:eastAsia="zh-CN"/>
        </w:rPr>
        <w:t xml:space="preserve">                       </w:t>
      </w:r>
    </w:p>
    <w:p>
      <w:pPr>
        <w:snapToGrid w:val="0"/>
        <w:spacing w:line="400" w:lineRule="exact"/>
        <w:jc w:val="center"/>
        <w:rPr>
          <w:rFonts w:eastAsia="隶书"/>
          <w:color w:val="000000"/>
          <w:sz w:val="21"/>
          <w:szCs w:val="21"/>
        </w:rPr>
      </w:pPr>
      <w:r>
        <w:rPr>
          <w:rFonts w:hint="eastAsia" w:eastAsia="隶书"/>
          <w:color w:val="000000"/>
          <w:sz w:val="21"/>
          <w:szCs w:val="21"/>
        </w:rPr>
        <w:t>一阶段</w:t>
      </w:r>
      <w:r>
        <w:rPr>
          <w:rFonts w:hint="eastAsia" w:eastAsia="隶书"/>
          <w:color w:val="000000"/>
          <w:sz w:val="21"/>
          <w:szCs w:val="21"/>
          <w:lang w:val="en-US" w:eastAsia="zh-CN"/>
        </w:rPr>
        <w:t>现场</w:t>
      </w:r>
      <w:r>
        <w:rPr>
          <w:rFonts w:hint="eastAsia" w:eastAsia="隶书"/>
          <w:color w:val="000000"/>
          <w:sz w:val="21"/>
          <w:szCs w:val="21"/>
        </w:rPr>
        <w:t>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ascii="宋体" w:hAnsi="宋体" w:cs="宋体"/>
          <w:color w:val="000000"/>
          <w:kern w:val="0"/>
          <w:szCs w:val="21"/>
        </w:rPr>
        <w:t>重庆盈路通科技有限公司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736" w:type="dxa"/>
            <w:gridSpan w:val="2"/>
          </w:tcPr>
          <w:p>
            <w:pPr>
              <w:spacing w:line="280" w:lineRule="exact"/>
              <w:rPr>
                <w:b/>
                <w:color w:val="000000"/>
                <w:szCs w:val="21"/>
              </w:rPr>
            </w:pPr>
            <w:r>
              <w:rPr>
                <w:rFonts w:hint="eastAsia" w:ascii="宋体" w:hAnsi="宋体" w:eastAsia="宋体" w:cs="Times New Roman"/>
                <w:b/>
                <w:bCs/>
                <w:color w:val="000000"/>
                <w:spacing w:val="-8"/>
                <w:szCs w:val="21"/>
                <w:lang w:eastAsia="zh-CN"/>
              </w:rPr>
              <w:drawing>
                <wp:anchor distT="0" distB="0" distL="114300" distR="114300" simplePos="0" relativeHeight="251664384" behindDoc="0" locked="0" layoutInCell="1" allowOverlap="1">
                  <wp:simplePos x="0" y="0"/>
                  <wp:positionH relativeFrom="column">
                    <wp:posOffset>644525</wp:posOffset>
                  </wp:positionH>
                  <wp:positionV relativeFrom="paragraph">
                    <wp:posOffset>3175</wp:posOffset>
                  </wp:positionV>
                  <wp:extent cx="815340" cy="403860"/>
                  <wp:effectExtent l="0" t="0" r="3810" b="15240"/>
                  <wp:wrapNone/>
                  <wp:docPr id="6" name="图片 6"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2023年1月3日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ascii="宋体" w:hAnsi="宋体" w:cs="宋体"/>
                <w:color w:val="000000"/>
                <w:kern w:val="0"/>
                <w:szCs w:val="24"/>
              </w:rPr>
              <w:t>秦大华</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ascii="宋体" w:hAnsi="宋体"/>
                <w:b/>
                <w:color w:val="000000"/>
                <w:szCs w:val="21"/>
                <w:lang w:val="en-US" w:eastAsia="zh-CN"/>
              </w:rPr>
              <w:t>2023年1月3日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spacing w:line="360" w:lineRule="exact"/>
              <w:rPr>
                <w:rFonts w:hint="eastAsia" w:ascii="宋体" w:hAnsi="宋体" w:eastAsia="宋体" w:cs="Times New Roman"/>
                <w:b/>
                <w:bCs/>
                <w:color w:val="000000"/>
                <w:spacing w:val="-8"/>
                <w:szCs w:val="21"/>
              </w:rPr>
            </w:pPr>
            <w:r>
              <w:rPr>
                <w:rFonts w:hint="eastAsia" w:ascii="宋体" w:hAnsi="宋体" w:eastAsia="宋体" w:cs="Times New Roman"/>
                <w:b/>
                <w:bCs/>
                <w:color w:val="000000"/>
                <w:spacing w:val="-8"/>
                <w:szCs w:val="21"/>
              </w:rPr>
              <w:t>推荐意见：</w:t>
            </w:r>
            <w:r>
              <w:rPr>
                <w:rFonts w:hint="eastAsia" w:ascii="宋体" w:hAnsi="宋体" w:eastAsia="宋体" w:cs="Times New Roman"/>
                <w:b/>
                <w:bCs/>
                <w:color w:val="000000"/>
                <w:spacing w:val="-8"/>
                <w:szCs w:val="21"/>
                <w:lang w:eastAsia="zh-CN"/>
              </w:rPr>
              <w:t>■</w:t>
            </w:r>
            <w:r>
              <w:rPr>
                <w:rFonts w:hint="eastAsia" w:ascii="宋体" w:hAnsi="宋体" w:eastAsia="宋体" w:cs="Times New Roman"/>
                <w:b/>
                <w:bCs/>
                <w:color w:val="000000"/>
                <w:spacing w:val="-8"/>
                <w:szCs w:val="21"/>
              </w:rPr>
              <w:t>可进行二阶段审核□需再次安排一阶段审核□不进入二阶段审核</w:t>
            </w:r>
            <w:r>
              <w:rPr>
                <w:rFonts w:hint="eastAsia" w:ascii="宋体" w:hAnsi="宋体" w:eastAsia="宋体" w:cs="Times New Roman"/>
                <w:b/>
                <w:bCs/>
                <w:color w:val="000000"/>
                <w:spacing w:val="-8"/>
                <w:szCs w:val="21"/>
              </w:rPr>
              <w:tab/>
            </w:r>
          </w:p>
          <w:p>
            <w:pPr>
              <w:spacing w:line="360" w:lineRule="exact"/>
              <w:rPr>
                <w:rFonts w:hint="eastAsia" w:ascii="宋体" w:hAnsi="宋体" w:eastAsia="宋体" w:cs="Times New Roman"/>
                <w:b/>
                <w:bCs/>
                <w:color w:val="000000"/>
                <w:spacing w:val="-8"/>
                <w:szCs w:val="21"/>
              </w:rPr>
            </w:pPr>
          </w:p>
          <w:p>
            <w:pPr>
              <w:spacing w:line="360" w:lineRule="exact"/>
              <w:rPr>
                <w:rFonts w:hint="eastAsia" w:ascii="宋体" w:hAnsi="宋体" w:eastAsia="宋体" w:cs="Times New Roman"/>
                <w:b/>
                <w:bCs/>
                <w:color w:val="000000"/>
                <w:spacing w:val="-8"/>
                <w:szCs w:val="21"/>
                <w:lang w:val="en-US" w:eastAsia="zh-CN"/>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548005</wp:posOffset>
                  </wp:positionH>
                  <wp:positionV relativeFrom="paragraph">
                    <wp:posOffset>10795</wp:posOffset>
                  </wp:positionV>
                  <wp:extent cx="815340" cy="403860"/>
                  <wp:effectExtent l="0" t="0" r="3810" b="15240"/>
                  <wp:wrapNone/>
                  <wp:docPr id="5" name="图片 5" descr="fd760dbe16eb6185a5a45f7628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760dbe16eb6185a5a45f762861822"/>
                          <pic:cNvPicPr>
                            <a:picLocks noChangeAspect="1"/>
                          </pic:cNvPicPr>
                        </pic:nvPicPr>
                        <pic:blipFill>
                          <a:blip r:embed="rId6"/>
                          <a:stretch>
                            <a:fillRect/>
                          </a:stretch>
                        </pic:blipFill>
                        <pic:spPr>
                          <a:xfrm>
                            <a:off x="0" y="0"/>
                            <a:ext cx="815340" cy="403860"/>
                          </a:xfrm>
                          <a:prstGeom prst="rect">
                            <a:avLst/>
                          </a:prstGeom>
                        </pic:spPr>
                      </pic:pic>
                    </a:graphicData>
                  </a:graphic>
                </wp:anchor>
              </w:drawing>
            </w:r>
            <w:r>
              <w:rPr>
                <w:rFonts w:hint="eastAsia" w:ascii="宋体" w:hAnsi="宋体" w:eastAsia="宋体" w:cs="Times New Roman"/>
                <w:b/>
                <w:bCs/>
                <w:color w:val="000000"/>
                <w:spacing w:val="-8"/>
                <w:szCs w:val="21"/>
              </w:rPr>
              <w:t>验证人：</w:t>
            </w:r>
            <w:r>
              <w:rPr>
                <w:rFonts w:hint="eastAsia" w:ascii="宋体" w:hAnsi="宋体" w:eastAsia="宋体" w:cs="Times New Roman"/>
                <w:b/>
                <w:bCs/>
                <w:color w:val="000000"/>
                <w:spacing w:val="-8"/>
                <w:szCs w:val="21"/>
                <w:lang w:val="en-US" w:eastAsia="zh-CN"/>
              </w:rPr>
              <w:t xml:space="preserve">                     </w:t>
            </w:r>
            <w:r>
              <w:rPr>
                <w:rFonts w:hint="eastAsia" w:ascii="宋体" w:hAnsi="宋体" w:eastAsia="宋体" w:cs="Times New Roman"/>
                <w:b/>
                <w:bCs/>
                <w:color w:val="000000"/>
                <w:spacing w:val="-8"/>
                <w:szCs w:val="21"/>
              </w:rPr>
              <w:t xml:space="preserve">日期： </w:t>
            </w:r>
            <w:r>
              <w:rPr>
                <w:rFonts w:hint="eastAsia" w:ascii="宋体" w:hAnsi="宋体"/>
                <w:b/>
                <w:color w:val="000000"/>
                <w:szCs w:val="21"/>
                <w:lang w:val="en-US" w:eastAsia="zh-CN"/>
              </w:rPr>
              <w:t>2023年1月3日</w:t>
            </w:r>
          </w:p>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jA2ZDc0NDE1ZTY5YjdmZDFkYTZhNjAxMDE4N2I3ODkifQ=="/>
  </w:docVars>
  <w:rsids>
    <w:rsidRoot w:val="00000000"/>
    <w:rsid w:val="1A7410BF"/>
    <w:rsid w:val="2FED0C50"/>
    <w:rsid w:val="6317648E"/>
    <w:rsid w:val="7F4643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表格文字"/>
    <w:basedOn w:val="1"/>
    <w:qFormat/>
    <w:uiPriority w:val="0"/>
    <w:pPr>
      <w:spacing w:before="25" w:after="25"/>
    </w:pPr>
    <w:rPr>
      <w:bCs/>
      <w:spacing w:val="10"/>
    </w:rPr>
  </w:style>
  <w:style w:type="character" w:customStyle="1" w:styleId="13">
    <w:name w:val="批注框文本 Char"/>
    <w:link w:val="5"/>
    <w:semiHidden/>
    <w:qFormat/>
    <w:locked/>
    <w:uiPriority w:val="99"/>
    <w:rPr>
      <w:rFonts w:ascii="Times New Roman" w:hAnsi="Times New Roman" w:eastAsia="宋体" w:cs="Times New Roman"/>
      <w:sz w:val="18"/>
      <w:szCs w:val="18"/>
    </w:rPr>
  </w:style>
  <w:style w:type="character" w:customStyle="1" w:styleId="14">
    <w:name w:val="页脚 Char"/>
    <w:link w:val="6"/>
    <w:qFormat/>
    <w:locked/>
    <w:uiPriority w:val="99"/>
    <w:rPr>
      <w:rFonts w:ascii="Times New Roman" w:hAnsi="Times New Roman" w:eastAsia="宋体" w:cs="Times New Roman"/>
      <w:sz w:val="18"/>
      <w:szCs w:val="18"/>
    </w:rPr>
  </w:style>
  <w:style w:type="character" w:customStyle="1" w:styleId="15">
    <w:name w:val="页眉 Char"/>
    <w:link w:val="7"/>
    <w:qFormat/>
    <w:locked/>
    <w:uiPriority w:val="99"/>
    <w:rPr>
      <w:rFonts w:ascii="Calibri" w:hAnsi="Calibri" w:eastAsia="宋体" w:cs="Times New Roman"/>
      <w:sz w:val="18"/>
      <w:szCs w:val="18"/>
    </w:rPr>
  </w:style>
  <w:style w:type="character" w:customStyle="1" w:styleId="16">
    <w:name w:val="副标题 Char"/>
    <w:link w:val="8"/>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7565</Words>
  <Characters>8214</Characters>
  <Lines>67</Lines>
  <Paragraphs>18</Paragraphs>
  <TotalTime>5</TotalTime>
  <ScaleCrop>false</ScaleCrop>
  <LinksUpToDate>false</LinksUpToDate>
  <CharactersWithSpaces>8279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2023-01-03T02:04:11Z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