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中邦诺德（河北）新能源科技有限公司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赵庶娴</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2023年04月05日 上午至2023年04月05日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