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过程与活动、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受审核部门： </w:t>
            </w:r>
            <w:r>
              <w:rPr>
                <w:rFonts w:hint="eastAsia" w:ascii="楷体" w:hAnsi="楷体" w:eastAsia="楷体"/>
                <w:lang w:eastAsia="zh-CN"/>
              </w:rPr>
              <w:t>物管部</w:t>
            </w:r>
            <w:r>
              <w:rPr>
                <w:rFonts w:hint="eastAsia" w:ascii="楷体" w:hAnsi="楷体" w:eastAsia="楷体"/>
              </w:rPr>
              <w:t xml:space="preserve">        主管领导：</w:t>
            </w:r>
            <w:r>
              <w:rPr>
                <w:rFonts w:hint="eastAsia" w:ascii="楷体" w:hAnsi="楷体" w:eastAsia="楷体"/>
                <w:lang w:eastAsia="zh-CN"/>
              </w:rPr>
              <w:t>刘莼</w:t>
            </w:r>
            <w:r>
              <w:rPr>
                <w:rFonts w:hint="eastAsia" w:ascii="楷体" w:hAnsi="楷体" w:eastAsia="楷体"/>
              </w:rPr>
              <w:t xml:space="preserve">    陪同人员：</w:t>
            </w:r>
            <w:r>
              <w:rPr>
                <w:rFonts w:hint="eastAsia" w:ascii="楷体" w:hAnsi="楷体" w:eastAsia="楷体"/>
                <w:lang w:val="en-US" w:eastAsia="zh-CN"/>
              </w:rPr>
              <w:t>阳妲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审核员：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张磊    </w:t>
            </w:r>
            <w:r>
              <w:rPr>
                <w:rFonts w:hint="eastAsia" w:ascii="楷体" w:hAnsi="楷体" w:eastAsia="楷体"/>
              </w:rPr>
              <w:t xml:space="preserve">     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楷体" w:hAnsi="楷体" w:eastAsia="楷体"/>
              </w:rPr>
              <w:t>审核条款：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8.5.4防护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物管部</w:t>
            </w:r>
            <w:r>
              <w:rPr>
                <w:rFonts w:ascii="楷体" w:hAnsi="楷体" w:eastAsia="楷体"/>
              </w:rPr>
              <w:t>的岗位、职责和权限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5.3</w:t>
            </w:r>
          </w:p>
        </w:tc>
        <w:tc>
          <w:tcPr>
            <w:tcW w:w="10596" w:type="dxa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物管部</w:t>
            </w:r>
            <w:r>
              <w:rPr>
                <w:rFonts w:hint="eastAsia" w:ascii="楷体" w:hAnsi="楷体" w:eastAsia="楷体"/>
              </w:rPr>
              <w:t>部长：</w:t>
            </w:r>
            <w:r>
              <w:rPr>
                <w:rFonts w:hint="eastAsia" w:ascii="楷体" w:hAnsi="楷体" w:eastAsia="楷体"/>
                <w:lang w:eastAsia="zh-CN"/>
              </w:rPr>
              <w:t>刘莼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查见《</w:t>
            </w:r>
            <w:r>
              <w:rPr>
                <w:rFonts w:hint="eastAsia" w:ascii="楷体" w:hAnsi="楷体" w:eastAsia="楷体"/>
                <w:lang w:eastAsia="zh-CN"/>
              </w:rPr>
              <w:t>管理手册</w:t>
            </w:r>
            <w:r>
              <w:rPr>
                <w:rFonts w:hint="eastAsia" w:ascii="楷体" w:hAnsi="楷体" w:eastAsia="楷体"/>
              </w:rPr>
              <w:t>》中人员岗位、职责和权限要求，规定了公司各个岗位的主要职责和相关要求。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物管部</w:t>
            </w:r>
            <w:r>
              <w:rPr>
                <w:rFonts w:hint="eastAsia" w:ascii="楷体" w:hAnsi="楷体" w:eastAsia="楷体"/>
              </w:rPr>
              <w:t>的主要职责有：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职责和权限：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A.负责与供方有关的过程控制；本部门环境因素危险源的识别评价控制。 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B.负责采购控制，负责化学品采购、运输、存储、领用管理，预防紧急、潜在事故发生； 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C.负责宣传影响主要供应商及外包方等相关方的环境行为。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刘莼</w:t>
            </w:r>
            <w:r>
              <w:rPr>
                <w:rFonts w:hint="eastAsia" w:ascii="楷体" w:hAnsi="楷体" w:eastAsia="楷体"/>
              </w:rPr>
              <w:t>部长清楚其职责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组织的环境因素、危险源辨识和职业安全风险评价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EO：6.1.2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组织根据手册第6.1.2条款、《环境因素识别与评价管理程序》要求，由物管部负责指导各部门环境因素的调查、评价、汇总、登记、审定及更新，各部门负责组织实施，物管部负责汇总整理。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查看组织《环境因素识别评价表》，组织在办公区、厂区仓库、实验室、车间等场所，按照活动过程调查、识别和确定了环境因素及其环境影响，对环境因素的正常、异常、紧急状态进行评价，对应责任部门明确，有相应的保存期限、责任人和制定日期，基本满足环境因素识别、确定和保持要求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涉及物管部的环境因素有办公活动中生活垃圾排放、纸张等办公废品排放、废水排放、空调排放热气、汽车尾气排放、火灾事故发生等。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采取多因子评价法进行了评价，查到“重要环境因素清单”，评价出固体废弃物排放、火灾事故的发生、粉尘/废气排放、噪声排放等4项重要环境因素。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经评价物管部的重要环境因素为：日常办公过程中固体废弃物排放、火灾事故的发生。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重要环境因素识别、评价与实际吻合，控制措施基本能够满足控制要求。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6.1.2条款、《危险源辨识级风险评价控制与控制程序》要求，由物管部负责编制《风险识别与评价表》，指导各职能部门（基层单位）开展危险、有害因素风险识别、评价，负责各职能部门（基层单位）风险评价记录的审查与控制效果有效性验证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对识别出的危险源采取D=LEC进行评价，查到“重大危险源清单”，评价出重大危险源6个，包括：火灾、人员伤害、触电、噪声伤害、粉尘伤害、高温灼伤等。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经评价物管部的重大危险源：触电事故、火灾事故。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目标及完成情况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6.2</w:t>
            </w:r>
          </w:p>
        </w:tc>
        <w:tc>
          <w:tcPr>
            <w:tcW w:w="10596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目标的制定符合部门主要工作流程实际情况，有针对性，可测量。与方针保持一致。明确了目标考核的具体方法和频次。</w:t>
            </w:r>
          </w:p>
          <w:p>
            <w:pPr>
              <w:rPr>
                <w:rFonts w:hint="default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</w:rPr>
              <w:sym w:font="Wingdings 2" w:char="F098"/>
            </w: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质量目标：                              考核结果</w:t>
            </w:r>
          </w:p>
          <w:p>
            <w:pPr>
              <w:rPr>
                <w:rFonts w:hint="eastAsia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/>
                <w:lang w:val="en-US" w:eastAsia="zh-CN"/>
              </w:rPr>
              <w:t xml:space="preserve">供方评定合格率100%                         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  <w:t xml:space="preserve">100  </w:t>
            </w: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环境目标：</w:t>
            </w:r>
          </w:p>
          <w:p>
            <w:pPr>
              <w:pStyle w:val="2"/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固体废弃物100%分类，合理处理；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100</w:t>
            </w:r>
          </w:p>
          <w:p>
            <w:pPr>
              <w:pStyle w:val="2"/>
              <w:rPr>
                <w:rFonts w:hint="eastAsia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职业健康安全目标：</w:t>
            </w:r>
          </w:p>
          <w:p>
            <w:pPr>
              <w:pStyle w:val="2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>触电、</w:t>
            </w: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火灾事故为零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             0</w:t>
            </w:r>
            <w:r>
              <w:rPr>
                <w:rFonts w:hint="eastAsia" w:ascii="楷体" w:hAnsi="楷体" w:eastAsia="楷体"/>
                <w:bCs/>
              </w:rPr>
              <w:t xml:space="preserve">                    </w:t>
            </w:r>
          </w:p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考核期限为202</w:t>
            </w:r>
            <w:r>
              <w:rPr>
                <w:rFonts w:hint="eastAsia" w:ascii="楷体" w:hAnsi="楷体" w:eastAsia="楷体"/>
                <w:lang w:val="en-US" w:eastAsia="zh-CN"/>
              </w:rPr>
              <w:t>2年12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hint="eastAsia" w:ascii="楷体" w:hAnsi="楷体" w:eastAsia="楷体"/>
                <w:lang w:val="en-US" w:eastAsia="zh-CN"/>
              </w:rPr>
              <w:t>25日。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外部提供的过程、产品和服务的性质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  <w:szCs w:val="21"/>
              </w:rPr>
              <w:t>总则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1"/>
                <w:u w:val="none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/>
                <w:szCs w:val="21"/>
              </w:rPr>
              <w:t>8.4.1</w:t>
            </w:r>
          </w:p>
        </w:tc>
        <w:tc>
          <w:tcPr>
            <w:tcW w:w="10596" w:type="dxa"/>
            <w:vAlign w:val="top"/>
          </w:tcPr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</w:rPr>
              <w:t>编制《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采购控制程序</w:t>
            </w:r>
            <w:r>
              <w:rPr>
                <w:rFonts w:hint="eastAsia" w:ascii="楷体" w:hAnsi="楷体" w:eastAsia="楷体"/>
                <w:bCs/>
                <w:szCs w:val="21"/>
              </w:rPr>
              <w:t>》，规定了对选择评价和重新评审供方的方法。通过调查供方的质量保证能力如：具有营业登记、产品质量、质量保证能力、价格、交货、服务、质量管理体系等方面进行评价。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</w:rPr>
              <w:t>主要采购物资有：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聚乙烯、色母</w:t>
            </w:r>
            <w:r>
              <w:rPr>
                <w:rFonts w:hint="eastAsia" w:ascii="楷体" w:hAnsi="楷体" w:eastAsia="楷体"/>
                <w:bCs/>
                <w:szCs w:val="21"/>
              </w:rPr>
              <w:t>等。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</w:rPr>
              <w:t>识别的外包过程：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无</w:t>
            </w:r>
            <w:r>
              <w:rPr>
                <w:rFonts w:hint="eastAsia" w:ascii="楷体" w:hAnsi="楷体" w:eastAsia="楷体"/>
                <w:bCs/>
                <w:szCs w:val="21"/>
              </w:rPr>
              <w:t>。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</w:rPr>
              <w:t>查《合格供方</w:t>
            </w:r>
            <w:r>
              <w:rPr>
                <w:rFonts w:hint="eastAsia" w:ascii="楷体" w:hAnsi="楷体" w:eastAsia="楷体"/>
                <w:bCs/>
                <w:color w:val="auto"/>
                <w:szCs w:val="21"/>
              </w:rPr>
              <w:t>名录》，共显示合格供应商</w:t>
            </w:r>
            <w:r>
              <w:rPr>
                <w:rFonts w:hint="eastAsia" w:ascii="楷体" w:hAnsi="楷体" w:eastAsia="楷体"/>
                <w:bCs/>
                <w:color w:val="auto"/>
                <w:szCs w:val="21"/>
                <w:lang w:val="en-US" w:eastAsia="zh-CN"/>
              </w:rPr>
              <w:t>中中国石化化工销售有限公司华中分公司</w:t>
            </w:r>
            <w:r>
              <w:rPr>
                <w:rFonts w:hint="eastAsia" w:ascii="楷体" w:hAnsi="楷体" w:eastAsia="楷体"/>
                <w:bCs/>
                <w:color w:val="auto"/>
                <w:szCs w:val="21"/>
              </w:rPr>
              <w:t>、湖南楚轩塑业有限公司、</w:t>
            </w:r>
            <w:r>
              <w:rPr>
                <w:rFonts w:hint="eastAsia" w:ascii="楷体" w:hAnsi="楷体" w:eastAsia="楷体"/>
                <w:bCs/>
                <w:color w:val="auto"/>
                <w:szCs w:val="21"/>
                <w:lang w:val="en-US" w:eastAsia="zh-CN"/>
              </w:rPr>
              <w:t>淄甘肃龙昌石化集团有限公司</w:t>
            </w:r>
            <w:r>
              <w:rPr>
                <w:rFonts w:hint="eastAsia" w:ascii="楷体" w:hAnsi="楷体" w:eastAsia="楷体"/>
                <w:bCs/>
                <w:color w:val="auto"/>
                <w:szCs w:val="21"/>
              </w:rPr>
              <w:t>、广东东莞市湖塑实业有限公司等供应商，内容包括：序号、供方名称、地址、提供产品、是否合格评定等。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未能提供</w:t>
            </w:r>
            <w:r>
              <w:rPr>
                <w:rFonts w:hint="eastAsia" w:ascii="楷体" w:hAnsi="楷体" w:eastAsia="楷体"/>
                <w:bCs/>
                <w:szCs w:val="21"/>
              </w:rPr>
              <w:t>公司对供应商的管理和控制按照策划的要求开展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的相关证据</w:t>
            </w:r>
            <w:r>
              <w:rPr>
                <w:rFonts w:hint="eastAsia" w:ascii="楷体" w:hAnsi="楷体" w:eastAsia="楷体"/>
                <w:bCs/>
                <w:szCs w:val="21"/>
              </w:rPr>
              <w:t>。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采购过程及控制类型和程度</w:t>
            </w:r>
          </w:p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1"/>
                <w:u w:val="none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/>
                <w:szCs w:val="21"/>
              </w:rPr>
              <w:t>8.4.2</w:t>
            </w:r>
          </w:p>
        </w:tc>
        <w:tc>
          <w:tcPr>
            <w:tcW w:w="10596" w:type="dxa"/>
            <w:vAlign w:val="top"/>
          </w:tcPr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</w:rPr>
              <w:t>编制了</w:t>
            </w:r>
            <w:r>
              <w:rPr>
                <w:rFonts w:hint="eastAsia" w:ascii="楷体" w:hAnsi="楷体" w:eastAsia="楷体"/>
                <w:bCs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采购控制程序</w:t>
            </w:r>
            <w:r>
              <w:rPr>
                <w:rFonts w:hint="eastAsia" w:ascii="楷体" w:hAnsi="楷体" w:eastAsia="楷体"/>
                <w:bCs/>
                <w:szCs w:val="21"/>
              </w:rPr>
              <w:t>》文件。按文件要求对外部供方及其提供的产品或过程进行控制。通过调查供方的质量保证能力如：具有营业登记、产品质量、质量保证能力、价格、交货、服务、质量管理体系等方面进行评价。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采购产品的进货检验。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</w:rPr>
              <w:t>查看采购产品及入库单，均为从合格供方处采购。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提供给外部供方的信息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1"/>
                <w:u w:val="none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/>
                <w:szCs w:val="21"/>
              </w:rPr>
              <w:t>8.4.3</w:t>
            </w:r>
          </w:p>
        </w:tc>
        <w:tc>
          <w:tcPr>
            <w:tcW w:w="10596" w:type="dxa"/>
            <w:vAlign w:val="top"/>
          </w:tcPr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  <w:lang w:eastAsia="zh-CN"/>
              </w:rPr>
              <w:t>物管部</w:t>
            </w:r>
            <w:r>
              <w:rPr>
                <w:rFonts w:hint="eastAsia" w:ascii="楷体" w:hAnsi="楷体" w:eastAsia="楷体"/>
                <w:bCs/>
                <w:szCs w:val="21"/>
              </w:rPr>
              <w:t>根据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生产计划</w:t>
            </w:r>
            <w:r>
              <w:rPr>
                <w:rFonts w:hint="eastAsia" w:ascii="楷体" w:hAnsi="楷体" w:eastAsia="楷体"/>
                <w:bCs/>
                <w:szCs w:val="21"/>
              </w:rPr>
              <w:t>，确定需要实施采购的任务，由部门主管进行签核。</w:t>
            </w:r>
            <w:r>
              <w:rPr>
                <w:rFonts w:ascii="楷体" w:hAnsi="楷体" w:eastAsia="楷体"/>
                <w:bCs/>
                <w:szCs w:val="21"/>
              </w:rPr>
              <w:t>公司已建立、保持与合格供方信息反馈渠道，及时沟通、保持协调，有良好的互惠关系；采购信息充分、可靠，采购产品的要</w:t>
            </w:r>
            <w:r>
              <w:rPr>
                <w:rFonts w:ascii="楷体" w:hAnsi="楷体" w:eastAsia="楷体" w:cs="宋体"/>
                <w:szCs w:val="21"/>
              </w:rPr>
              <w:t>求明确、适宜（包括品名、规格、数量、交付期、价格等）；</w:t>
            </w:r>
          </w:p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ascii="楷体" w:hAnsi="楷体" w:eastAsia="楷体" w:cs="宋体"/>
                <w:szCs w:val="21"/>
              </w:rPr>
              <w:sym w:font="Wingdings 2" w:char="F098"/>
            </w:r>
            <w:r>
              <w:rPr>
                <w:rFonts w:ascii="楷体" w:hAnsi="楷体" w:eastAsia="楷体" w:cs="宋体"/>
                <w:szCs w:val="21"/>
              </w:rPr>
              <w:t>查</w:t>
            </w:r>
            <w:r>
              <w:rPr>
                <w:rFonts w:hint="eastAsia" w:ascii="楷体" w:hAnsi="楷体" w:eastAsia="楷体" w:cs="宋体"/>
                <w:szCs w:val="21"/>
              </w:rPr>
              <w:t>看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2022.7.5色母采购合同，供应商：广东东莞市湖塑实业有限公司，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规格：黑色，数量：10吨；</w:t>
            </w:r>
            <w:r>
              <w:rPr>
                <w:rFonts w:hint="eastAsia" w:ascii="楷体" w:hAnsi="楷体" w:eastAsia="楷体" w:cs="宋体"/>
                <w:szCs w:val="21"/>
              </w:rPr>
              <w:t>202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楷体" w:hAnsi="楷体" w:eastAsia="楷体" w:cs="宋体"/>
                <w:szCs w:val="21"/>
              </w:rPr>
              <w:t>采购合同</w:t>
            </w:r>
            <w:r>
              <w:rPr>
                <w:rFonts w:hint="eastAsia" w:ascii="楷体" w:hAnsi="楷体" w:eastAsia="楷体" w:cs="宋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合同编号：1024，供应商：湖南楚轩塑业有限公司</w:t>
            </w:r>
            <w:r>
              <w:rPr>
                <w:rFonts w:hint="eastAsia" w:ascii="楷体" w:hAnsi="楷体" w:eastAsia="楷体" w:cs="宋体"/>
                <w:szCs w:val="21"/>
              </w:rPr>
              <w:t>的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聚乙烯，规格：YGH041,数量：29.25吨</w:t>
            </w:r>
            <w:r>
              <w:rPr>
                <w:rFonts w:hint="eastAsia" w:ascii="楷体" w:hAnsi="楷体" w:eastAsia="楷体" w:cs="宋体"/>
                <w:szCs w:val="21"/>
              </w:rPr>
              <w:t>、202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szCs w:val="21"/>
              </w:rPr>
              <w:t>的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聚乙烯采购</w:t>
            </w:r>
            <w:r>
              <w:rPr>
                <w:rFonts w:hint="eastAsia" w:ascii="楷体" w:hAnsi="楷体" w:eastAsia="楷体" w:cs="宋体"/>
                <w:szCs w:val="21"/>
              </w:rPr>
              <w:t>合同</w:t>
            </w:r>
            <w:r>
              <w:rPr>
                <w:rFonts w:hint="eastAsia" w:ascii="楷体" w:hAnsi="楷体" w:eastAsia="楷体" w:cs="宋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合同编号：S0221122000254，供应商：明日控股（武汉）有限公司，规格：中油独山子低压4808,数量：32吨</w:t>
            </w:r>
            <w:r>
              <w:rPr>
                <w:rFonts w:hint="eastAsia" w:ascii="楷体" w:hAnsi="楷体" w:eastAsia="楷体" w:cs="宋体"/>
                <w:szCs w:val="21"/>
              </w:rPr>
              <w:t>、202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7黑高</w:t>
            </w:r>
            <w:r>
              <w:rPr>
                <w:rFonts w:hint="eastAsia" w:ascii="楷体" w:hAnsi="楷体" w:eastAsia="楷体" w:cs="宋体"/>
                <w:szCs w:val="21"/>
              </w:rPr>
              <w:t>采购合同</w:t>
            </w:r>
            <w:r>
              <w:rPr>
                <w:rFonts w:hint="eastAsia" w:ascii="楷体" w:hAnsi="楷体" w:eastAsia="楷体" w:cs="宋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Cs w:val="21"/>
              </w:rPr>
              <w:t>另有包装、运输、验收、违约等内容、双方盖章签字。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</w:rPr>
              <w:t>从供方评价记录中看出对于已有的合格供方提供的产品，均满意。</w:t>
            </w:r>
            <w:r>
              <w:rPr>
                <w:rFonts w:ascii="楷体" w:hAnsi="楷体" w:eastAsia="楷体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/>
                <w:bCs/>
                <w:szCs w:val="21"/>
              </w:rPr>
            </w:pPr>
            <w:r>
              <w:rPr>
                <w:rFonts w:ascii="楷体" w:hAnsi="楷体" w:eastAsia="楷体"/>
              </w:rPr>
              <w:t>防护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8.5.4</w:t>
            </w:r>
          </w:p>
        </w:tc>
        <w:tc>
          <w:tcPr>
            <w:tcW w:w="10596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企业产品为管材，</w:t>
            </w:r>
            <w:r>
              <w:rPr>
                <w:rFonts w:hint="eastAsia" w:ascii="楷体" w:hAnsi="楷体" w:eastAsia="楷体"/>
              </w:rPr>
              <w:t>储存环境没有其他特殊要求，</w:t>
            </w:r>
            <w:r>
              <w:rPr>
                <w:rFonts w:hint="eastAsia" w:ascii="楷体" w:hAnsi="楷体" w:eastAsia="楷体"/>
                <w:lang w:val="en-US" w:eastAsia="zh-CN"/>
              </w:rPr>
              <w:t>企业定期进行消防演练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现场查看原材料：高密度聚乙烯、聚丙烯、配件，存放在指定区域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建立进厂物料总账，总账的内容包括进厂时间、物料名称、物料批号、供货单位、收料数量、检验单号、收料人等信息。应根据每天实际的物料进厂情况登记台账，确保账、物一致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现场查看成品摆放，成品管材，存放在指定区域，按客户、规格摆放。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部门防护过程控制基本有效，详情后期疫情过后，进一步现场观察审核。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现场未出现因防护不当产生的不合格品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运行策划和控制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EO8.1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本部门应执行的运行控制文件：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《运行控制程序》、《污染控制程序》《噪声控制程序》、《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应急准备和响应控制程序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运行控制情况：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■办公过程使用的电器如：空调、电脑、灯具均符合安全设计要求，使用过程注意安全，预防触电，工作时间平均每天8小时；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劳保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用品按要求由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销售部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负责发放，作好记录；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主要劳保用品为：线手套、洗衣粉、胶手套、口罩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耳塞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、创口贴 、纱布、线手套、胶手套，记录了发放时间、领用人等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相关方施加影响：公司能够控制或能够施加影响的相关方有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与企业合作的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商户、固体废弃物处理等。提供了“致相关方的公开信”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并跟部分需要再厂区内活动的相关方签订安全管理协议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，将公司关于采购物资、固体废弃物处理等方面环境控制要求发放到了周边商户，督促影响各相关方按照环境管理体系要求对环境施加影响。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公司办公产生的废硒鼓、废墨盒由供应方公司回收；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■公司为员工缴纳了工伤保险，提供了缴纳保险的证据。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■办公区固废；现在分类集中存放，及时处理，防止意外火灾。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■驾驶员要求遵守道路交通安全法，不违章驾车，驾驶证和车辆定期年审，确保行车安全；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■现场查看办公区域配备有符合要求的灭火器等，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销售部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设备、电器状态良好，无安全隐患。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■摔倒：地面及时清理和清洁；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■中暑：有空调、风扇；有冷饮、凉茶；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■触电：有过流保护器；全公司使用220V的电压；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悬挂警示标志；应急救援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■消防：消防栓、灭火器（干粉）；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定期检查；及时更换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hint="default" w:ascii="楷体" w:hAnsi="楷体" w:eastAsia="楷体" w:cs="Times New Roman"/>
                <w:bCs/>
                <w:szCs w:val="21"/>
                <w:lang w:val="en-US"/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应急响应和准备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EO8.2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1、查策划有《应急准备和响应控制程序》，编制有《应急预案》。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2、应急准备工作开展以下活动：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——建立有应急组织，提供出应急组织机构图、消防队人员名单、职责权限规定等。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——配备相应的消防器材。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——进行消防常识和能力的培训、潜在的火灾爆炸的常识和能力的培训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3、该部门介绍开展了消防器材的使用和人员紧急疏散演练活动：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提供有“火灾消防演习”。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——演练时间：时间2022年10月18日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——参加人员：全体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——对消防应急预案的适用性、可操作性进行评审；符合要求。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zh-CN" w:eastAsia="zh-CN"/>
              </w:rPr>
              <w:t>现场查看，办公区域配置了灭火器，在有效期内。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</w:p>
        </w:tc>
      </w:tr>
    </w:tbl>
    <w:p>
      <w:pPr>
        <w:pStyle w:val="8"/>
      </w:pPr>
      <w:r>
        <w:rPr>
          <w:rFonts w:hint="eastAsia"/>
        </w:rPr>
        <w:t>说明：不符合标注N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26"/>
        <w:rFonts w:hint="default"/>
      </w:rPr>
      <w:t>北京国标联合认证有限公司</w:t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2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2395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537B"/>
    <w:rsid w:val="00115970"/>
    <w:rsid w:val="0011724D"/>
    <w:rsid w:val="00133252"/>
    <w:rsid w:val="00163990"/>
    <w:rsid w:val="00167639"/>
    <w:rsid w:val="001811A7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320E7"/>
    <w:rsid w:val="00242E30"/>
    <w:rsid w:val="00262EF7"/>
    <w:rsid w:val="00263851"/>
    <w:rsid w:val="002C6FA6"/>
    <w:rsid w:val="002E6D84"/>
    <w:rsid w:val="002F2DCF"/>
    <w:rsid w:val="002F3464"/>
    <w:rsid w:val="002F43EA"/>
    <w:rsid w:val="003113F5"/>
    <w:rsid w:val="00311567"/>
    <w:rsid w:val="0032052A"/>
    <w:rsid w:val="0032094B"/>
    <w:rsid w:val="003314A0"/>
    <w:rsid w:val="0033391C"/>
    <w:rsid w:val="00335A78"/>
    <w:rsid w:val="0034669B"/>
    <w:rsid w:val="003525CD"/>
    <w:rsid w:val="003847C4"/>
    <w:rsid w:val="003C38B9"/>
    <w:rsid w:val="003C5D0C"/>
    <w:rsid w:val="003F4180"/>
    <w:rsid w:val="003F59AA"/>
    <w:rsid w:val="00401CF9"/>
    <w:rsid w:val="004041FA"/>
    <w:rsid w:val="00405DA5"/>
    <w:rsid w:val="00412C8E"/>
    <w:rsid w:val="0042110E"/>
    <w:rsid w:val="0042683A"/>
    <w:rsid w:val="004616EE"/>
    <w:rsid w:val="004641FE"/>
    <w:rsid w:val="00476D56"/>
    <w:rsid w:val="0049387C"/>
    <w:rsid w:val="00494BB0"/>
    <w:rsid w:val="004A5C76"/>
    <w:rsid w:val="004B0C2A"/>
    <w:rsid w:val="004B19FC"/>
    <w:rsid w:val="004B28E5"/>
    <w:rsid w:val="004C1BB3"/>
    <w:rsid w:val="005108B4"/>
    <w:rsid w:val="00512C14"/>
    <w:rsid w:val="00520C3A"/>
    <w:rsid w:val="005254D3"/>
    <w:rsid w:val="0053535B"/>
    <w:rsid w:val="005379CF"/>
    <w:rsid w:val="005414A8"/>
    <w:rsid w:val="005608DB"/>
    <w:rsid w:val="00561237"/>
    <w:rsid w:val="0057385A"/>
    <w:rsid w:val="00583C0B"/>
    <w:rsid w:val="00585C3A"/>
    <w:rsid w:val="005951E4"/>
    <w:rsid w:val="00597760"/>
    <w:rsid w:val="005B331E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52366"/>
    <w:rsid w:val="00654F61"/>
    <w:rsid w:val="00662809"/>
    <w:rsid w:val="00683644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C0304"/>
    <w:rsid w:val="007D54C4"/>
    <w:rsid w:val="007D6292"/>
    <w:rsid w:val="007E3A13"/>
    <w:rsid w:val="007E5D8F"/>
    <w:rsid w:val="007F57B9"/>
    <w:rsid w:val="0080039D"/>
    <w:rsid w:val="00821697"/>
    <w:rsid w:val="00825A0E"/>
    <w:rsid w:val="00834C7C"/>
    <w:rsid w:val="00895671"/>
    <w:rsid w:val="008A4FBA"/>
    <w:rsid w:val="008B708C"/>
    <w:rsid w:val="008C6B1F"/>
    <w:rsid w:val="008D1AED"/>
    <w:rsid w:val="008D7855"/>
    <w:rsid w:val="008F1718"/>
    <w:rsid w:val="00905121"/>
    <w:rsid w:val="0092115F"/>
    <w:rsid w:val="009271CE"/>
    <w:rsid w:val="00930E90"/>
    <w:rsid w:val="00934CF5"/>
    <w:rsid w:val="009528CE"/>
    <w:rsid w:val="00955F6D"/>
    <w:rsid w:val="0096115C"/>
    <w:rsid w:val="00976222"/>
    <w:rsid w:val="009840FE"/>
    <w:rsid w:val="0099399D"/>
    <w:rsid w:val="00996D96"/>
    <w:rsid w:val="009A259C"/>
    <w:rsid w:val="009B114F"/>
    <w:rsid w:val="009B5A76"/>
    <w:rsid w:val="009C4202"/>
    <w:rsid w:val="009D086B"/>
    <w:rsid w:val="009D4A2D"/>
    <w:rsid w:val="009F4CA7"/>
    <w:rsid w:val="00A002C3"/>
    <w:rsid w:val="00A71171"/>
    <w:rsid w:val="00A742DD"/>
    <w:rsid w:val="00A76E95"/>
    <w:rsid w:val="00A81089"/>
    <w:rsid w:val="00A85860"/>
    <w:rsid w:val="00A97C92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67D1A"/>
    <w:rsid w:val="00B83F38"/>
    <w:rsid w:val="00B86379"/>
    <w:rsid w:val="00BB0936"/>
    <w:rsid w:val="00BC058B"/>
    <w:rsid w:val="00BC20B8"/>
    <w:rsid w:val="00BC2EFC"/>
    <w:rsid w:val="00BC31D0"/>
    <w:rsid w:val="00BC5A1D"/>
    <w:rsid w:val="00BD1174"/>
    <w:rsid w:val="00BD7D50"/>
    <w:rsid w:val="00BE2064"/>
    <w:rsid w:val="00BF53A5"/>
    <w:rsid w:val="00C10C4C"/>
    <w:rsid w:val="00C12452"/>
    <w:rsid w:val="00C172DF"/>
    <w:rsid w:val="00C44474"/>
    <w:rsid w:val="00C52B1F"/>
    <w:rsid w:val="00C6307D"/>
    <w:rsid w:val="00C63AB8"/>
    <w:rsid w:val="00C6714E"/>
    <w:rsid w:val="00C70A3C"/>
    <w:rsid w:val="00C71F08"/>
    <w:rsid w:val="00C75231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7082A"/>
    <w:rsid w:val="00D70A6F"/>
    <w:rsid w:val="00D747A7"/>
    <w:rsid w:val="00D82580"/>
    <w:rsid w:val="00D84B6C"/>
    <w:rsid w:val="00D975E5"/>
    <w:rsid w:val="00DA5622"/>
    <w:rsid w:val="00DA7002"/>
    <w:rsid w:val="00DC5940"/>
    <w:rsid w:val="00DD0CC9"/>
    <w:rsid w:val="00DD42DE"/>
    <w:rsid w:val="00DD5610"/>
    <w:rsid w:val="00DD5C76"/>
    <w:rsid w:val="00DF5B91"/>
    <w:rsid w:val="00E30D3B"/>
    <w:rsid w:val="00E40048"/>
    <w:rsid w:val="00E4285C"/>
    <w:rsid w:val="00E45019"/>
    <w:rsid w:val="00E4556C"/>
    <w:rsid w:val="00E94863"/>
    <w:rsid w:val="00EA2498"/>
    <w:rsid w:val="00EC3B82"/>
    <w:rsid w:val="00ED2231"/>
    <w:rsid w:val="00F21608"/>
    <w:rsid w:val="00F241FB"/>
    <w:rsid w:val="00F270C7"/>
    <w:rsid w:val="00F307D1"/>
    <w:rsid w:val="00F32A16"/>
    <w:rsid w:val="00F32A2E"/>
    <w:rsid w:val="00F337DF"/>
    <w:rsid w:val="00F44E61"/>
    <w:rsid w:val="00F649DE"/>
    <w:rsid w:val="00F71AC1"/>
    <w:rsid w:val="00F76756"/>
    <w:rsid w:val="00F82D59"/>
    <w:rsid w:val="00F97B79"/>
    <w:rsid w:val="00FC204B"/>
    <w:rsid w:val="00FC660E"/>
    <w:rsid w:val="00FE16FE"/>
    <w:rsid w:val="053359C8"/>
    <w:rsid w:val="0BE57DFA"/>
    <w:rsid w:val="179A34E4"/>
    <w:rsid w:val="1A900232"/>
    <w:rsid w:val="23A96A97"/>
    <w:rsid w:val="327F351A"/>
    <w:rsid w:val="3D1A4935"/>
    <w:rsid w:val="40F16E61"/>
    <w:rsid w:val="4BAF4744"/>
    <w:rsid w:val="5055481C"/>
    <w:rsid w:val="55B701B4"/>
    <w:rsid w:val="72DA760F"/>
    <w:rsid w:val="7BD44C5F"/>
    <w:rsid w:val="7C592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rFonts w:hint="eastAsia" w:ascii="微软雅黑" w:hAnsi="微软雅黑" w:eastAsia="微软雅黑" w:cs="微软雅黑"/>
      <w:color w:val="146C88"/>
      <w:sz w:val="24"/>
      <w:szCs w:val="24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Variable"/>
    <w:basedOn w:val="12"/>
    <w:semiHidden/>
    <w:unhideWhenUsed/>
    <w:qFormat/>
    <w:uiPriority w:val="99"/>
    <w:rPr>
      <w:sz w:val="0"/>
      <w:szCs w:val="0"/>
      <w:bdr w:val="single" w:color="CCCCCC" w:sz="2" w:space="0"/>
      <w:shd w:val="clear" w:fill="FFFFFF"/>
    </w:rPr>
  </w:style>
  <w:style w:type="character" w:styleId="18">
    <w:name w:val="Hyperlink"/>
    <w:basedOn w:val="12"/>
    <w:semiHidden/>
    <w:unhideWhenUsed/>
    <w:qFormat/>
    <w:uiPriority w:val="99"/>
    <w:rPr>
      <w:rFonts w:hint="eastAsia" w:ascii="微软雅黑" w:hAnsi="微软雅黑" w:eastAsia="微软雅黑" w:cs="微软雅黑"/>
      <w:color w:val="146C88"/>
      <w:sz w:val="24"/>
      <w:szCs w:val="24"/>
      <w:u w:val="none"/>
    </w:rPr>
  </w:style>
  <w:style w:type="character" w:styleId="19">
    <w:name w:val="HTML Code"/>
    <w:basedOn w:val="12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20">
    <w:name w:val="HTML Cite"/>
    <w:basedOn w:val="12"/>
    <w:semiHidden/>
    <w:unhideWhenUsed/>
    <w:qFormat/>
    <w:uiPriority w:val="99"/>
  </w:style>
  <w:style w:type="character" w:styleId="21">
    <w:name w:val="HTML Keyboard"/>
    <w:basedOn w:val="12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22">
    <w:name w:val="HTML Sample"/>
    <w:basedOn w:val="12"/>
    <w:semiHidden/>
    <w:unhideWhenUsed/>
    <w:qFormat/>
    <w:uiPriority w:val="99"/>
    <w:rPr>
      <w:rFonts w:ascii="Courier New" w:hAnsi="Courier New" w:eastAsia="Courier New" w:cs="Courier New"/>
    </w:rPr>
  </w:style>
  <w:style w:type="character" w:customStyle="1" w:styleId="23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NormalCharacter"/>
    <w:qFormat/>
    <w:uiPriority w:val="0"/>
  </w:style>
  <w:style w:type="paragraph" w:customStyle="1" w:styleId="3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31">
    <w:name w:val="checked"/>
    <w:basedOn w:val="12"/>
    <w:qFormat/>
    <w:uiPriority w:val="0"/>
    <w:rPr>
      <w:vanish/>
    </w:rPr>
  </w:style>
  <w:style w:type="character" w:customStyle="1" w:styleId="32">
    <w:name w:val="checked1"/>
    <w:basedOn w:val="12"/>
    <w:qFormat/>
    <w:uiPriority w:val="0"/>
  </w:style>
  <w:style w:type="character" w:customStyle="1" w:styleId="33">
    <w:name w:val="ca-nav-next"/>
    <w:basedOn w:val="12"/>
    <w:qFormat/>
    <w:uiPriority w:val="0"/>
  </w:style>
  <w:style w:type="character" w:customStyle="1" w:styleId="34">
    <w:name w:val="button"/>
    <w:basedOn w:val="12"/>
    <w:qFormat/>
    <w:uiPriority w:val="0"/>
  </w:style>
  <w:style w:type="character" w:customStyle="1" w:styleId="35">
    <w:name w:val="last-child"/>
    <w:basedOn w:val="12"/>
    <w:qFormat/>
    <w:uiPriority w:val="0"/>
    <w:rPr>
      <w:color w:val="999999"/>
    </w:rPr>
  </w:style>
  <w:style w:type="character" w:customStyle="1" w:styleId="36">
    <w:name w:val="last-child1"/>
    <w:basedOn w:val="12"/>
    <w:uiPriority w:val="0"/>
  </w:style>
  <w:style w:type="character" w:customStyle="1" w:styleId="37">
    <w:name w:val="hover19"/>
    <w:basedOn w:val="12"/>
    <w:uiPriority w:val="0"/>
  </w:style>
  <w:style w:type="character" w:customStyle="1" w:styleId="38">
    <w:name w:val="hover20"/>
    <w:basedOn w:val="12"/>
    <w:qFormat/>
    <w:uiPriority w:val="0"/>
    <w:rPr>
      <w:shd w:val="clear" w:fill="F2F2F2"/>
    </w:rPr>
  </w:style>
  <w:style w:type="character" w:customStyle="1" w:styleId="39">
    <w:name w:val="hover21"/>
    <w:basedOn w:val="12"/>
    <w:qFormat/>
    <w:uiPriority w:val="0"/>
    <w:rPr>
      <w:shd w:val="clear" w:fill="F2F2F2"/>
    </w:rPr>
  </w:style>
  <w:style w:type="character" w:customStyle="1" w:styleId="40">
    <w:name w:val="active2"/>
    <w:basedOn w:val="12"/>
    <w:uiPriority w:val="0"/>
    <w:rPr>
      <w:shd w:val="clear" w:fill="F2F2F2"/>
    </w:rPr>
  </w:style>
  <w:style w:type="character" w:customStyle="1" w:styleId="41">
    <w:name w:val="tmpztreemove_arrow"/>
    <w:basedOn w:val="12"/>
    <w:qFormat/>
    <w:uiPriority w:val="0"/>
  </w:style>
  <w:style w:type="character" w:customStyle="1" w:styleId="42">
    <w:name w:val="hover"/>
    <w:basedOn w:val="12"/>
    <w:qFormat/>
    <w:uiPriority w:val="0"/>
  </w:style>
  <w:style w:type="character" w:customStyle="1" w:styleId="43">
    <w:name w:val="hover1"/>
    <w:basedOn w:val="12"/>
    <w:qFormat/>
    <w:uiPriority w:val="0"/>
    <w:rPr>
      <w:shd w:val="clear" w:fill="F2F2F2"/>
    </w:rPr>
  </w:style>
  <w:style w:type="character" w:customStyle="1" w:styleId="44">
    <w:name w:val="hover2"/>
    <w:basedOn w:val="12"/>
    <w:qFormat/>
    <w:uiPriority w:val="0"/>
    <w:rPr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3227</Words>
  <Characters>3422</Characters>
  <Lines>142</Lines>
  <Paragraphs>40</Paragraphs>
  <TotalTime>1</TotalTime>
  <ScaleCrop>false</ScaleCrop>
  <LinksUpToDate>false</LinksUpToDate>
  <CharactersWithSpaces>3566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2023-02-18T07:48:14Z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CBDABF299A064D14A5DF11D9E897C68B</vt:lpwstr>
  </property>
</Properties>
</file>