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楷体" w:hAnsi="楷体" w:eastAsia="楷体"/>
              </w:rPr>
            </w:pPr>
            <w:r>
              <w:rPr>
                <w:rFonts w:hint="eastAsia" w:ascii="楷体" w:hAnsi="楷体" w:eastAsia="楷体"/>
              </w:rPr>
              <w:t>过程与活动、</w:t>
            </w:r>
          </w:p>
          <w:p>
            <w:pPr>
              <w:rPr>
                <w:rFonts w:ascii="楷体" w:hAnsi="楷体" w:eastAsia="楷体"/>
              </w:rPr>
            </w:pPr>
            <w:r>
              <w:rPr>
                <w:rFonts w:hint="eastAsia" w:ascii="楷体" w:hAnsi="楷体" w:eastAsia="楷体"/>
              </w:rPr>
              <w:t>抽样计划</w:t>
            </w:r>
          </w:p>
        </w:tc>
        <w:tc>
          <w:tcPr>
            <w:tcW w:w="960" w:type="dxa"/>
            <w:vMerge w:val="restart"/>
            <w:vAlign w:val="center"/>
          </w:tcPr>
          <w:p>
            <w:pPr>
              <w:rPr>
                <w:rFonts w:ascii="楷体" w:hAnsi="楷体" w:eastAsia="楷体"/>
              </w:rPr>
            </w:pPr>
            <w:r>
              <w:rPr>
                <w:rFonts w:hint="eastAsia" w:ascii="楷体" w:hAnsi="楷体" w:eastAsia="楷体"/>
              </w:rPr>
              <w:t>涉及</w:t>
            </w:r>
          </w:p>
          <w:p>
            <w:pPr>
              <w:rPr>
                <w:rFonts w:ascii="楷体" w:hAnsi="楷体" w:eastAsia="楷体"/>
              </w:rPr>
            </w:pPr>
            <w:r>
              <w:rPr>
                <w:rFonts w:hint="eastAsia" w:ascii="楷体" w:hAnsi="楷体" w:eastAsia="楷体"/>
              </w:rPr>
              <w:t>条款</w:t>
            </w:r>
          </w:p>
        </w:tc>
        <w:tc>
          <w:tcPr>
            <w:tcW w:w="10596" w:type="dxa"/>
            <w:vAlign w:val="center"/>
          </w:tcPr>
          <w:p>
            <w:pPr>
              <w:rPr>
                <w:rFonts w:ascii="楷体" w:hAnsi="楷体" w:eastAsia="楷体"/>
              </w:rPr>
            </w:pPr>
            <w:r>
              <w:rPr>
                <w:rFonts w:hint="eastAsia" w:ascii="楷体" w:hAnsi="楷体" w:eastAsia="楷体"/>
              </w:rPr>
              <w:t xml:space="preserve">受审核部门： </w:t>
            </w:r>
            <w:r>
              <w:rPr>
                <w:rFonts w:hint="eastAsia" w:ascii="楷体" w:hAnsi="楷体" w:eastAsia="楷体"/>
                <w:lang w:eastAsia="zh-CN"/>
              </w:rPr>
              <w:t>办公室</w:t>
            </w:r>
            <w:r>
              <w:rPr>
                <w:rFonts w:hint="eastAsia" w:ascii="楷体" w:hAnsi="楷体" w:eastAsia="楷体"/>
              </w:rPr>
              <w:t xml:space="preserve">        主管领导：</w:t>
            </w:r>
            <w:bookmarkStart w:id="0" w:name="联系人"/>
            <w:r>
              <w:rPr>
                <w:rFonts w:hint="eastAsia" w:ascii="楷体" w:hAnsi="楷体" w:eastAsia="楷体"/>
              </w:rPr>
              <w:t>阳妲</w:t>
            </w:r>
            <w:bookmarkEnd w:id="0"/>
            <w:r>
              <w:rPr>
                <w:rFonts w:hint="eastAsia" w:ascii="楷体" w:hAnsi="楷体" w:eastAsia="楷体"/>
              </w:rPr>
              <w:t xml:space="preserve">    陪同人员：陈小兵</w:t>
            </w:r>
          </w:p>
        </w:tc>
        <w:tc>
          <w:tcPr>
            <w:tcW w:w="993" w:type="dxa"/>
            <w:vMerge w:val="restart"/>
            <w:vAlign w:val="center"/>
          </w:tcPr>
          <w:p>
            <w:pPr>
              <w:rPr>
                <w:rFonts w:ascii="楷体" w:hAnsi="楷体" w:eastAsia="楷体"/>
              </w:rPr>
            </w:pPr>
            <w:r>
              <w:rPr>
                <w:rFonts w:hint="eastAsia" w:ascii="楷体" w:hAnsi="楷体" w:eastAsia="楷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596" w:type="dxa"/>
            <w:vAlign w:val="center"/>
          </w:tcPr>
          <w:p>
            <w:pPr>
              <w:rPr>
                <w:rFonts w:hint="default" w:ascii="楷体" w:hAnsi="楷体" w:eastAsia="楷体"/>
                <w:lang w:val="en-US" w:eastAsia="zh-CN"/>
              </w:rPr>
            </w:pPr>
            <w:r>
              <w:rPr>
                <w:rFonts w:hint="eastAsia" w:ascii="楷体" w:hAnsi="楷体" w:eastAsia="楷体"/>
              </w:rPr>
              <w:t>审核员：</w:t>
            </w:r>
            <w:r>
              <w:rPr>
                <w:rFonts w:hint="eastAsia" w:ascii="楷体" w:hAnsi="楷体" w:eastAsia="楷体"/>
                <w:lang w:val="en-US" w:eastAsia="zh-CN"/>
              </w:rPr>
              <w:t xml:space="preserve">张磊   </w:t>
            </w:r>
            <w:r>
              <w:rPr>
                <w:rFonts w:hint="eastAsia" w:ascii="楷体" w:hAnsi="楷体" w:eastAsia="楷体"/>
              </w:rPr>
              <w:t xml:space="preserve">        </w:t>
            </w:r>
            <w:r>
              <w:rPr>
                <w:rFonts w:ascii="楷体" w:hAnsi="楷体" w:eastAsia="楷体"/>
              </w:rPr>
              <w:t xml:space="preserve"> </w:t>
            </w:r>
            <w:r>
              <w:rPr>
                <w:rFonts w:hint="eastAsia" w:ascii="楷体" w:hAnsi="楷体" w:eastAsia="楷体"/>
                <w:lang w:val="en-US" w:eastAsia="zh-CN"/>
              </w:rPr>
              <w:t xml:space="preserve">    </w:t>
            </w:r>
            <w:r>
              <w:rPr>
                <w:rFonts w:hint="eastAsia" w:ascii="楷体" w:hAnsi="楷体" w:eastAsia="楷体"/>
              </w:rPr>
              <w:t>审核时间：</w:t>
            </w:r>
            <w:r>
              <w:rPr>
                <w:rFonts w:hint="eastAsia" w:ascii="Times New Roman" w:hAnsi="Times New Roman" w:eastAsia="宋体" w:cs="Times New Roman"/>
                <w:b/>
                <w:kern w:val="2"/>
                <w:sz w:val="21"/>
                <w:szCs w:val="21"/>
                <w:lang w:val="en-US" w:eastAsia="zh-CN" w:bidi="ar-SA"/>
              </w:rPr>
              <w:t>202</w:t>
            </w:r>
            <w:r>
              <w:rPr>
                <w:rFonts w:hint="eastAsia" w:cs="Times New Roman"/>
                <w:b/>
                <w:kern w:val="2"/>
                <w:sz w:val="21"/>
                <w:szCs w:val="21"/>
                <w:lang w:val="en-US" w:eastAsia="zh-CN" w:bidi="ar-SA"/>
              </w:rPr>
              <w:t>3</w:t>
            </w:r>
            <w:r>
              <w:rPr>
                <w:rFonts w:hint="eastAsia" w:ascii="Times New Roman" w:hAnsi="Times New Roman" w:eastAsia="宋体" w:cs="Times New Roman"/>
                <w:b/>
                <w:kern w:val="2"/>
                <w:sz w:val="21"/>
                <w:szCs w:val="21"/>
                <w:lang w:val="en-US" w:eastAsia="zh-CN" w:bidi="ar-SA"/>
              </w:rPr>
              <w:t>.0</w:t>
            </w:r>
            <w:r>
              <w:rPr>
                <w:rFonts w:hint="eastAsia" w:cs="Times New Roman"/>
                <w:b/>
                <w:kern w:val="2"/>
                <w:sz w:val="21"/>
                <w:szCs w:val="21"/>
                <w:lang w:val="en-US" w:eastAsia="zh-CN" w:bidi="ar-SA"/>
              </w:rPr>
              <w:t>2</w:t>
            </w:r>
            <w:r>
              <w:rPr>
                <w:rFonts w:hint="eastAsia" w:ascii="Times New Roman" w:hAnsi="Times New Roman" w:eastAsia="宋体" w:cs="Times New Roman"/>
                <w:b/>
                <w:kern w:val="2"/>
                <w:sz w:val="21"/>
                <w:szCs w:val="21"/>
                <w:lang w:val="en-US" w:eastAsia="zh-CN" w:bidi="ar-SA"/>
              </w:rPr>
              <w:t>.</w:t>
            </w:r>
            <w:r>
              <w:rPr>
                <w:rFonts w:hint="eastAsia" w:cs="Times New Roman"/>
                <w:b/>
                <w:kern w:val="2"/>
                <w:sz w:val="21"/>
                <w:szCs w:val="21"/>
                <w:lang w:val="en-US" w:eastAsia="zh-CN" w:bidi="ar-SA"/>
              </w:rPr>
              <w:t>17</w:t>
            </w:r>
          </w:p>
        </w:tc>
        <w:tc>
          <w:tcPr>
            <w:tcW w:w="993"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rPr>
            </w:pPr>
          </w:p>
        </w:tc>
        <w:tc>
          <w:tcPr>
            <w:tcW w:w="960" w:type="dxa"/>
            <w:vMerge w:val="continue"/>
            <w:vAlign w:val="center"/>
          </w:tcPr>
          <w:p>
            <w:pPr>
              <w:rPr>
                <w:rFonts w:ascii="楷体" w:hAnsi="楷体" w:eastAsia="楷体"/>
              </w:rPr>
            </w:pPr>
          </w:p>
        </w:tc>
        <w:tc>
          <w:tcPr>
            <w:tcW w:w="10596" w:type="dxa"/>
            <w:vAlign w:val="center"/>
          </w:tcPr>
          <w:p>
            <w:pPr>
              <w:spacing w:line="300" w:lineRule="exact"/>
              <w:rPr>
                <w:rFonts w:hint="eastAsia" w:ascii="宋体" w:hAnsi="宋体" w:cs="新宋体"/>
                <w:sz w:val="18"/>
                <w:szCs w:val="18"/>
              </w:rPr>
            </w:pPr>
            <w:r>
              <w:rPr>
                <w:rFonts w:hint="eastAsia" w:ascii="楷体" w:hAnsi="楷体" w:eastAsia="楷体"/>
              </w:rPr>
              <w:t>审核条款：</w:t>
            </w:r>
            <w:r>
              <w:rPr>
                <w:rFonts w:hint="eastAsia" w:ascii="楷体" w:hAnsi="楷体" w:eastAsia="楷体" w:cs="Times New Roman"/>
                <w:lang w:val="de-DE" w:eastAsia="zh-CN"/>
              </w:rPr>
              <w:t xml:space="preserve">QMS-2015 </w:t>
            </w:r>
            <w:r>
              <w:rPr>
                <w:rFonts w:hint="eastAsia" w:ascii="楷体" w:hAnsi="楷体" w:eastAsia="楷体" w:cs="Times New Roman"/>
                <w:lang w:val="en-US" w:eastAsia="zh-CN"/>
              </w:rPr>
              <w:t>:5.3岗位/职责 /权限；6.2质量目标及其实现的策划；9.1.1监视、测量、分析和评价总则；9.1.2顾客满意；9.2内部审核；10.2纠正措施；</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rPr>
                <w:rFonts w:hint="eastAsia" w:ascii="楷体" w:hAnsi="楷体" w:eastAsia="楷体" w:cs="Times New Roman"/>
                <w:lang w:val="en-US" w:eastAsia="zh-CN"/>
              </w:rPr>
            </w:pPr>
            <w:r>
              <w:rPr>
                <w:rFonts w:hint="eastAsia" w:ascii="楷体" w:hAnsi="楷体" w:eastAsia="楷体" w:cs="Times New Roman"/>
                <w:lang w:val="en-US" w:eastAsia="zh-CN"/>
              </w:rPr>
              <w:t>5.3组织的角色、职责和权限; 6.1.2环境因素； 6.1.3合规义务；6.2目标及其达成的策划；8.1运行策划和控制；8.2应急准备和响应；9.1.1监视、测量、分析和评价总则；9.1.2合规性评价；9.2内部审核；10.2不符合和纠正措施；</w:t>
            </w:r>
          </w:p>
          <w:p>
            <w:pPr>
              <w:snapToGrid w:val="0"/>
              <w:spacing w:line="240" w:lineRule="exact"/>
              <w:rPr>
                <w:rFonts w:ascii="宋体" w:hAnsi="宋体" w:cs="新宋体"/>
                <w:sz w:val="18"/>
                <w:szCs w:val="18"/>
              </w:rPr>
            </w:pPr>
            <w:r>
              <w:rPr>
                <w:rFonts w:hint="eastAsia"/>
                <w:sz w:val="20"/>
                <w:lang w:val="de-DE"/>
              </w:rPr>
              <w:t>ISO 45001：2018</w:t>
            </w:r>
          </w:p>
          <w:p>
            <w:pPr>
              <w:rPr>
                <w:rFonts w:ascii="楷体" w:hAnsi="楷体" w:eastAsia="楷体"/>
              </w:rPr>
            </w:pPr>
            <w:r>
              <w:rPr>
                <w:rFonts w:hint="eastAsia" w:ascii="楷体" w:hAnsi="楷体" w:eastAsia="楷体" w:cs="Times New Roman"/>
                <w:lang w:val="en-US" w:eastAsia="zh-CN"/>
              </w:rPr>
              <w:t>5.3组织的角色、职责和权限；6.1.3法律法规要求和其他要求；6.1.2危险源辨识和职业安全风险评价； 6.2目标及其实现的策划；8.1运行策划和控制；8.2应急准备和响应；9.1.1监视、测量、分析和评价总则； 9.1.2合规性评价；9.2内部审核；10.2事件、不符合和纠正措施；</w:t>
            </w:r>
          </w:p>
        </w:tc>
        <w:tc>
          <w:tcPr>
            <w:tcW w:w="993" w:type="dxa"/>
            <w:vMerge w:val="continue"/>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ascii="楷体" w:hAnsi="楷体" w:eastAsia="楷体"/>
              </w:rPr>
              <w:t>岗位、职责和权限</w:t>
            </w:r>
          </w:p>
          <w:p>
            <w:pPr>
              <w:rPr>
                <w:rFonts w:ascii="楷体" w:hAnsi="楷体" w:eastAsia="楷体"/>
              </w:rPr>
            </w:pPr>
          </w:p>
        </w:tc>
        <w:tc>
          <w:tcPr>
            <w:tcW w:w="960" w:type="dxa"/>
          </w:tcPr>
          <w:p>
            <w:pPr>
              <w:rPr>
                <w:rFonts w:ascii="楷体" w:hAnsi="楷体" w:eastAsia="楷体"/>
              </w:rPr>
            </w:pPr>
            <w:r>
              <w:rPr>
                <w:rFonts w:hint="eastAsia" w:ascii="楷体" w:hAnsi="楷体" w:eastAsia="楷体"/>
              </w:rPr>
              <w:t>5.3</w:t>
            </w:r>
          </w:p>
        </w:tc>
        <w:tc>
          <w:tcPr>
            <w:tcW w:w="10596" w:type="dxa"/>
          </w:tcPr>
          <w:p>
            <w:pPr>
              <w:rPr>
                <w:rFonts w:hint="eastAsia" w:ascii="楷体" w:hAnsi="楷体" w:eastAsia="楷体"/>
                <w:lang w:eastAsia="zh-CN"/>
              </w:rPr>
            </w:pPr>
            <w:r>
              <w:rPr>
                <w:rFonts w:hint="eastAsia" w:ascii="楷体" w:hAnsi="楷体" w:eastAsia="楷体"/>
              </w:rPr>
              <w:sym w:font="Wingdings 2" w:char="F098"/>
            </w:r>
            <w:r>
              <w:rPr>
                <w:rFonts w:hint="eastAsia" w:ascii="楷体" w:hAnsi="楷体" w:eastAsia="楷体"/>
                <w:lang w:eastAsia="zh-CN"/>
              </w:rPr>
              <w:t>办公室</w:t>
            </w:r>
            <w:r>
              <w:rPr>
                <w:rFonts w:hint="eastAsia" w:ascii="楷体" w:hAnsi="楷体" w:eastAsia="楷体"/>
              </w:rPr>
              <w:t>部长：</w:t>
            </w:r>
            <w:r>
              <w:rPr>
                <w:rFonts w:hint="eastAsia" w:ascii="楷体" w:hAnsi="楷体" w:eastAsia="楷体"/>
                <w:lang w:eastAsia="zh-CN"/>
              </w:rPr>
              <w:t xml:space="preserve">阳妲 </w:t>
            </w:r>
          </w:p>
          <w:p>
            <w:pPr>
              <w:rPr>
                <w:rFonts w:ascii="楷体" w:hAnsi="楷体" w:eastAsia="楷体"/>
              </w:rPr>
            </w:pPr>
            <w:r>
              <w:rPr>
                <w:rFonts w:hint="eastAsia" w:ascii="楷体" w:hAnsi="楷体" w:eastAsia="楷体"/>
              </w:rPr>
              <w:sym w:font="Wingdings 2" w:char="F098"/>
            </w:r>
            <w:r>
              <w:rPr>
                <w:rFonts w:hint="eastAsia" w:ascii="楷体" w:hAnsi="楷体" w:eastAsia="楷体"/>
              </w:rPr>
              <w:t>查见《</w:t>
            </w:r>
            <w:r>
              <w:rPr>
                <w:rFonts w:hint="eastAsia" w:ascii="楷体" w:hAnsi="楷体" w:eastAsia="楷体"/>
                <w:lang w:eastAsia="zh-CN"/>
              </w:rPr>
              <w:t>管理手册</w:t>
            </w:r>
            <w:r>
              <w:rPr>
                <w:rFonts w:hint="eastAsia" w:ascii="楷体" w:hAnsi="楷体" w:eastAsia="楷体"/>
              </w:rPr>
              <w:t>》中人员岗位、职责和权限要求，规定了公司各个岗位的主要职责和相关要求。</w:t>
            </w:r>
          </w:p>
          <w:p>
            <w:pPr>
              <w:rPr>
                <w:rFonts w:ascii="楷体" w:hAnsi="楷体" w:eastAsia="楷体"/>
              </w:rPr>
            </w:pPr>
            <w:r>
              <w:rPr>
                <w:rFonts w:hint="eastAsia" w:ascii="楷体" w:hAnsi="楷体" w:eastAsia="楷体"/>
              </w:rPr>
              <w:sym w:font="Wingdings 2" w:char="F098"/>
            </w:r>
            <w:r>
              <w:rPr>
                <w:rFonts w:hint="eastAsia" w:ascii="楷体" w:hAnsi="楷体" w:eastAsia="楷体"/>
                <w:lang w:eastAsia="zh-CN"/>
              </w:rPr>
              <w:t>办公室</w:t>
            </w:r>
            <w:r>
              <w:rPr>
                <w:rFonts w:hint="eastAsia" w:ascii="楷体" w:hAnsi="楷体" w:eastAsia="楷体"/>
              </w:rPr>
              <w:t>的主要职责有：</w:t>
            </w:r>
          </w:p>
          <w:p>
            <w:pPr>
              <w:rPr>
                <w:rFonts w:hint="eastAsia" w:ascii="楷体" w:hAnsi="楷体" w:eastAsia="楷体"/>
              </w:rPr>
            </w:pPr>
            <w:r>
              <w:rPr>
                <w:rFonts w:hint="eastAsia" w:ascii="楷体" w:hAnsi="楷体" w:eastAsia="楷体"/>
              </w:rPr>
              <w:t>职责和权限：</w:t>
            </w:r>
            <w:r>
              <w:rPr>
                <w:rFonts w:hint="eastAsia" w:ascii="楷体" w:hAnsi="楷体" w:eastAsia="楷体"/>
                <w:lang w:val="en-US" w:eastAsia="zh-CN"/>
              </w:rPr>
              <w:t xml:space="preserve">A.负责文件\记录\人力资源管理; </w:t>
            </w:r>
          </w:p>
          <w:p>
            <w:pPr>
              <w:rPr>
                <w:rFonts w:hint="eastAsia" w:ascii="楷体" w:hAnsi="楷体" w:eastAsia="楷体"/>
              </w:rPr>
            </w:pPr>
            <w:r>
              <w:rPr>
                <w:rFonts w:hint="eastAsia" w:ascii="楷体" w:hAnsi="楷体" w:eastAsia="楷体"/>
                <w:lang w:val="en-US" w:eastAsia="zh-CN"/>
              </w:rPr>
              <w:t xml:space="preserve">B.负责质量/环境/职业健康安全体系过程的监视和测量，绩效测量和监视； </w:t>
            </w:r>
          </w:p>
          <w:p>
            <w:pPr>
              <w:rPr>
                <w:rFonts w:hint="eastAsia" w:ascii="楷体" w:hAnsi="楷体" w:eastAsia="楷体"/>
              </w:rPr>
            </w:pPr>
            <w:r>
              <w:rPr>
                <w:rFonts w:hint="eastAsia" w:ascii="楷体" w:hAnsi="楷体" w:eastAsia="楷体"/>
                <w:lang w:val="en-US" w:eastAsia="zh-CN"/>
              </w:rPr>
              <w:t xml:space="preserve">C.负责组织本公司环境因素的识别、评价及初始环境评审；负责内部沟通,法律法规收集及合规性 评价; </w:t>
            </w:r>
          </w:p>
          <w:p>
            <w:pPr>
              <w:rPr>
                <w:rFonts w:hint="eastAsia" w:ascii="楷体" w:hAnsi="楷体" w:eastAsia="楷体"/>
              </w:rPr>
            </w:pPr>
            <w:r>
              <w:rPr>
                <w:rFonts w:hint="eastAsia" w:ascii="楷体" w:hAnsi="楷体" w:eastAsia="楷体"/>
                <w:lang w:val="en-US" w:eastAsia="zh-CN"/>
              </w:rPr>
              <w:t xml:space="preserve">D.负责质量/环境/职业健康安全管理体系不合格品的控制及纠正、预防措施，不符合、纠正措施 </w:t>
            </w:r>
          </w:p>
          <w:p>
            <w:pPr>
              <w:rPr>
                <w:rFonts w:hint="eastAsia" w:ascii="楷体" w:hAnsi="楷体" w:eastAsia="楷体"/>
              </w:rPr>
            </w:pPr>
            <w:r>
              <w:rPr>
                <w:rFonts w:hint="eastAsia" w:ascii="楷体" w:hAnsi="楷体" w:eastAsia="楷体"/>
                <w:lang w:val="en-US" w:eastAsia="zh-CN"/>
              </w:rPr>
              <w:t xml:space="preserve">和预防措施，事故、事件、不符合、纠正与预防措施的控制； </w:t>
            </w:r>
          </w:p>
          <w:p>
            <w:pPr>
              <w:rPr>
                <w:rFonts w:hint="eastAsia" w:ascii="楷体" w:hAnsi="楷体" w:eastAsia="楷体"/>
              </w:rPr>
            </w:pPr>
            <w:r>
              <w:rPr>
                <w:rFonts w:hint="eastAsia" w:ascii="楷体" w:hAnsi="楷体" w:eastAsia="楷体"/>
                <w:lang w:val="en-US" w:eastAsia="zh-CN"/>
              </w:rPr>
              <w:t xml:space="preserve">E.负责数据分析； </w:t>
            </w:r>
          </w:p>
          <w:p>
            <w:pPr>
              <w:rPr>
                <w:rFonts w:hint="eastAsia" w:ascii="楷体" w:hAnsi="楷体" w:eastAsia="楷体"/>
              </w:rPr>
            </w:pPr>
            <w:r>
              <w:rPr>
                <w:rFonts w:hint="eastAsia" w:ascii="楷体" w:hAnsi="楷体" w:eastAsia="楷体"/>
                <w:lang w:val="en-US" w:eastAsia="zh-CN"/>
              </w:rPr>
              <w:t>F.负责组织内部审核。</w:t>
            </w:r>
          </w:p>
          <w:p>
            <w:pPr>
              <w:rPr>
                <w:rFonts w:ascii="楷体" w:hAnsi="楷体" w:eastAsia="楷体"/>
              </w:rPr>
            </w:pPr>
            <w:r>
              <w:rPr>
                <w:rFonts w:hint="eastAsia" w:ascii="楷体" w:hAnsi="楷体" w:eastAsia="楷体"/>
              </w:rPr>
              <w:sym w:font="Wingdings 2" w:char="F098"/>
            </w:r>
            <w:r>
              <w:rPr>
                <w:rFonts w:hint="eastAsia" w:ascii="楷体" w:hAnsi="楷体" w:eastAsia="楷体"/>
                <w:lang w:eastAsia="zh-CN"/>
              </w:rPr>
              <w:t xml:space="preserve">阳妲 </w:t>
            </w:r>
            <w:r>
              <w:rPr>
                <w:rFonts w:hint="eastAsia" w:ascii="楷体" w:hAnsi="楷体" w:eastAsia="楷体"/>
              </w:rPr>
              <w:t>部长清楚其职责</w:t>
            </w:r>
          </w:p>
        </w:tc>
        <w:tc>
          <w:tcPr>
            <w:tcW w:w="993"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组织的环境因素、危险源辨识和职业安全风险评价</w:t>
            </w:r>
          </w:p>
        </w:tc>
        <w:tc>
          <w:tcPr>
            <w:tcW w:w="960" w:type="dxa"/>
            <w:vAlign w:val="top"/>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EO：6.1.2</w:t>
            </w:r>
          </w:p>
        </w:tc>
        <w:tc>
          <w:tcPr>
            <w:tcW w:w="10596" w:type="dxa"/>
            <w:vAlign w:val="center"/>
          </w:tcPr>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组织根据手册第6.1.2条款、《环境因素识别与评价管理程序》要求，由办公室负责指导各部门环境因素的调查、评价、汇总、登记、审定及更新，各部门负责组织实施，办公室负责汇总整理。</w:t>
            </w:r>
          </w:p>
          <w:p>
            <w:pPr>
              <w:rPr>
                <w:rFonts w:hint="default"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查看组织《环境因素识别评价表》，组织在办公区、厂区仓库、实验室、车间等场所，按照活动过程调查、识别和确定了环境因素及其环境影响，对环境因素的正常、异常、紧急状态进行评价，对应责任部门明确，有相应的保存期限、责任人和制定日期，基本满足环境因素识别、确定和保持要求。</w:t>
            </w:r>
          </w:p>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涉及办公室的环境因素有办公活动中生活垃圾排放、纸张等办公废品排放、废水排放、空调排放热气、汽车尾气排放、火灾事故发生等。</w:t>
            </w:r>
          </w:p>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采取多因子评价法进行了评价，查到“重要环境因素清单”，评价出固体废弃物排放、火灾事故的发生、粉尘/废气排放、噪声排放等4项重要环境因素。</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经评价办公室的重要环境因素为：日常办公过程中固体废弃物排放、火灾事故的发生。</w:t>
            </w:r>
          </w:p>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主要控制措施：生活垃圾分类存放、办公危废交耗材供应公司，垃圾由环卫部门拉走，加强日常培训，日常检查，配备消防器材等措施。</w:t>
            </w:r>
          </w:p>
          <w:p>
            <w:pPr>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重要环境因素识别、评价与实际吻合，控制措施基本能够满足控制要求。</w:t>
            </w:r>
          </w:p>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组织根据手册6.1.2条款、《危险源辨识级风险评价控制与控制程序》要求，由办公室负责编制《风险识别与评价表》，指导各职能部门（基层单位）开展危险、有害因素风险识别、评价，负责各职能部门（基层单位）风险评价记录的审查与控制效果有效性验证。</w:t>
            </w:r>
          </w:p>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对识别出的危险源采取D=LEC进行评价，查到“重大危险源清单”，评价出重大危险源6个，包括：火灾、人员伤害、触电、噪声伤害、粉尘伤害、高温灼伤等。</w:t>
            </w:r>
          </w:p>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经评价办公室的重大危险源：触电事故、火灾事故。</w:t>
            </w:r>
          </w:p>
          <w:p>
            <w:pPr>
              <w:rPr>
                <w:rFonts w:hint="eastAsia" w:ascii="楷体" w:hAnsi="楷体" w:eastAsia="楷体" w:cs="Times New Roman"/>
                <w:color w:val="auto"/>
                <w:lang w:val="en-US" w:eastAsia="zh-CN"/>
              </w:rPr>
            </w:pPr>
            <w:r>
              <w:rPr>
                <w:rFonts w:hint="eastAsia" w:ascii="楷体" w:hAnsi="楷体" w:eastAsia="楷体"/>
                <w:color w:val="auto"/>
              </w:rPr>
              <w:sym w:font="Wingdings 2" w:char="F098"/>
            </w:r>
            <w:r>
              <w:rPr>
                <w:rFonts w:hint="eastAsia" w:ascii="楷体" w:hAnsi="楷体" w:eastAsia="楷体" w:cs="Times New Roman"/>
                <w:color w:val="auto"/>
                <w:lang w:val="en-US" w:eastAsia="zh-CN"/>
              </w:rPr>
              <w:t>主要控制措施：危险源控制执行管理方案、配备消防器材、日常检查、日常培训教育等运行控制措施等。</w:t>
            </w:r>
          </w:p>
          <w:p>
            <w:pPr>
              <w:rPr>
                <w:rFonts w:hint="eastAsia" w:ascii="楷体" w:hAnsi="楷体" w:eastAsia="楷体" w:cs="Times New Roman"/>
                <w:color w:val="auto"/>
                <w:lang w:val="en-US" w:eastAsia="zh-CN"/>
              </w:rPr>
            </w:pPr>
          </w:p>
        </w:tc>
        <w:tc>
          <w:tcPr>
            <w:tcW w:w="993" w:type="dxa"/>
          </w:tcPr>
          <w:p>
            <w:pPr>
              <w:rPr>
                <w:rFonts w:hint="eastAsia"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7" w:hRule="atLeast"/>
        </w:trPr>
        <w:tc>
          <w:tcPr>
            <w:tcW w:w="2160" w:type="dxa"/>
            <w:vAlign w:val="top"/>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法律法规和其他要求和合规性评价</w:t>
            </w:r>
          </w:p>
        </w:tc>
        <w:tc>
          <w:tcPr>
            <w:tcW w:w="960" w:type="dxa"/>
            <w:vAlign w:val="top"/>
          </w:tcPr>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EO：6.1.3</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EO：9.1.2</w:t>
            </w:r>
          </w:p>
          <w:p>
            <w:pPr>
              <w:rPr>
                <w:rFonts w:hint="eastAsia" w:ascii="楷体" w:hAnsi="楷体" w:eastAsia="楷体" w:cs="Times New Roman"/>
                <w:color w:val="auto"/>
                <w:lang w:val="en-US" w:eastAsia="zh-CN"/>
              </w:rPr>
            </w:pPr>
          </w:p>
        </w:tc>
        <w:tc>
          <w:tcPr>
            <w:tcW w:w="10596" w:type="dxa"/>
            <w:vAlign w:val="top"/>
          </w:tcPr>
          <w:p>
            <w:pPr>
              <w:rPr>
                <w:rFonts w:hint="eastAsia" w:ascii="楷体" w:hAnsi="楷体" w:eastAsia="楷体" w:cs="Times New Roman"/>
                <w:color w:val="auto"/>
                <w:lang w:val="en-US" w:eastAsia="zh-CN"/>
              </w:rPr>
            </w:pPr>
            <w:r>
              <w:rPr>
                <w:rFonts w:hint="eastAsia" w:ascii="楷体" w:hAnsi="楷体" w:eastAsia="楷体"/>
              </w:rPr>
              <w:sym w:font="Wingdings 2" w:char="F098"/>
            </w:r>
            <w:r>
              <w:rPr>
                <w:rFonts w:hint="eastAsia" w:ascii="楷体" w:hAnsi="楷体" w:eastAsia="楷体" w:cs="Times New Roman"/>
                <w:color w:val="auto"/>
                <w:lang w:val="en-US" w:eastAsia="zh-CN"/>
              </w:rPr>
              <w:t>有《环境和职业健康安全法律法规控制程序》、《</w:t>
            </w:r>
            <w:r>
              <w:rPr>
                <w:rFonts w:hint="eastAsia" w:ascii="楷体" w:hAnsi="楷体" w:eastAsia="楷体" w:cs="Times New Roman"/>
                <w:color w:val="auto"/>
                <w:lang w:val="zh-CN" w:eastAsia="zh-CN"/>
              </w:rPr>
              <w:t>合规性评价控制程序</w:t>
            </w:r>
            <w:r>
              <w:rPr>
                <w:rFonts w:hint="eastAsia" w:ascii="楷体" w:hAnsi="楷体" w:eastAsia="楷体" w:cs="Times New Roman"/>
                <w:color w:val="auto"/>
                <w:lang w:val="en-US" w:eastAsia="zh-CN"/>
              </w:rPr>
              <w:t>》等，</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提供公司适用的法律法规及要求清单，主要有质量法、安全生产法、环境保护法、环境噪声污染防治法、劳动法、消防法、环境空气质量标准、固体废弃物环境防治法、仓库防火安全管理规则、劳动保护用品管理规定、《工业企业厂界环境噪声排放标准》、《环境空气质量标准》、《工作场所有害因素职业接触限值》、《质量管理体系 要求》、《环境管理体系 要求及使用指南》、《职业健康安全管理体系 要求》及相关产品标准</w:t>
            </w:r>
          </w:p>
          <w:p>
            <w:pPr>
              <w:rPr>
                <w:rFonts w:hint="eastAsia" w:ascii="楷体" w:hAnsi="楷体" w:eastAsia="楷体" w:cs="Times New Roman"/>
                <w:color w:val="auto"/>
                <w:lang w:val="en-US" w:eastAsia="zh-CN"/>
              </w:rPr>
            </w:pPr>
            <w:r>
              <w:rPr>
                <w:rFonts w:hint="eastAsia" w:ascii="楷体" w:hAnsi="楷体" w:eastAsia="楷体"/>
              </w:rPr>
              <w:sym w:font="Wingdings 2" w:char="F098"/>
            </w:r>
            <w:r>
              <w:rPr>
                <w:rFonts w:hint="eastAsia" w:ascii="楷体" w:hAnsi="楷体" w:eastAsia="楷体" w:cs="Times New Roman"/>
                <w:color w:val="auto"/>
                <w:lang w:val="en-US" w:eastAsia="zh-CN"/>
              </w:rPr>
              <w:t>产品执行的标准：</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地下通信管道用塑料管 第2部分实壁管YD/T841.2-2016，建筑排水用硬聚乙烯（PVC-U）管材 GB/T5836.1-2006，建筑排水用硬聚乙烯（PVC-U）管件 GB/T5836.2-2006，GB/T13663.2 -2018《给水用聚乙烯(PE) 管道系统第2部分:管材》</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获取方式：网上查录或购买，经查阅为现行有效版本，目前满足体系运行需要。</w:t>
            </w:r>
          </w:p>
          <w:p>
            <w:pPr>
              <w:rPr>
                <w:rFonts w:hint="eastAsia" w:ascii="楷体" w:hAnsi="楷体" w:eastAsia="楷体" w:cs="Times New Roman"/>
                <w:color w:val="auto"/>
                <w:lang w:val="en-US" w:eastAsia="zh-CN"/>
              </w:rPr>
            </w:pPr>
            <w:r>
              <w:rPr>
                <w:rFonts w:hint="eastAsia" w:ascii="楷体" w:hAnsi="楷体" w:eastAsia="楷体"/>
              </w:rPr>
              <w:sym w:font="Wingdings 2" w:char="F098"/>
            </w:r>
            <w:r>
              <w:rPr>
                <w:rFonts w:hint="eastAsia" w:ascii="楷体" w:hAnsi="楷体" w:eastAsia="楷体" w:cs="Times New Roman"/>
                <w:color w:val="auto"/>
                <w:lang w:val="en-US" w:eastAsia="zh-CN"/>
              </w:rPr>
              <w:t>查合规性评价报告：2022年12月2日进行合规性评价，提供了《合规性评价报告》，内容包括：活动场所/产品/服务、重要环境因素、不可接受风险、现有控制措施、适用的法律法规及其对应条款、符合性评价等。</w:t>
            </w:r>
          </w:p>
          <w:p>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评价了相关的法律法规，涉及火灾、固废排放、资源消耗、机械伤害、触电等</w:t>
            </w:r>
          </w:p>
          <w:p>
            <w:pPr>
              <w:rPr>
                <w:rFonts w:hint="default" w:ascii="楷体" w:hAnsi="楷体" w:eastAsia="楷体" w:cs="Times New Roman"/>
                <w:color w:val="auto"/>
                <w:lang w:val="en-US" w:eastAsia="zh-CN"/>
              </w:rPr>
            </w:pPr>
            <w:r>
              <w:rPr>
                <w:rFonts w:hint="eastAsia" w:ascii="楷体" w:hAnsi="楷体" w:eastAsia="楷体"/>
              </w:rPr>
              <w:sym w:font="Wingdings 2" w:char="F098"/>
            </w:r>
            <w:r>
              <w:rPr>
                <w:rFonts w:hint="eastAsia" w:ascii="楷体" w:hAnsi="楷体" w:eastAsia="楷体" w:cs="Times New Roman"/>
                <w:color w:val="auto"/>
                <w:lang w:val="en-US" w:eastAsia="zh-CN"/>
              </w:rPr>
              <w:t>价结果：公司能够按照有关法律法规、公司文件进行控制、检查，能够遵守国家、地方的法律法规，合规性评价符合要求。</w:t>
            </w:r>
          </w:p>
        </w:tc>
        <w:tc>
          <w:tcPr>
            <w:tcW w:w="993" w:type="dxa"/>
          </w:tcPr>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p>
            <w:pPr>
              <w:rPr>
                <w:rFonts w:hint="eastAsia" w:ascii="楷体" w:hAnsi="楷体" w:eastAsia="楷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rPr>
              <w:t>目标及完成情况</w:t>
            </w:r>
          </w:p>
          <w:p>
            <w:pPr>
              <w:rPr>
                <w:rFonts w:ascii="楷体" w:hAnsi="楷体" w:eastAsia="楷体"/>
              </w:rPr>
            </w:pPr>
          </w:p>
        </w:tc>
        <w:tc>
          <w:tcPr>
            <w:tcW w:w="960" w:type="dxa"/>
          </w:tcPr>
          <w:p>
            <w:pPr>
              <w:rPr>
                <w:rFonts w:ascii="楷体" w:hAnsi="楷体" w:eastAsia="楷体"/>
              </w:rPr>
            </w:pPr>
            <w:r>
              <w:rPr>
                <w:rFonts w:hint="eastAsia" w:ascii="楷体" w:hAnsi="楷体" w:eastAsia="楷体"/>
              </w:rPr>
              <w:t>6.2</w:t>
            </w:r>
          </w:p>
        </w:tc>
        <w:tc>
          <w:tcPr>
            <w:tcW w:w="10596"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目标的制定符合部门主要工作流程实际情况，有针对性，可测量。与方针保持一致。明确了目标考核的具体方法和频次。</w:t>
            </w:r>
          </w:p>
          <w:p>
            <w:pPr>
              <w:rPr>
                <w:rFonts w:hint="default" w:ascii="楷体" w:hAnsi="楷体" w:eastAsia="楷体" w:cs="宋体"/>
                <w:b/>
                <w:lang w:val="en-US" w:eastAsia="zh-CN"/>
              </w:rPr>
            </w:pPr>
            <w:r>
              <w:rPr>
                <w:rFonts w:hint="eastAsia" w:ascii="楷体" w:hAnsi="楷体" w:eastAsia="楷体"/>
                <w:bCs/>
              </w:rPr>
              <w:sym w:font="Wingdings 2" w:char="F098"/>
            </w:r>
            <w:r>
              <w:rPr>
                <w:rFonts w:hint="eastAsia" w:ascii="楷体" w:hAnsi="楷体" w:eastAsia="楷体" w:cs="宋体"/>
                <w:b/>
                <w:lang w:val="en-US" w:eastAsia="zh-CN"/>
              </w:rPr>
              <w:t>质量目标：                              考核结果</w:t>
            </w:r>
          </w:p>
          <w:p>
            <w:pPr>
              <w:rPr>
                <w:rFonts w:hint="default" w:ascii="楷体" w:hAnsi="楷体" w:eastAsia="楷体" w:cs="宋体"/>
                <w:b w:val="0"/>
                <w:bCs/>
                <w:lang w:val="en-US" w:eastAsia="zh-CN"/>
              </w:rPr>
            </w:pPr>
            <w:r>
              <w:rPr>
                <w:rFonts w:hint="eastAsia" w:ascii="楷体" w:hAnsi="楷体" w:eastAsia="楷体" w:cs="宋体"/>
                <w:b w:val="0"/>
                <w:bCs/>
                <w:lang w:val="en-US" w:eastAsia="zh-CN"/>
              </w:rPr>
              <w:t xml:space="preserve">培训合格率达100%                          </w:t>
            </w:r>
            <w:r>
              <w:rPr>
                <w:rFonts w:hint="eastAsia" w:ascii="Times New Roman" w:hAnsi="Times New Roman" w:eastAsia="宋体" w:cs="Times New Roman"/>
                <w:bCs/>
                <w:spacing w:val="10"/>
                <w:kern w:val="2"/>
                <w:sz w:val="21"/>
                <w:lang w:val="en-US" w:eastAsia="zh-CN" w:bidi="ar-SA"/>
              </w:rPr>
              <w:t xml:space="preserve">100  </w:t>
            </w:r>
          </w:p>
          <w:p>
            <w:pPr>
              <w:rPr>
                <w:rFonts w:hint="eastAsia" w:ascii="楷体" w:hAnsi="楷体" w:eastAsia="楷体" w:cs="宋体"/>
                <w:b/>
                <w:lang w:val="en-US" w:eastAsia="zh-CN"/>
              </w:rPr>
            </w:pPr>
            <w:r>
              <w:rPr>
                <w:rFonts w:hint="eastAsia" w:ascii="楷体" w:hAnsi="楷体" w:eastAsia="楷体" w:cs="宋体"/>
                <w:b w:val="0"/>
                <w:bCs/>
                <w:lang w:val="en-US" w:eastAsia="zh-CN"/>
              </w:rPr>
              <w:t xml:space="preserve">文件受控率达100%        </w:t>
            </w:r>
            <w:r>
              <w:rPr>
                <w:rFonts w:hint="eastAsia" w:ascii="楷体" w:hAnsi="楷体" w:eastAsia="楷体" w:cs="宋体"/>
                <w:b/>
                <w:lang w:val="en-US" w:eastAsia="zh-CN"/>
              </w:rPr>
              <w:t xml:space="preserve">                 </w:t>
            </w:r>
            <w:r>
              <w:rPr>
                <w:rFonts w:hint="eastAsia" w:ascii="Times New Roman" w:hAnsi="Times New Roman" w:eastAsia="宋体" w:cs="Times New Roman"/>
                <w:bCs/>
                <w:spacing w:val="10"/>
                <w:kern w:val="2"/>
                <w:sz w:val="21"/>
                <w:lang w:val="en-US" w:eastAsia="zh-CN" w:bidi="ar-SA"/>
              </w:rPr>
              <w:t xml:space="preserve"> 100  </w:t>
            </w:r>
            <w:r>
              <w:rPr>
                <w:rFonts w:hint="eastAsia" w:ascii="楷体" w:hAnsi="楷体" w:eastAsia="楷体" w:cs="宋体"/>
                <w:b/>
                <w:lang w:val="en-US" w:eastAsia="zh-CN"/>
              </w:rPr>
              <w:t xml:space="preserve"> </w:t>
            </w:r>
          </w:p>
          <w:p>
            <w:pPr>
              <w:pStyle w:val="2"/>
              <w:rPr>
                <w:rFonts w:hint="eastAsia" w:ascii="楷体" w:hAnsi="楷体" w:eastAsia="楷体" w:cs="宋体"/>
                <w:b/>
                <w:lang w:val="en-US" w:eastAsia="zh-CN"/>
              </w:rPr>
            </w:pPr>
            <w:r>
              <w:rPr>
                <w:rFonts w:hint="eastAsia" w:ascii="楷体" w:hAnsi="楷体" w:eastAsia="楷体" w:cs="宋体"/>
                <w:b/>
                <w:lang w:val="en-US" w:eastAsia="zh-CN"/>
              </w:rPr>
              <w:t>环境目标：</w:t>
            </w:r>
          </w:p>
          <w:p>
            <w:pPr>
              <w:pStyle w:val="2"/>
              <w:rPr>
                <w:rFonts w:hint="default" w:ascii="楷体" w:hAnsi="楷体" w:eastAsia="楷体" w:cs="宋体"/>
                <w:b w:val="0"/>
                <w:bCs w:val="0"/>
                <w:lang w:val="en-US" w:eastAsia="zh-CN"/>
              </w:rPr>
            </w:pPr>
            <w:r>
              <w:rPr>
                <w:rFonts w:hint="default" w:ascii="楷体" w:hAnsi="楷体" w:eastAsia="楷体" w:cs="宋体"/>
                <w:b w:val="0"/>
                <w:bCs w:val="0"/>
                <w:lang w:val="en-US" w:eastAsia="zh-CN"/>
              </w:rPr>
              <w:t>固体废弃物100%分类，合理处理；</w:t>
            </w:r>
            <w:r>
              <w:rPr>
                <w:rFonts w:hint="eastAsia" w:ascii="楷体" w:hAnsi="楷体" w:eastAsia="楷体" w:cs="宋体"/>
                <w:b w:val="0"/>
                <w:bCs w:val="0"/>
                <w:lang w:val="en-US" w:eastAsia="zh-CN"/>
              </w:rPr>
              <w:t xml:space="preserve">        100</w:t>
            </w:r>
          </w:p>
          <w:p>
            <w:pPr>
              <w:pStyle w:val="2"/>
              <w:rPr>
                <w:rFonts w:hint="eastAsia" w:ascii="楷体" w:hAnsi="楷体" w:eastAsia="楷体" w:cs="宋体"/>
                <w:b/>
                <w:lang w:val="en-US" w:eastAsia="zh-CN"/>
              </w:rPr>
            </w:pPr>
            <w:r>
              <w:rPr>
                <w:rFonts w:hint="eastAsia" w:ascii="楷体" w:hAnsi="楷体" w:eastAsia="楷体" w:cs="宋体"/>
                <w:b/>
                <w:lang w:val="en-US" w:eastAsia="zh-CN"/>
              </w:rPr>
              <w:t>职业健康安全目标：</w:t>
            </w:r>
          </w:p>
          <w:p>
            <w:pPr>
              <w:pStyle w:val="2"/>
              <w:rPr>
                <w:rFonts w:ascii="楷体" w:hAnsi="楷体" w:eastAsia="楷体"/>
                <w:bCs/>
              </w:rPr>
            </w:pPr>
            <w:r>
              <w:rPr>
                <w:rFonts w:hint="eastAsia" w:ascii="楷体" w:hAnsi="楷体" w:eastAsia="楷体" w:cs="宋体"/>
                <w:b w:val="0"/>
                <w:bCs w:val="0"/>
                <w:lang w:val="en-US" w:eastAsia="zh-CN"/>
              </w:rPr>
              <w:t>触电、</w:t>
            </w:r>
            <w:r>
              <w:rPr>
                <w:rFonts w:hint="default" w:ascii="楷体" w:hAnsi="楷体" w:eastAsia="楷体" w:cs="宋体"/>
                <w:b w:val="0"/>
                <w:bCs w:val="0"/>
                <w:lang w:val="en-US" w:eastAsia="zh-CN"/>
              </w:rPr>
              <w:t>火灾事故为零</w:t>
            </w:r>
            <w:r>
              <w:rPr>
                <w:rFonts w:hint="eastAsia" w:ascii="楷体" w:hAnsi="楷体" w:eastAsia="楷体" w:cs="宋体"/>
                <w:b w:val="0"/>
                <w:bCs w:val="0"/>
                <w:lang w:val="en-US" w:eastAsia="zh-CN"/>
              </w:rPr>
              <w:t xml:space="preserve">                     0</w:t>
            </w:r>
            <w:r>
              <w:rPr>
                <w:rFonts w:hint="eastAsia" w:ascii="楷体" w:hAnsi="楷体" w:eastAsia="楷体"/>
                <w:bCs/>
              </w:rPr>
              <w:t xml:space="preserve">                    </w:t>
            </w:r>
          </w:p>
          <w:p>
            <w:pPr>
              <w:rPr>
                <w:rFonts w:ascii="楷体" w:hAnsi="楷体" w:eastAsia="楷体"/>
                <w:b/>
              </w:rPr>
            </w:pPr>
            <w:r>
              <w:rPr>
                <w:rFonts w:hint="eastAsia" w:ascii="楷体" w:hAnsi="楷体" w:eastAsia="楷体"/>
              </w:rPr>
              <w:sym w:font="Wingdings 2" w:char="F098"/>
            </w:r>
            <w:r>
              <w:rPr>
                <w:rFonts w:hint="eastAsia" w:ascii="楷体" w:hAnsi="楷体" w:eastAsia="楷体"/>
              </w:rPr>
              <w:t>考核期限为202</w:t>
            </w:r>
            <w:r>
              <w:rPr>
                <w:rFonts w:hint="eastAsia" w:ascii="楷体" w:hAnsi="楷体" w:eastAsia="楷体"/>
                <w:lang w:val="en-US" w:eastAsia="zh-CN"/>
              </w:rPr>
              <w:t>2年12</w:t>
            </w:r>
            <w:r>
              <w:rPr>
                <w:rFonts w:hint="eastAsia" w:ascii="楷体" w:hAnsi="楷体" w:eastAsia="楷体"/>
              </w:rPr>
              <w:t>月</w:t>
            </w:r>
            <w:r>
              <w:rPr>
                <w:rFonts w:hint="eastAsia" w:ascii="楷体" w:hAnsi="楷体" w:eastAsia="楷体"/>
                <w:lang w:val="en-US" w:eastAsia="zh-CN"/>
              </w:rPr>
              <w:t>25日。</w:t>
            </w:r>
          </w:p>
        </w:tc>
        <w:tc>
          <w:tcPr>
            <w:tcW w:w="993" w:type="dxa"/>
          </w:tcPr>
          <w:p>
            <w:pPr>
              <w:rPr>
                <w:rFonts w:ascii="楷体" w:hAnsi="楷体" w:eastAsia="楷体"/>
              </w:rPr>
            </w:pPr>
            <w:r>
              <w:rPr>
                <w:rFonts w:hint="eastAsia" w:ascii="楷体" w:hAnsi="楷体"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cs="Times New Roman"/>
                <w:bCs/>
                <w:szCs w:val="21"/>
              </w:rPr>
            </w:pPr>
            <w:r>
              <w:rPr>
                <w:rFonts w:hint="eastAsia" w:ascii="楷体" w:hAnsi="楷体" w:eastAsia="楷体" w:cs="Times New Roman"/>
                <w:bCs/>
                <w:szCs w:val="21"/>
              </w:rPr>
              <w:t>运行策划和控制</w:t>
            </w:r>
          </w:p>
          <w:p>
            <w:pPr>
              <w:rPr>
                <w:rFonts w:hint="eastAsia" w:ascii="楷体" w:hAnsi="楷体" w:eastAsia="楷体" w:cs="Times New Roman"/>
                <w:bCs/>
                <w:szCs w:val="21"/>
              </w:rPr>
            </w:pPr>
          </w:p>
        </w:tc>
        <w:tc>
          <w:tcPr>
            <w:tcW w:w="960" w:type="dxa"/>
            <w:vAlign w:val="top"/>
          </w:tcPr>
          <w:p>
            <w:pPr>
              <w:rPr>
                <w:rFonts w:hint="eastAsia" w:ascii="楷体" w:hAnsi="楷体" w:eastAsia="楷体" w:cs="Times New Roman"/>
                <w:bCs/>
                <w:szCs w:val="21"/>
              </w:rPr>
            </w:pPr>
            <w:r>
              <w:rPr>
                <w:rFonts w:hint="eastAsia" w:ascii="楷体" w:hAnsi="楷体" w:eastAsia="楷体" w:cs="Times New Roman"/>
                <w:bCs/>
                <w:szCs w:val="21"/>
              </w:rPr>
              <w:t>EO8.1</w:t>
            </w:r>
          </w:p>
        </w:tc>
        <w:tc>
          <w:tcPr>
            <w:tcW w:w="10596" w:type="dxa"/>
            <w:vAlign w:val="center"/>
          </w:tcPr>
          <w:p>
            <w:pPr>
              <w:rPr>
                <w:rFonts w:hint="eastAsia" w:ascii="楷体" w:hAnsi="楷体" w:eastAsia="楷体" w:cs="Times New Roman"/>
                <w:bCs/>
                <w:szCs w:val="21"/>
                <w:lang w:val="en-GB"/>
              </w:rPr>
            </w:pPr>
            <w:r>
              <w:rPr>
                <w:rFonts w:hint="eastAsia" w:ascii="楷体" w:hAnsi="楷体" w:eastAsia="楷体" w:cs="Times New Roman"/>
                <w:bCs/>
                <w:szCs w:val="21"/>
              </w:rPr>
              <w:sym w:font="Wingdings 2" w:char="F098"/>
            </w:r>
            <w:r>
              <w:rPr>
                <w:rFonts w:hint="eastAsia" w:ascii="楷体" w:hAnsi="楷体" w:eastAsia="楷体" w:cs="Times New Roman"/>
                <w:bCs/>
                <w:szCs w:val="21"/>
              </w:rPr>
              <w:t>本部门应执行的运行控制文件：</w:t>
            </w:r>
            <w:r>
              <w:rPr>
                <w:rFonts w:hint="eastAsia" w:ascii="楷体" w:hAnsi="楷体" w:eastAsia="楷体" w:cs="Times New Roman"/>
                <w:bCs/>
                <w:szCs w:val="21"/>
                <w:lang w:val="en-GB"/>
              </w:rPr>
              <w:t>《运行控制程序》、《污染控制程序》《噪声控制程序》、《</w:t>
            </w:r>
            <w:r>
              <w:rPr>
                <w:rFonts w:hint="eastAsia" w:ascii="楷体" w:hAnsi="楷体" w:eastAsia="楷体" w:cs="Times New Roman"/>
                <w:bCs/>
                <w:szCs w:val="21"/>
                <w:lang w:val="en-GB" w:eastAsia="zh-CN"/>
              </w:rPr>
              <w:t>应急准备和响应控制程序</w:t>
            </w:r>
            <w:r>
              <w:rPr>
                <w:rFonts w:hint="eastAsia" w:ascii="楷体" w:hAnsi="楷体" w:eastAsia="楷体" w:cs="Times New Roman"/>
                <w:bCs/>
                <w:szCs w:val="21"/>
              </w:rPr>
              <w:t>》</w:t>
            </w:r>
            <w:r>
              <w:rPr>
                <w:rFonts w:hint="eastAsia" w:ascii="楷体" w:hAnsi="楷体" w:eastAsia="楷体" w:cs="Times New Roman"/>
                <w:bCs/>
                <w:szCs w:val="21"/>
                <w:lang w:val="en-US" w:eastAsia="zh-CN"/>
              </w:rPr>
              <w:t>等</w:t>
            </w:r>
            <w:r>
              <w:rPr>
                <w:rFonts w:hint="eastAsia" w:ascii="楷体" w:hAnsi="楷体" w:eastAsia="楷体" w:cs="Times New Roman"/>
                <w:bCs/>
                <w:szCs w:val="21"/>
              </w:rPr>
              <w:t>。</w:t>
            </w:r>
          </w:p>
          <w:p>
            <w:pPr>
              <w:rPr>
                <w:rFonts w:hint="eastAsia" w:ascii="楷体" w:hAnsi="楷体" w:eastAsia="楷体" w:cs="Times New Roman"/>
                <w:bCs/>
                <w:szCs w:val="21"/>
                <w:lang w:val="en-GB"/>
              </w:rPr>
            </w:pPr>
            <w:r>
              <w:rPr>
                <w:rFonts w:hint="eastAsia" w:ascii="楷体" w:hAnsi="楷体" w:eastAsia="楷体" w:cs="Times New Roman"/>
                <w:bCs/>
                <w:szCs w:val="21"/>
              </w:rPr>
              <w:sym w:font="Wingdings 2" w:char="F098"/>
            </w:r>
            <w:r>
              <w:rPr>
                <w:rFonts w:hint="eastAsia" w:ascii="楷体" w:hAnsi="楷体" w:eastAsia="楷体" w:cs="Times New Roman"/>
                <w:bCs/>
                <w:szCs w:val="21"/>
                <w:lang w:val="en-GB"/>
              </w:rPr>
              <w:t>运行控制情况：</w:t>
            </w:r>
          </w:p>
          <w:p>
            <w:pPr>
              <w:rPr>
                <w:rFonts w:hint="eastAsia" w:ascii="楷体" w:hAnsi="楷体" w:eastAsia="楷体" w:cs="Times New Roman"/>
                <w:bCs/>
                <w:szCs w:val="21"/>
                <w:lang w:val="en-GB"/>
              </w:rPr>
            </w:pPr>
            <w:r>
              <w:rPr>
                <w:rFonts w:hint="eastAsia" w:ascii="楷体" w:hAnsi="楷体" w:eastAsia="楷体" w:cs="Times New Roman"/>
                <w:bCs/>
                <w:szCs w:val="21"/>
              </w:rPr>
              <w:t>■</w:t>
            </w:r>
            <w:r>
              <w:rPr>
                <w:rFonts w:hint="eastAsia" w:ascii="楷体" w:hAnsi="楷体" w:eastAsia="楷体" w:cs="Times New Roman"/>
                <w:bCs/>
                <w:szCs w:val="21"/>
                <w:lang w:val="en-GB"/>
              </w:rPr>
              <w:t>办公过程注意节约用电，做到人走灯灭，电脑长时间不用时关机，下班前要关闭电源；</w:t>
            </w:r>
          </w:p>
          <w:p>
            <w:pPr>
              <w:rPr>
                <w:rFonts w:hint="eastAsia" w:ascii="楷体" w:hAnsi="楷体" w:eastAsia="楷体" w:cs="Times New Roman"/>
                <w:bCs/>
                <w:szCs w:val="21"/>
                <w:lang w:val="en-GB"/>
              </w:rPr>
            </w:pPr>
            <w:r>
              <w:rPr>
                <w:rFonts w:hint="eastAsia" w:ascii="楷体" w:hAnsi="楷体" w:eastAsia="楷体" w:cs="Times New Roman"/>
                <w:bCs/>
                <w:szCs w:val="21"/>
              </w:rPr>
              <w:t>■办公过程使用的电器如：空调、电脑、灯具均符合安全设计要求，使用过程注意安全，预防触电，工作时间平均每天8小时；</w:t>
            </w:r>
          </w:p>
          <w:p>
            <w:pPr>
              <w:rPr>
                <w:rFonts w:hint="eastAsia" w:ascii="楷体" w:hAnsi="楷体" w:eastAsia="楷体" w:cs="Times New Roman"/>
                <w:bCs/>
                <w:szCs w:val="21"/>
                <w:lang w:val="en-GB" w:eastAsia="zh-CN"/>
              </w:rPr>
            </w:pPr>
            <w:r>
              <w:rPr>
                <w:rFonts w:hint="eastAsia" w:ascii="楷体" w:hAnsi="楷体" w:eastAsia="楷体" w:cs="Times New Roman"/>
                <w:bCs/>
                <w:szCs w:val="21"/>
              </w:rPr>
              <w:t>■</w:t>
            </w:r>
            <w:r>
              <w:rPr>
                <w:rFonts w:hint="eastAsia" w:ascii="楷体" w:hAnsi="楷体" w:eastAsia="楷体" w:cs="Times New Roman"/>
                <w:bCs/>
                <w:szCs w:val="21"/>
                <w:lang w:val="en-US" w:eastAsia="zh-CN"/>
              </w:rPr>
              <w:t>劳保</w:t>
            </w:r>
            <w:r>
              <w:rPr>
                <w:rFonts w:hint="eastAsia" w:ascii="楷体" w:hAnsi="楷体" w:eastAsia="楷体" w:cs="Times New Roman"/>
                <w:bCs/>
                <w:szCs w:val="21"/>
                <w:lang w:val="en-GB"/>
              </w:rPr>
              <w:t>用品按要求由</w:t>
            </w:r>
            <w:r>
              <w:rPr>
                <w:rFonts w:hint="eastAsia" w:ascii="楷体" w:hAnsi="楷体" w:eastAsia="楷体" w:cs="Times New Roman"/>
                <w:bCs/>
                <w:szCs w:val="21"/>
                <w:lang w:eastAsia="zh-CN"/>
              </w:rPr>
              <w:t>办公室</w:t>
            </w:r>
            <w:r>
              <w:rPr>
                <w:rFonts w:hint="eastAsia" w:ascii="楷体" w:hAnsi="楷体" w:eastAsia="楷体" w:cs="Times New Roman"/>
                <w:bCs/>
                <w:szCs w:val="21"/>
                <w:lang w:val="en-GB"/>
              </w:rPr>
              <w:t>负责发放，作好记录；</w:t>
            </w:r>
            <w:r>
              <w:rPr>
                <w:rFonts w:hint="eastAsia" w:ascii="楷体" w:hAnsi="楷体" w:eastAsia="楷体" w:cs="Times New Roman"/>
                <w:bCs/>
                <w:szCs w:val="21"/>
              </w:rPr>
              <w:t>主要劳保用品为：线手套、口罩</w:t>
            </w:r>
            <w:r>
              <w:rPr>
                <w:rFonts w:hint="eastAsia" w:ascii="楷体" w:hAnsi="楷体" w:eastAsia="楷体" w:cs="Times New Roman"/>
                <w:bCs/>
                <w:szCs w:val="21"/>
                <w:lang w:eastAsia="zh-CN"/>
              </w:rPr>
              <w:t>、</w:t>
            </w:r>
            <w:r>
              <w:rPr>
                <w:rFonts w:hint="eastAsia" w:ascii="楷体" w:hAnsi="楷体" w:eastAsia="楷体" w:cs="Times New Roman"/>
                <w:bCs/>
                <w:szCs w:val="21"/>
                <w:lang w:val="en-US" w:eastAsia="zh-CN"/>
              </w:rPr>
              <w:t>耳塞</w:t>
            </w:r>
            <w:r>
              <w:rPr>
                <w:rFonts w:hint="eastAsia" w:ascii="楷体" w:hAnsi="楷体" w:eastAsia="楷体" w:cs="Times New Roman"/>
                <w:bCs/>
                <w:szCs w:val="21"/>
              </w:rPr>
              <w:t>、创口贴 、</w:t>
            </w:r>
            <w:r>
              <w:rPr>
                <w:rFonts w:hint="eastAsia" w:ascii="楷体" w:hAnsi="楷体" w:eastAsia="楷体" w:cs="Times New Roman"/>
                <w:bCs/>
                <w:szCs w:val="21"/>
                <w:lang w:val="en-US" w:eastAsia="zh-CN"/>
              </w:rPr>
              <w:t>工服等</w:t>
            </w:r>
            <w:bookmarkStart w:id="1" w:name="_GoBack"/>
            <w:bookmarkEnd w:id="1"/>
            <w:r>
              <w:rPr>
                <w:rFonts w:hint="eastAsia" w:ascii="楷体" w:hAnsi="楷体" w:eastAsia="楷体" w:cs="Times New Roman"/>
                <w:bCs/>
                <w:szCs w:val="21"/>
              </w:rPr>
              <w:t>，记录了发放时间、领用人等</w:t>
            </w:r>
          </w:p>
          <w:p>
            <w:pPr>
              <w:rPr>
                <w:rFonts w:hint="eastAsia" w:ascii="楷体" w:hAnsi="楷体" w:eastAsia="楷体" w:cs="Times New Roman"/>
                <w:bCs/>
                <w:szCs w:val="21"/>
                <w:lang w:val="en-GB"/>
              </w:rPr>
            </w:pPr>
            <w:r>
              <w:rPr>
                <w:rFonts w:hint="eastAsia" w:ascii="楷体" w:hAnsi="楷体" w:eastAsia="楷体" w:cs="Times New Roman"/>
                <w:bCs/>
                <w:szCs w:val="21"/>
              </w:rPr>
              <w:t>■</w:t>
            </w:r>
            <w:r>
              <w:rPr>
                <w:rFonts w:hint="eastAsia" w:ascii="楷体" w:hAnsi="楷体" w:eastAsia="楷体" w:cs="Times New Roman"/>
                <w:bCs/>
                <w:szCs w:val="21"/>
                <w:lang w:val="en-GB"/>
              </w:rPr>
              <w:t>相关方施加影响：公司能够控制或能够施加影响的相关方有</w:t>
            </w:r>
            <w:r>
              <w:rPr>
                <w:rFonts w:hint="eastAsia" w:ascii="楷体" w:hAnsi="楷体" w:eastAsia="楷体" w:cs="Times New Roman"/>
                <w:bCs/>
                <w:szCs w:val="21"/>
                <w:lang w:val="en-US" w:eastAsia="zh-CN"/>
              </w:rPr>
              <w:t>与企业合作的</w:t>
            </w:r>
            <w:r>
              <w:rPr>
                <w:rFonts w:hint="eastAsia" w:ascii="楷体" w:hAnsi="楷体" w:eastAsia="楷体" w:cs="Times New Roman"/>
                <w:bCs/>
                <w:szCs w:val="21"/>
                <w:lang w:val="en-GB"/>
              </w:rPr>
              <w:t>商户、固体废弃物处理等。提供了“致相关方的公开信”</w:t>
            </w:r>
            <w:r>
              <w:rPr>
                <w:rFonts w:hint="eastAsia" w:ascii="楷体" w:hAnsi="楷体" w:eastAsia="楷体" w:cs="Times New Roman"/>
                <w:bCs/>
                <w:szCs w:val="21"/>
                <w:lang w:val="en-GB" w:eastAsia="zh-CN"/>
              </w:rPr>
              <w:t>，</w:t>
            </w:r>
            <w:r>
              <w:rPr>
                <w:rFonts w:hint="eastAsia" w:ascii="楷体" w:hAnsi="楷体" w:eastAsia="楷体" w:cs="Times New Roman"/>
                <w:bCs/>
                <w:szCs w:val="21"/>
                <w:lang w:val="en-US" w:eastAsia="zh-CN"/>
              </w:rPr>
              <w:t>并跟部分需要再厂区内活动的相关方签订安全管理协议</w:t>
            </w:r>
            <w:r>
              <w:rPr>
                <w:rFonts w:hint="eastAsia" w:ascii="楷体" w:hAnsi="楷体" w:eastAsia="楷体" w:cs="Times New Roman"/>
                <w:bCs/>
                <w:szCs w:val="21"/>
                <w:lang w:val="en-GB"/>
              </w:rPr>
              <w:t>，将公司关于采购物资、固体废弃物处理等方面环境控制要求发放到了周边商户，督促影响各相关方按照环境管理体系要求对环境施加影响。</w:t>
            </w:r>
          </w:p>
          <w:p>
            <w:pPr>
              <w:rPr>
                <w:rFonts w:hint="eastAsia" w:ascii="楷体" w:hAnsi="楷体" w:eastAsia="楷体" w:cs="Times New Roman"/>
                <w:bCs/>
                <w:szCs w:val="21"/>
                <w:lang w:eastAsia="zh-CN"/>
              </w:rPr>
            </w:pPr>
            <w:r>
              <w:rPr>
                <w:rFonts w:hint="eastAsia" w:ascii="楷体" w:hAnsi="楷体" w:eastAsia="楷体" w:cs="Times New Roman"/>
                <w:bCs/>
                <w:szCs w:val="21"/>
              </w:rPr>
              <w:t>■</w:t>
            </w:r>
            <w:r>
              <w:rPr>
                <w:rFonts w:hint="eastAsia" w:ascii="楷体" w:hAnsi="楷体" w:eastAsia="楷体" w:cs="Times New Roman"/>
                <w:bCs/>
                <w:szCs w:val="21"/>
                <w:lang w:val="en-GB"/>
              </w:rPr>
              <w:t>公司办公产生的废硒鼓、废墨盒由供应方公司回收；</w:t>
            </w:r>
          </w:p>
          <w:p>
            <w:pPr>
              <w:rPr>
                <w:rFonts w:hint="eastAsia" w:ascii="楷体" w:hAnsi="楷体" w:eastAsia="楷体" w:cs="Times New Roman"/>
                <w:bCs/>
                <w:szCs w:val="21"/>
              </w:rPr>
            </w:pPr>
            <w:r>
              <w:rPr>
                <w:rFonts w:hint="eastAsia" w:ascii="楷体" w:hAnsi="楷体" w:eastAsia="楷体" w:cs="Times New Roman"/>
                <w:bCs/>
                <w:szCs w:val="21"/>
              </w:rPr>
              <w:t>■公司为员工缴纳了工伤保险，提供了缴纳保险的证据。</w:t>
            </w:r>
          </w:p>
          <w:p>
            <w:pPr>
              <w:rPr>
                <w:rFonts w:hint="eastAsia" w:ascii="楷体" w:hAnsi="楷体" w:eastAsia="楷体" w:cs="Times New Roman"/>
                <w:bCs/>
                <w:szCs w:val="21"/>
              </w:rPr>
            </w:pPr>
            <w:r>
              <w:rPr>
                <w:rFonts w:hint="eastAsia" w:ascii="楷体" w:hAnsi="楷体" w:eastAsia="楷体" w:cs="Times New Roman"/>
                <w:bCs/>
                <w:szCs w:val="21"/>
                <w:lang w:eastAsia="zh-CN"/>
              </w:rPr>
              <w:drawing>
                <wp:inline distT="0" distB="0" distL="114300" distR="114300">
                  <wp:extent cx="2552065" cy="1614170"/>
                  <wp:effectExtent l="0" t="0" r="635" b="11430"/>
                  <wp:docPr id="3" name="图片 3" descr="d979e2d62c6700b722f7508dbdccf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979e2d62c6700b722f7508dbdccfbe"/>
                          <pic:cNvPicPr>
                            <a:picLocks noChangeAspect="1"/>
                          </pic:cNvPicPr>
                        </pic:nvPicPr>
                        <pic:blipFill>
                          <a:blip r:embed="rId6"/>
                          <a:srcRect l="8225" t="12570" r="9112" b="13658"/>
                          <a:stretch>
                            <a:fillRect/>
                          </a:stretch>
                        </pic:blipFill>
                        <pic:spPr>
                          <a:xfrm>
                            <a:off x="0" y="0"/>
                            <a:ext cx="2552065" cy="1614170"/>
                          </a:xfrm>
                          <a:prstGeom prst="rect">
                            <a:avLst/>
                          </a:prstGeom>
                        </pic:spPr>
                      </pic:pic>
                    </a:graphicData>
                  </a:graphic>
                </wp:inline>
              </w:drawing>
            </w:r>
            <w:r>
              <w:rPr>
                <w:rFonts w:hint="eastAsia" w:ascii="楷体" w:hAnsi="楷体" w:eastAsia="楷体" w:cs="Times New Roman"/>
                <w:bCs/>
                <w:szCs w:val="21"/>
                <w:lang w:eastAsia="zh-CN"/>
              </w:rPr>
              <w:drawing>
                <wp:inline distT="0" distB="0" distL="114300" distR="114300">
                  <wp:extent cx="2685415" cy="1653540"/>
                  <wp:effectExtent l="0" t="0" r="6985" b="10160"/>
                  <wp:docPr id="4" name="图片 4" descr="1076594f36b76f121522eeadbc18a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076594f36b76f121522eeadbc18ab1"/>
                          <pic:cNvPicPr>
                            <a:picLocks noChangeAspect="1"/>
                          </pic:cNvPicPr>
                        </pic:nvPicPr>
                        <pic:blipFill>
                          <a:blip r:embed="rId7"/>
                          <a:srcRect l="2658" t="3811" r="4405" b="5988"/>
                          <a:stretch>
                            <a:fillRect/>
                          </a:stretch>
                        </pic:blipFill>
                        <pic:spPr>
                          <a:xfrm>
                            <a:off x="0" y="0"/>
                            <a:ext cx="2685415" cy="1653540"/>
                          </a:xfrm>
                          <a:prstGeom prst="rect">
                            <a:avLst/>
                          </a:prstGeom>
                        </pic:spPr>
                      </pic:pic>
                    </a:graphicData>
                  </a:graphic>
                </wp:inline>
              </w:drawing>
            </w:r>
          </w:p>
          <w:p>
            <w:pPr>
              <w:rPr>
                <w:rFonts w:hint="eastAsia" w:ascii="楷体" w:hAnsi="楷体" w:eastAsia="楷体" w:cs="Times New Roman"/>
                <w:bCs/>
                <w:szCs w:val="21"/>
              </w:rPr>
            </w:pPr>
            <w:r>
              <w:rPr>
                <w:rFonts w:hint="eastAsia" w:ascii="楷体" w:hAnsi="楷体" w:eastAsia="楷体" w:cs="Times New Roman"/>
                <w:bCs/>
                <w:szCs w:val="21"/>
              </w:rPr>
              <w:t>■办公区固废；现在分类集中存放，及时处理，防止意外火灾。</w:t>
            </w:r>
          </w:p>
          <w:p>
            <w:pPr>
              <w:rPr>
                <w:rFonts w:hint="eastAsia" w:ascii="楷体" w:hAnsi="楷体" w:eastAsia="楷体" w:cs="Times New Roman"/>
                <w:bCs/>
                <w:szCs w:val="21"/>
              </w:rPr>
            </w:pPr>
            <w:r>
              <w:rPr>
                <w:rFonts w:hint="eastAsia" w:ascii="楷体" w:hAnsi="楷体" w:eastAsia="楷体" w:cs="Times New Roman"/>
                <w:bCs/>
                <w:szCs w:val="21"/>
              </w:rPr>
              <w:t>■驾驶员要求遵守道路交通安全法，不违章驾车，驾驶证和车辆定期年审，确保行车安全；</w:t>
            </w:r>
          </w:p>
          <w:p>
            <w:pPr>
              <w:rPr>
                <w:rFonts w:hint="eastAsia" w:ascii="楷体" w:hAnsi="楷体" w:eastAsia="楷体" w:cs="Times New Roman"/>
                <w:bCs/>
                <w:szCs w:val="21"/>
              </w:rPr>
            </w:pPr>
            <w:r>
              <w:rPr>
                <w:rFonts w:hint="eastAsia" w:ascii="楷体" w:hAnsi="楷体" w:eastAsia="楷体" w:cs="Times New Roman"/>
                <w:bCs/>
                <w:szCs w:val="21"/>
              </w:rPr>
              <w:t>■现场查看办公区域配备有符合要求的灭火器等，</w:t>
            </w:r>
            <w:r>
              <w:rPr>
                <w:rFonts w:hint="eastAsia" w:ascii="楷体" w:hAnsi="楷体" w:eastAsia="楷体" w:cs="Times New Roman"/>
                <w:bCs/>
                <w:szCs w:val="21"/>
                <w:lang w:eastAsia="zh-CN"/>
              </w:rPr>
              <w:t>办公室</w:t>
            </w:r>
            <w:r>
              <w:rPr>
                <w:rFonts w:hint="eastAsia" w:ascii="楷体" w:hAnsi="楷体" w:eastAsia="楷体" w:cs="Times New Roman"/>
                <w:bCs/>
                <w:szCs w:val="21"/>
              </w:rPr>
              <w:t>设备、电器状态良好，无安全隐患。</w:t>
            </w:r>
          </w:p>
          <w:p>
            <w:pPr>
              <w:rPr>
                <w:rFonts w:hint="eastAsia" w:ascii="楷体" w:hAnsi="楷体" w:eastAsia="楷体" w:cs="Times New Roman"/>
                <w:bCs/>
                <w:szCs w:val="21"/>
              </w:rPr>
            </w:pPr>
            <w:r>
              <w:rPr>
                <w:rFonts w:hint="eastAsia" w:ascii="楷体" w:hAnsi="楷体" w:eastAsia="楷体" w:cs="Times New Roman"/>
                <w:bCs/>
                <w:szCs w:val="21"/>
              </w:rPr>
              <w:t>■摔倒：地面及时清理和清洁；</w:t>
            </w:r>
            <w:r>
              <w:rPr>
                <w:rFonts w:hint="eastAsia" w:ascii="楷体" w:hAnsi="楷体" w:eastAsia="楷体" w:cs="Times New Roman"/>
                <w:bCs/>
                <w:szCs w:val="21"/>
                <w:lang w:eastAsia="zh-CN"/>
              </w:rPr>
              <w:t>悬挂警示标志；</w:t>
            </w:r>
          </w:p>
          <w:p>
            <w:pPr>
              <w:rPr>
                <w:rFonts w:hint="eastAsia" w:ascii="楷体" w:hAnsi="楷体" w:eastAsia="楷体" w:cs="Times New Roman"/>
                <w:bCs/>
                <w:szCs w:val="21"/>
              </w:rPr>
            </w:pPr>
            <w:r>
              <w:rPr>
                <w:rFonts w:hint="eastAsia" w:ascii="楷体" w:hAnsi="楷体" w:eastAsia="楷体" w:cs="Times New Roman"/>
                <w:bCs/>
                <w:szCs w:val="21"/>
              </w:rPr>
              <w:t>■中暑：有空调、风扇；有冷饮、凉茶；</w:t>
            </w:r>
          </w:p>
          <w:p>
            <w:pPr>
              <w:rPr>
                <w:rFonts w:hint="eastAsia" w:ascii="楷体" w:hAnsi="楷体" w:eastAsia="楷体" w:cs="Times New Roman"/>
                <w:bCs/>
                <w:szCs w:val="21"/>
              </w:rPr>
            </w:pPr>
            <w:r>
              <w:rPr>
                <w:rFonts w:hint="eastAsia" w:ascii="楷体" w:hAnsi="楷体" w:eastAsia="楷体" w:cs="Times New Roman"/>
                <w:bCs/>
                <w:szCs w:val="21"/>
              </w:rPr>
              <w:t>■触电：有过流保护器；全公司使用220V的电压；</w:t>
            </w:r>
            <w:r>
              <w:rPr>
                <w:rFonts w:hint="eastAsia" w:ascii="楷体" w:hAnsi="楷体" w:eastAsia="楷体" w:cs="Times New Roman"/>
                <w:bCs/>
                <w:szCs w:val="21"/>
                <w:lang w:eastAsia="zh-CN"/>
              </w:rPr>
              <w:t>悬挂警示标志；应急救援</w:t>
            </w:r>
            <w:r>
              <w:rPr>
                <w:rFonts w:hint="eastAsia" w:ascii="楷体" w:hAnsi="楷体" w:eastAsia="楷体" w:cs="Times New Roman"/>
                <w:bCs/>
                <w:szCs w:val="21"/>
              </w:rPr>
              <w:t>；</w:t>
            </w:r>
          </w:p>
          <w:p>
            <w:pPr>
              <w:rPr>
                <w:rFonts w:hint="eastAsia" w:ascii="楷体" w:hAnsi="楷体" w:eastAsia="楷体" w:cs="Times New Roman"/>
                <w:bCs/>
                <w:szCs w:val="21"/>
              </w:rPr>
            </w:pPr>
            <w:r>
              <w:rPr>
                <w:rFonts w:hint="eastAsia" w:ascii="楷体" w:hAnsi="楷体" w:eastAsia="楷体" w:cs="Times New Roman"/>
                <w:bCs/>
                <w:szCs w:val="21"/>
              </w:rPr>
              <w:t>■安全用电：不随便拉电线，不随便使用大功率电器；</w:t>
            </w:r>
          </w:p>
          <w:p>
            <w:pPr>
              <w:rPr>
                <w:rFonts w:hint="eastAsia" w:ascii="楷体" w:hAnsi="楷体" w:eastAsia="楷体" w:cs="Times New Roman"/>
                <w:bCs/>
                <w:szCs w:val="21"/>
              </w:rPr>
            </w:pPr>
            <w:r>
              <w:rPr>
                <w:rFonts w:hint="eastAsia" w:ascii="楷体" w:hAnsi="楷体" w:eastAsia="楷体" w:cs="Times New Roman"/>
                <w:bCs/>
                <w:szCs w:val="21"/>
              </w:rPr>
              <w:t>■消防：消防栓、灭火器（干粉）；</w:t>
            </w:r>
            <w:r>
              <w:rPr>
                <w:rFonts w:hint="eastAsia" w:ascii="楷体" w:hAnsi="楷体" w:eastAsia="楷体" w:cs="Times New Roman"/>
                <w:bCs/>
                <w:szCs w:val="21"/>
                <w:lang w:eastAsia="zh-CN"/>
              </w:rPr>
              <w:t>定期检查；及时更换</w:t>
            </w:r>
            <w:r>
              <w:rPr>
                <w:rFonts w:hint="eastAsia" w:ascii="楷体" w:hAnsi="楷体" w:eastAsia="楷体" w:cs="Times New Roman"/>
                <w:bCs/>
                <w:szCs w:val="21"/>
              </w:rPr>
              <w:t xml:space="preserve"> </w:t>
            </w:r>
          </w:p>
          <w:p>
            <w:pPr>
              <w:rPr>
                <w:rFonts w:hint="default" w:ascii="楷体" w:hAnsi="楷体" w:eastAsia="楷体" w:cs="Times New Roman"/>
                <w:bCs/>
                <w:szCs w:val="21"/>
                <w:lang w:val="en-US"/>
              </w:rPr>
            </w:pP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应急响应和准备</w:t>
            </w:r>
          </w:p>
        </w:tc>
        <w:tc>
          <w:tcPr>
            <w:tcW w:w="960" w:type="dxa"/>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EO8.2</w:t>
            </w:r>
          </w:p>
        </w:tc>
        <w:tc>
          <w:tcPr>
            <w:tcW w:w="10596" w:type="dxa"/>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1、查策划有《应急准备和响应控制程序》，编制有《应急预案》。</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2、应急准备工作开展以下活动：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——建立有应急组织，提供出应急组织机构图、消防队人员名单、职责权限规定等。</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——配备相应的消防器材。</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——进行消防常识和能力的培训、潜在的火灾爆炸的常识和能力的培训</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3、该部门介绍开展了消防器材的使用和人员紧急疏散演练活动：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提供有“火灾消防演习”。</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——演练时间：时间2022年10月18日</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——参加人员：全体</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——演练效果评价记录：通过演练，证明预案基本适宜，全体人员对预案的要求有了比较适宜的操作方法，可以有效履行预案的要求，对伤害事故起到良好的控制作用。</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——对消防应急预案的适用性、可操作性进行评审；符合要求。</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zh-CN" w:eastAsia="zh-CN"/>
              </w:rPr>
              <w:t>现场查看，办公区域配置了灭火器，在有效期内。</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rPr>
              <w:t>分析与评价</w:t>
            </w:r>
          </w:p>
        </w:tc>
        <w:tc>
          <w:tcPr>
            <w:tcW w:w="960" w:type="dxa"/>
          </w:tcPr>
          <w:p>
            <w:pPr>
              <w:rPr>
                <w:rFonts w:hint="eastAsia" w:ascii="楷体" w:hAnsi="楷体" w:eastAsia="楷体"/>
                <w:bCs/>
                <w:lang w:eastAsia="zh-CN"/>
              </w:rPr>
            </w:pPr>
            <w:r>
              <w:rPr>
                <w:rFonts w:hint="eastAsia" w:ascii="楷体" w:hAnsi="楷体" w:eastAsia="楷体"/>
                <w:bCs/>
                <w:lang w:val="en-US" w:eastAsia="zh-CN"/>
              </w:rPr>
              <w:t>QEO</w:t>
            </w:r>
            <w:r>
              <w:rPr>
                <w:rFonts w:hint="eastAsia" w:ascii="楷体" w:hAnsi="楷体" w:eastAsia="楷体"/>
                <w:bCs/>
              </w:rPr>
              <w:t>9.1.</w:t>
            </w:r>
            <w:r>
              <w:rPr>
                <w:rFonts w:hint="eastAsia" w:ascii="楷体" w:hAnsi="楷体" w:eastAsia="楷体"/>
                <w:bCs/>
                <w:lang w:val="en-US" w:eastAsia="zh-CN"/>
              </w:rPr>
              <w:t>1</w:t>
            </w:r>
          </w:p>
        </w:tc>
        <w:tc>
          <w:tcPr>
            <w:tcW w:w="10596" w:type="dxa"/>
          </w:tcPr>
          <w:p>
            <w:pPr>
              <w:rPr>
                <w:rFonts w:ascii="楷体" w:hAnsi="楷体" w:eastAsia="楷体"/>
                <w:bCs/>
              </w:rPr>
            </w:pPr>
            <w:r>
              <w:rPr>
                <w:rFonts w:hint="eastAsia" w:ascii="楷体" w:hAnsi="楷体" w:eastAsia="楷体"/>
              </w:rPr>
              <w:sym w:font="Wingdings 2" w:char="F098"/>
            </w:r>
            <w:r>
              <w:rPr>
                <w:rFonts w:hint="eastAsia" w:ascii="楷体" w:hAnsi="楷体" w:eastAsia="楷体"/>
                <w:bCs/>
              </w:rPr>
              <w:t>建立《</w:t>
            </w:r>
            <w:r>
              <w:rPr>
                <w:rFonts w:hint="eastAsia" w:ascii="楷体" w:hAnsi="楷体" w:eastAsia="楷体"/>
                <w:bCs/>
                <w:lang w:val="en-US" w:eastAsia="zh-CN"/>
              </w:rPr>
              <w:t>监视和测量控制程序</w:t>
            </w:r>
            <w:r>
              <w:rPr>
                <w:rFonts w:hint="eastAsia" w:ascii="楷体" w:hAnsi="楷体" w:eastAsia="楷体"/>
                <w:bCs/>
              </w:rPr>
              <w:t>》《</w:t>
            </w:r>
            <w:r>
              <w:rPr>
                <w:rFonts w:hint="eastAsia" w:ascii="楷体" w:hAnsi="楷体" w:eastAsia="楷体"/>
                <w:bCs/>
                <w:lang w:val="en-US" w:eastAsia="zh-CN"/>
              </w:rPr>
              <w:t>顾客满意度控制程序</w:t>
            </w:r>
            <w:r>
              <w:rPr>
                <w:rFonts w:hint="eastAsia" w:ascii="楷体" w:hAnsi="楷体" w:eastAsia="楷体"/>
                <w:bCs/>
              </w:rPr>
              <w:t>》对信息进行分析处理。</w:t>
            </w:r>
          </w:p>
          <w:p>
            <w:pPr>
              <w:rPr>
                <w:rFonts w:ascii="楷体" w:hAnsi="楷体" w:eastAsia="楷体"/>
              </w:rPr>
            </w:pPr>
            <w:r>
              <w:rPr>
                <w:rFonts w:hint="eastAsia" w:ascii="楷体" w:hAnsi="楷体" w:eastAsia="楷体"/>
              </w:rPr>
              <w:sym w:font="Wingdings 2" w:char="F098"/>
            </w:r>
            <w:r>
              <w:rPr>
                <w:rFonts w:hint="eastAsia" w:ascii="楷体" w:hAnsi="楷体" w:eastAsia="楷体"/>
              </w:rPr>
              <w:t>查通过体系运行所进行监视和测量结果的分析评价：</w:t>
            </w:r>
          </w:p>
          <w:p>
            <w:pPr>
              <w:rPr>
                <w:rFonts w:ascii="楷体" w:hAnsi="楷体" w:eastAsia="楷体"/>
              </w:rPr>
            </w:pPr>
            <w:r>
              <w:rPr>
                <w:rFonts w:hint="eastAsia" w:ascii="楷体" w:hAnsi="楷体" w:eastAsia="楷体"/>
              </w:rPr>
              <w:t>1、产品的符合性：通过进货检验、销售服务检验及不合格品的控制达到产品的符合性；</w:t>
            </w:r>
          </w:p>
          <w:p>
            <w:pPr>
              <w:rPr>
                <w:rFonts w:ascii="楷体" w:hAnsi="楷体" w:eastAsia="楷体"/>
              </w:rPr>
            </w:pPr>
            <w:r>
              <w:rPr>
                <w:rFonts w:hint="eastAsia" w:ascii="楷体" w:hAnsi="楷体" w:eastAsia="楷体"/>
              </w:rPr>
              <w:t>2、顾客满意程度：对客户进行顾客满意度调查，经统计顾客满意度达到9</w:t>
            </w:r>
            <w:r>
              <w:rPr>
                <w:rFonts w:hint="eastAsia" w:ascii="楷体" w:hAnsi="楷体" w:eastAsia="楷体"/>
                <w:lang w:val="en-US" w:eastAsia="zh-CN"/>
              </w:rPr>
              <w:t>5</w:t>
            </w:r>
            <w:r>
              <w:rPr>
                <w:rFonts w:hint="eastAsia" w:ascii="楷体" w:hAnsi="楷体" w:eastAsia="楷体"/>
              </w:rPr>
              <w:t>%，达到了预期目标；</w:t>
            </w:r>
          </w:p>
          <w:p>
            <w:pPr>
              <w:rPr>
                <w:rFonts w:ascii="楷体" w:hAnsi="楷体" w:eastAsia="楷体"/>
              </w:rPr>
            </w:pPr>
            <w:r>
              <w:rPr>
                <w:rFonts w:hint="eastAsia" w:ascii="楷体" w:hAnsi="楷体" w:eastAsia="楷体"/>
              </w:rPr>
              <w:t>3、对供应商年度评价，从产品质量、交货期、价格、售后服务等方面进行评价。</w:t>
            </w:r>
          </w:p>
          <w:p>
            <w:pPr>
              <w:rPr>
                <w:rFonts w:ascii="楷体" w:hAnsi="楷体" w:eastAsia="楷体"/>
              </w:rPr>
            </w:pPr>
            <w:r>
              <w:rPr>
                <w:rFonts w:hint="eastAsia" w:ascii="楷体" w:hAnsi="楷体" w:eastAsia="楷体"/>
              </w:rPr>
              <w:t>4、查目标统计表，均满足策划的要求。</w:t>
            </w:r>
          </w:p>
          <w:p>
            <w:pPr>
              <w:rPr>
                <w:rFonts w:ascii="楷体" w:hAnsi="楷体" w:eastAsia="楷体"/>
              </w:rPr>
            </w:pPr>
            <w:r>
              <w:rPr>
                <w:rFonts w:hint="eastAsia" w:ascii="楷体" w:hAnsi="楷体" w:eastAsia="楷体"/>
              </w:rPr>
              <w:t>5、针对识别出的风险和机遇采取了相应的措施；优选供应商，拓展销售渠道，此项措施正在组织实施中。</w:t>
            </w:r>
          </w:p>
          <w:p>
            <w:pPr>
              <w:rPr>
                <w:rFonts w:hint="eastAsia" w:ascii="楷体" w:hAnsi="楷体" w:eastAsia="楷体" w:cs="Times New Roman"/>
                <w:bCs/>
                <w:szCs w:val="21"/>
                <w:lang w:eastAsia="zh-CN"/>
              </w:rPr>
            </w:pPr>
            <w:r>
              <w:rPr>
                <w:rFonts w:hint="eastAsia" w:ascii="楷体" w:hAnsi="楷体" w:eastAsia="楷体"/>
              </w:rPr>
              <w:t>6、管理体系改进的需求：通过体系运行，产品的符合性、内审、管评的有效性及企业持续改进，不断完善各项软硬件环境，提高产品质量，满足客户需求</w:t>
            </w:r>
          </w:p>
          <w:p>
            <w:pPr>
              <w:rPr>
                <w:rFonts w:hint="eastAsia" w:ascii="楷体" w:hAnsi="楷体" w:eastAsia="楷体" w:cs="Times New Roman"/>
                <w:bCs/>
                <w:szCs w:val="21"/>
                <w:lang w:val="en-US" w:eastAsia="zh-CN"/>
              </w:rPr>
            </w:pPr>
            <w:r>
              <w:rPr>
                <w:rFonts w:hint="eastAsia" w:ascii="楷体" w:hAnsi="楷体" w:eastAsia="楷体"/>
              </w:rPr>
              <w:sym w:font="Wingdings 2" w:char="F098"/>
            </w:r>
            <w:r>
              <w:rPr>
                <w:rFonts w:hint="eastAsia" w:ascii="楷体" w:hAnsi="楷体" w:eastAsia="楷体" w:cs="Times New Roman"/>
                <w:bCs/>
                <w:szCs w:val="21"/>
                <w:lang w:val="en-US" w:eastAsia="zh-CN"/>
              </w:rPr>
              <w:t>提供：</w:t>
            </w:r>
          </w:p>
          <w:p>
            <w:pPr>
              <w:rPr>
                <w:rFonts w:hint="eastAsia" w:ascii="楷体" w:hAnsi="楷体" w:eastAsia="楷体" w:cs="Times New Roman"/>
                <w:bCs/>
                <w:lang w:val="en-US" w:eastAsia="zh-CN"/>
              </w:rPr>
            </w:pPr>
            <w:r>
              <w:rPr>
                <w:rFonts w:hint="eastAsia" w:ascii="楷体" w:hAnsi="楷体" w:eastAsia="楷体" w:cs="Times New Roman"/>
                <w:bCs/>
                <w:lang w:val="en-US" w:eastAsia="zh-CN"/>
              </w:rPr>
              <w:t>提供环境监测报告：报告编号：LDZ2208181；检测单位：湖南立德正检测有限公司；报告日期：2022年9月2日；采样类别：噪声、生活污水、工艺废气；检测结果显示，均在相应标准要求的限制范围内。</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《职业健康检查报告》编号：LHCDC/ZYTJ20220909-043，检测日期：2022年10月11号，检测机构：隆回县疾病预防控制中心</w:t>
            </w:r>
          </w:p>
          <w:p>
            <w:pPr>
              <w:rPr>
                <w:rFonts w:ascii="楷体" w:hAnsi="楷体" w:eastAsia="楷体"/>
                <w:bCs/>
              </w:rPr>
            </w:pPr>
            <w:r>
              <w:rPr>
                <w:rFonts w:hint="eastAsia" w:ascii="楷体" w:hAnsi="楷体" w:eastAsia="楷体"/>
              </w:rPr>
              <w:sym w:font="Wingdings 2" w:char="F098"/>
            </w:r>
            <w:r>
              <w:rPr>
                <w:rFonts w:hint="eastAsia" w:ascii="楷体" w:hAnsi="楷体" w:eastAsia="楷体"/>
              </w:rPr>
              <w:t>综上所述，基本符合标准要求。</w:t>
            </w:r>
            <w:r>
              <w:rPr>
                <w:rFonts w:ascii="楷体" w:hAnsi="楷体" w:eastAsia="楷体"/>
              </w:rPr>
              <w:t xml:space="preserve"> </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60" w:type="dxa"/>
          </w:tcPr>
          <w:p>
            <w:pPr>
              <w:rPr>
                <w:rFonts w:ascii="楷体" w:hAnsi="楷体" w:eastAsia="楷体"/>
              </w:rPr>
            </w:pPr>
            <w:r>
              <w:rPr>
                <w:rFonts w:hint="eastAsia" w:ascii="楷体" w:hAnsi="楷体" w:eastAsia="楷体"/>
                <w:bCs/>
              </w:rPr>
              <w:t>内部审核</w:t>
            </w:r>
          </w:p>
        </w:tc>
        <w:tc>
          <w:tcPr>
            <w:tcW w:w="960" w:type="dxa"/>
          </w:tcPr>
          <w:p>
            <w:pPr>
              <w:rPr>
                <w:rFonts w:ascii="楷体" w:hAnsi="楷体" w:eastAsia="楷体"/>
                <w:b/>
                <w:bCs/>
              </w:rPr>
            </w:pPr>
            <w:r>
              <w:rPr>
                <w:rFonts w:hint="eastAsia" w:ascii="楷体" w:hAnsi="楷体" w:eastAsia="楷体"/>
                <w:b/>
                <w:bCs/>
                <w:lang w:val="en-US" w:eastAsia="zh-CN"/>
              </w:rPr>
              <w:t>QEO</w:t>
            </w:r>
            <w:r>
              <w:rPr>
                <w:rFonts w:hint="eastAsia" w:ascii="楷体" w:hAnsi="楷体" w:eastAsia="楷体"/>
                <w:b/>
                <w:bCs/>
              </w:rPr>
              <w:t>9.2</w:t>
            </w:r>
          </w:p>
        </w:tc>
        <w:tc>
          <w:tcPr>
            <w:tcW w:w="10596" w:type="dxa"/>
          </w:tcPr>
          <w:p>
            <w:pPr>
              <w:rPr>
                <w:rFonts w:ascii="楷体" w:hAnsi="楷体" w:eastAsia="楷体"/>
              </w:rPr>
            </w:pPr>
            <w:r>
              <w:rPr>
                <w:rFonts w:hint="eastAsia" w:ascii="楷体" w:hAnsi="楷体" w:eastAsia="楷体"/>
              </w:rPr>
              <w:sym w:font="Wingdings 2" w:char="F098"/>
            </w:r>
            <w:r>
              <w:rPr>
                <w:rFonts w:hint="eastAsia" w:ascii="楷体" w:hAnsi="楷体" w:eastAsia="楷体"/>
              </w:rPr>
              <w:t>编制《</w:t>
            </w:r>
            <w:r>
              <w:rPr>
                <w:rFonts w:hint="eastAsia" w:ascii="楷体" w:hAnsi="楷体" w:eastAsia="楷体"/>
                <w:lang w:val="zh-CN"/>
              </w:rPr>
              <w:t>内审控制程序</w:t>
            </w:r>
            <w:r>
              <w:rPr>
                <w:rFonts w:hint="eastAsia" w:ascii="楷体" w:hAnsi="楷体" w:eastAsia="楷体"/>
              </w:rPr>
              <w:t>》，基本符合标准要求。</w:t>
            </w:r>
          </w:p>
          <w:p>
            <w:pPr>
              <w:rPr>
                <w:rFonts w:ascii="楷体" w:hAnsi="楷体" w:eastAsia="楷体"/>
              </w:rPr>
            </w:pPr>
            <w:r>
              <w:rPr>
                <w:rFonts w:hint="eastAsia" w:ascii="楷体" w:hAnsi="楷体" w:eastAsia="楷体"/>
              </w:rPr>
              <w:t>经查问：总经理、管代、各部门主管均经培训并参加了内部审核。</w:t>
            </w:r>
          </w:p>
          <w:p>
            <w:pPr>
              <w:rPr>
                <w:rFonts w:ascii="楷体" w:hAnsi="楷体" w:eastAsia="楷体"/>
              </w:rPr>
            </w:pPr>
            <w:r>
              <w:rPr>
                <w:rFonts w:hint="eastAsia" w:ascii="楷体" w:hAnsi="楷体" w:eastAsia="楷体"/>
              </w:rPr>
              <w:t>202</w:t>
            </w:r>
            <w:r>
              <w:rPr>
                <w:rFonts w:hint="eastAsia" w:ascii="楷体" w:hAnsi="楷体" w:eastAsia="楷体"/>
                <w:lang w:val="en-US" w:eastAsia="zh-CN"/>
              </w:rPr>
              <w:t>2</w:t>
            </w:r>
            <w:r>
              <w:rPr>
                <w:rFonts w:hint="eastAsia" w:ascii="楷体" w:hAnsi="楷体" w:eastAsia="楷体"/>
              </w:rPr>
              <w:t>年</w:t>
            </w:r>
            <w:r>
              <w:rPr>
                <w:rFonts w:hint="eastAsia" w:ascii="楷体" w:hAnsi="楷体" w:eastAsia="楷体"/>
                <w:lang w:val="en-US" w:eastAsia="zh-CN"/>
              </w:rPr>
              <w:t>12</w:t>
            </w:r>
            <w:r>
              <w:rPr>
                <w:rFonts w:hint="eastAsia" w:ascii="楷体" w:hAnsi="楷体" w:eastAsia="楷体"/>
              </w:rPr>
              <w:t>月</w:t>
            </w:r>
            <w:r>
              <w:rPr>
                <w:rFonts w:hint="eastAsia" w:ascii="楷体" w:hAnsi="楷体" w:eastAsia="楷体"/>
                <w:lang w:val="en-US" w:eastAsia="zh-CN"/>
              </w:rPr>
              <w:t>5</w:t>
            </w:r>
            <w:r>
              <w:rPr>
                <w:rFonts w:hint="eastAsia" w:ascii="楷体" w:hAnsi="楷体" w:eastAsia="楷体"/>
              </w:rPr>
              <w:t>日开展了管理体系内部审核活动，并提供有以下内审的资料：</w:t>
            </w:r>
          </w:p>
          <w:p>
            <w:pPr>
              <w:rPr>
                <w:rFonts w:ascii="楷体" w:hAnsi="楷体" w:eastAsia="楷体"/>
              </w:rPr>
            </w:pPr>
            <w:r>
              <w:rPr>
                <w:rFonts w:hint="eastAsia" w:ascii="楷体" w:hAnsi="楷体" w:eastAsia="楷体"/>
              </w:rPr>
              <w:t>——《审核实施计划》，批准：阳妲。计划中规定审核的目的、依据、范围、时间、审核安排；审核组成员。</w:t>
            </w:r>
          </w:p>
          <w:p>
            <w:pPr>
              <w:rPr>
                <w:rFonts w:ascii="楷体" w:hAnsi="楷体" w:eastAsia="楷体"/>
              </w:rPr>
            </w:pPr>
            <w:r>
              <w:rPr>
                <w:rFonts w:hint="eastAsia" w:ascii="楷体" w:hAnsi="楷体" w:eastAsia="楷体"/>
              </w:rPr>
              <w:t>计划中没有漏标准条款、没有遗漏体系覆盖的部门和场所，内审员没有审核自己的工作。</w:t>
            </w:r>
          </w:p>
          <w:p>
            <w:pPr>
              <w:rPr>
                <w:rFonts w:ascii="楷体" w:hAnsi="楷体" w:eastAsia="楷体"/>
              </w:rPr>
            </w:pPr>
            <w:r>
              <w:rPr>
                <w:rFonts w:hint="eastAsia" w:ascii="楷体" w:hAnsi="楷体" w:eastAsia="楷体"/>
              </w:rPr>
              <w:t>——内审首末次会议签到（领导层、各部门负责人）；</w:t>
            </w:r>
          </w:p>
          <w:p>
            <w:pPr>
              <w:rPr>
                <w:rFonts w:ascii="楷体" w:hAnsi="楷体" w:eastAsia="楷体"/>
              </w:rPr>
            </w:pPr>
            <w:r>
              <w:rPr>
                <w:rFonts w:hint="eastAsia" w:ascii="楷体" w:hAnsi="楷体" w:eastAsia="楷体"/>
              </w:rPr>
              <w:t>——内部审核检查表，审核按计划进行，没有遗漏标准条款及体系覆盖的部门和场所，内审员没有审核自己的工作。</w:t>
            </w:r>
          </w:p>
          <w:p>
            <w:pPr>
              <w:rPr>
                <w:rFonts w:ascii="楷体" w:hAnsi="楷体" w:eastAsia="楷体"/>
              </w:rPr>
            </w:pPr>
            <w:r>
              <w:rPr>
                <w:rFonts w:hint="eastAsia" w:ascii="楷体" w:hAnsi="楷体" w:eastAsia="楷体"/>
              </w:rPr>
              <w:t>——本次内审发现1项不合格，在</w:t>
            </w:r>
            <w:r>
              <w:rPr>
                <w:rFonts w:hint="eastAsia" w:ascii="楷体" w:hAnsi="楷体" w:eastAsia="楷体"/>
                <w:lang w:val="en-US" w:eastAsia="zh-CN"/>
              </w:rPr>
              <w:t>物管部8</w:t>
            </w:r>
            <w:r>
              <w:rPr>
                <w:rFonts w:hint="eastAsia" w:ascii="楷体" w:hAnsi="楷体" w:eastAsia="楷体"/>
              </w:rPr>
              <w:t>.</w:t>
            </w:r>
            <w:r>
              <w:rPr>
                <w:rFonts w:hint="eastAsia" w:ascii="楷体" w:hAnsi="楷体" w:eastAsia="楷体"/>
                <w:lang w:val="en-US" w:eastAsia="zh-CN"/>
              </w:rPr>
              <w:t>1</w:t>
            </w:r>
            <w:r>
              <w:rPr>
                <w:rFonts w:hint="eastAsia" w:ascii="楷体" w:hAnsi="楷体" w:eastAsia="楷体"/>
              </w:rPr>
              <w:t>条款，为一般不符合项</w:t>
            </w:r>
            <w:r>
              <w:rPr>
                <w:rFonts w:hint="eastAsia" w:ascii="楷体" w:hAnsi="楷体" w:eastAsia="楷体"/>
                <w:lang w:eastAsia="zh-CN"/>
              </w:rPr>
              <w:t>：</w:t>
            </w:r>
            <w:r>
              <w:rPr>
                <w:rFonts w:hint="eastAsia" w:ascii="楷体" w:hAnsi="楷体" w:eastAsia="楷体"/>
                <w:lang w:val="en-US" w:eastAsia="zh-CN"/>
              </w:rPr>
              <w:t>员工未按照要求佩戴劳保用品</w:t>
            </w:r>
            <w:r>
              <w:rPr>
                <w:rFonts w:hint="eastAsia" w:ascii="楷体" w:hAnsi="楷体" w:eastAsia="楷体"/>
              </w:rPr>
              <w:t>，查看《不符合报告》，不符合事实描述清晰，不符合原因分析准确，并制定了纠正及纠正预防措施，且措施可行，并对其有效性进行了验证，验证人：阳妲</w:t>
            </w:r>
            <w:r>
              <w:rPr>
                <w:rFonts w:hint="eastAsia" w:ascii="楷体" w:hAnsi="楷体" w:eastAsia="楷体"/>
                <w:lang w:val="en-US" w:eastAsia="zh-CN"/>
              </w:rPr>
              <w:t xml:space="preserve">  </w:t>
            </w:r>
            <w:r>
              <w:rPr>
                <w:rFonts w:hint="eastAsia" w:ascii="楷体" w:hAnsi="楷体" w:eastAsia="楷体"/>
              </w:rPr>
              <w:t>202</w:t>
            </w:r>
            <w:r>
              <w:rPr>
                <w:rFonts w:hint="eastAsia" w:ascii="楷体" w:hAnsi="楷体" w:eastAsia="楷体"/>
                <w:lang w:val="en-US" w:eastAsia="zh-CN"/>
              </w:rPr>
              <w:t>2</w:t>
            </w:r>
            <w:r>
              <w:rPr>
                <w:rFonts w:hint="eastAsia" w:ascii="楷体" w:hAnsi="楷体" w:eastAsia="楷体"/>
              </w:rPr>
              <w:t>.</w:t>
            </w:r>
            <w:r>
              <w:rPr>
                <w:rFonts w:hint="eastAsia" w:ascii="楷体" w:hAnsi="楷体" w:eastAsia="楷体"/>
                <w:lang w:val="en-US" w:eastAsia="zh-CN"/>
              </w:rPr>
              <w:t>12</w:t>
            </w:r>
            <w:r>
              <w:rPr>
                <w:rFonts w:ascii="楷体" w:hAnsi="楷体" w:eastAsia="楷体"/>
              </w:rPr>
              <w:t>.</w:t>
            </w:r>
            <w:r>
              <w:rPr>
                <w:rFonts w:hint="eastAsia" w:ascii="楷体" w:hAnsi="楷体" w:eastAsia="楷体"/>
                <w:lang w:val="en-US" w:eastAsia="zh-CN"/>
              </w:rPr>
              <w:t>8</w:t>
            </w:r>
            <w:r>
              <w:rPr>
                <w:rFonts w:hint="eastAsia" w:ascii="楷体" w:hAnsi="楷体" w:eastAsia="楷体"/>
              </w:rPr>
              <w:t>——本次内审编制有《内部管理体系审核报告》，对内审进行了综述和体系运行情况的评价，对纠正措施提出整改的要求。</w:t>
            </w:r>
          </w:p>
          <w:p>
            <w:pPr>
              <w:rPr>
                <w:rFonts w:hint="eastAsia" w:ascii="楷体" w:hAnsi="楷体" w:eastAsia="楷体"/>
                <w:bCs/>
                <w:lang w:eastAsia="zh-CN"/>
              </w:rPr>
            </w:pPr>
            <w:r>
              <w:rPr>
                <w:rFonts w:hint="eastAsia" w:ascii="楷体" w:hAnsi="楷体" w:eastAsia="楷体"/>
              </w:rPr>
              <w:sym w:font="Wingdings 2" w:char="F098"/>
            </w:r>
            <w:r>
              <w:rPr>
                <w:rFonts w:hint="eastAsia" w:ascii="楷体" w:hAnsi="楷体" w:eastAsia="楷体"/>
              </w:rPr>
              <w:t>结论：公司的质量管理体系基本符合标准要求，且适宜、有效</w:t>
            </w:r>
            <w:r>
              <w:rPr>
                <w:rFonts w:hint="eastAsia" w:ascii="楷体" w:hAnsi="楷体" w:eastAsia="楷体"/>
                <w:bCs/>
                <w:lang w:eastAsia="zh-CN"/>
              </w:rPr>
              <w:drawing>
                <wp:inline distT="0" distB="0" distL="114300" distR="114300">
                  <wp:extent cx="3112770" cy="2503170"/>
                  <wp:effectExtent l="0" t="0" r="11430" b="11430"/>
                  <wp:docPr id="1" name="图片 1" descr="9896c887835ac74f11e1a297d74a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96c887835ac74f11e1a297d74ae60"/>
                          <pic:cNvPicPr>
                            <a:picLocks noChangeAspect="1"/>
                          </pic:cNvPicPr>
                        </pic:nvPicPr>
                        <pic:blipFill>
                          <a:blip r:embed="rId8"/>
                          <a:srcRect r="8722" b="50080"/>
                          <a:stretch>
                            <a:fillRect/>
                          </a:stretch>
                        </pic:blipFill>
                        <pic:spPr>
                          <a:xfrm>
                            <a:off x="0" y="0"/>
                            <a:ext cx="3112770" cy="2503170"/>
                          </a:xfrm>
                          <a:prstGeom prst="rect">
                            <a:avLst/>
                          </a:prstGeom>
                        </pic:spPr>
                      </pic:pic>
                    </a:graphicData>
                  </a:graphic>
                </wp:inline>
              </w:drawing>
            </w:r>
            <w:r>
              <w:rPr>
                <w:rFonts w:hint="eastAsia" w:ascii="楷体" w:hAnsi="楷体" w:eastAsia="楷体"/>
                <w:bCs/>
                <w:lang w:eastAsia="zh-CN"/>
              </w:rPr>
              <w:drawing>
                <wp:inline distT="0" distB="0" distL="114300" distR="114300">
                  <wp:extent cx="3181350" cy="2487295"/>
                  <wp:effectExtent l="0" t="0" r="6350" b="1905"/>
                  <wp:docPr id="2" name="图片 2" descr="7b824a1ea7222a2c688c191d9b4cf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b824a1ea7222a2c688c191d9b4cfc2"/>
                          <pic:cNvPicPr>
                            <a:picLocks noChangeAspect="1"/>
                          </pic:cNvPicPr>
                        </pic:nvPicPr>
                        <pic:blipFill>
                          <a:blip r:embed="rId9"/>
                          <a:srcRect r="10423" b="52371"/>
                          <a:stretch>
                            <a:fillRect/>
                          </a:stretch>
                        </pic:blipFill>
                        <pic:spPr>
                          <a:xfrm>
                            <a:off x="0" y="0"/>
                            <a:ext cx="3181350" cy="2487295"/>
                          </a:xfrm>
                          <a:prstGeom prst="rect">
                            <a:avLst/>
                          </a:prstGeom>
                        </pic:spPr>
                      </pic:pic>
                    </a:graphicData>
                  </a:graphic>
                </wp:inline>
              </w:drawing>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楷体" w:hAnsi="楷体" w:eastAsia="楷体"/>
              </w:rPr>
            </w:pPr>
            <w:r>
              <w:rPr>
                <w:rFonts w:hint="eastAsia" w:ascii="楷体" w:hAnsi="楷体" w:eastAsia="楷体"/>
              </w:rPr>
              <w:t>不合格和纠正措施</w:t>
            </w:r>
          </w:p>
        </w:tc>
        <w:tc>
          <w:tcPr>
            <w:tcW w:w="960" w:type="dxa"/>
          </w:tcPr>
          <w:p>
            <w:pPr>
              <w:rPr>
                <w:rFonts w:ascii="楷体" w:hAnsi="楷体" w:eastAsia="楷体"/>
                <w:b/>
                <w:bCs/>
              </w:rPr>
            </w:pPr>
            <w:r>
              <w:rPr>
                <w:rFonts w:hint="eastAsia" w:ascii="楷体" w:hAnsi="楷体" w:eastAsia="楷体"/>
                <w:b/>
                <w:bCs/>
                <w:lang w:val="en-US" w:eastAsia="zh-CN"/>
              </w:rPr>
              <w:t>QEO</w:t>
            </w:r>
            <w:r>
              <w:rPr>
                <w:rFonts w:hint="eastAsia" w:ascii="楷体" w:hAnsi="楷体" w:eastAsia="楷体"/>
                <w:b/>
                <w:bCs/>
              </w:rPr>
              <w:t>10.2</w:t>
            </w:r>
          </w:p>
        </w:tc>
        <w:tc>
          <w:tcPr>
            <w:tcW w:w="10596" w:type="dxa"/>
          </w:tcPr>
          <w:p>
            <w:pPr>
              <w:rPr>
                <w:rFonts w:ascii="楷体" w:hAnsi="楷体" w:eastAsia="楷体"/>
                <w:bCs/>
              </w:rPr>
            </w:pPr>
            <w:r>
              <w:rPr>
                <w:rFonts w:hint="eastAsia" w:ascii="楷体" w:hAnsi="楷体" w:eastAsia="楷体"/>
                <w:bCs/>
                <w:lang w:val="en-US" w:eastAsia="zh-CN"/>
              </w:rPr>
              <w:t>物管部</w:t>
            </w:r>
            <w:r>
              <w:rPr>
                <w:rFonts w:hint="eastAsia" w:ascii="楷体" w:hAnsi="楷体" w:eastAsia="楷体"/>
                <w:bCs/>
              </w:rPr>
              <w:t>查出一项不符合项。</w:t>
            </w:r>
          </w:p>
          <w:p>
            <w:pPr>
              <w:rPr>
                <w:rFonts w:ascii="楷体" w:hAnsi="楷体" w:eastAsia="楷体"/>
                <w:bCs/>
              </w:rPr>
            </w:pPr>
            <w:r>
              <w:rPr>
                <w:rFonts w:hint="eastAsia" w:ascii="楷体" w:hAnsi="楷体" w:eastAsia="楷体"/>
                <w:bCs/>
              </w:rPr>
              <w:t>查</w:t>
            </w:r>
            <w:r>
              <w:rPr>
                <w:rFonts w:hint="eastAsia" w:ascii="楷体" w:hAnsi="楷体" w:eastAsia="楷体"/>
                <w:lang w:val="en-US" w:eastAsia="zh-CN"/>
              </w:rPr>
              <w:t>员工未按照要求佩戴劳保用品</w:t>
            </w:r>
            <w:r>
              <w:rPr>
                <w:rFonts w:hint="eastAsia" w:ascii="楷体" w:hAnsi="楷体" w:eastAsia="楷体"/>
                <w:bCs/>
              </w:rPr>
              <w:t>，不符合GB/T</w:t>
            </w:r>
            <w:r>
              <w:rPr>
                <w:rFonts w:hint="eastAsia" w:ascii="楷体" w:hAnsi="楷体" w:eastAsia="楷体"/>
                <w:bCs/>
                <w:lang w:val="en-US" w:eastAsia="zh-CN"/>
              </w:rPr>
              <w:t>45</w:t>
            </w:r>
            <w:r>
              <w:rPr>
                <w:rFonts w:hint="eastAsia" w:ascii="楷体" w:hAnsi="楷体" w:eastAsia="楷体"/>
                <w:bCs/>
              </w:rPr>
              <w:t>001-20</w:t>
            </w:r>
            <w:r>
              <w:rPr>
                <w:rFonts w:hint="eastAsia" w:ascii="楷体" w:hAnsi="楷体" w:eastAsia="楷体"/>
                <w:bCs/>
                <w:lang w:val="en-US" w:eastAsia="zh-CN"/>
              </w:rPr>
              <w:t>20</w:t>
            </w:r>
            <w:r>
              <w:rPr>
                <w:rFonts w:hint="eastAsia" w:ascii="楷体" w:hAnsi="楷体" w:eastAsia="楷体"/>
                <w:bCs/>
              </w:rPr>
              <w:t>标准的</w:t>
            </w:r>
            <w:r>
              <w:rPr>
                <w:rFonts w:hint="eastAsia" w:ascii="楷体" w:hAnsi="楷体" w:eastAsia="楷体"/>
                <w:bCs/>
                <w:lang w:val="en-US" w:eastAsia="zh-CN"/>
              </w:rPr>
              <w:t>8</w:t>
            </w:r>
            <w:r>
              <w:rPr>
                <w:rFonts w:hint="eastAsia" w:ascii="楷体" w:hAnsi="楷体" w:eastAsia="楷体"/>
                <w:bCs/>
              </w:rPr>
              <w:t>.</w:t>
            </w:r>
            <w:r>
              <w:rPr>
                <w:rFonts w:hint="eastAsia" w:ascii="楷体" w:hAnsi="楷体" w:eastAsia="楷体"/>
                <w:bCs/>
                <w:lang w:val="en-US" w:eastAsia="zh-CN"/>
              </w:rPr>
              <w:t>1</w:t>
            </w:r>
            <w:r>
              <w:rPr>
                <w:rFonts w:hint="eastAsia" w:ascii="楷体" w:hAnsi="楷体" w:eastAsia="楷体"/>
                <w:bCs/>
              </w:rPr>
              <w:t xml:space="preserve"> 条款.</w:t>
            </w:r>
          </w:p>
          <w:p>
            <w:pPr>
              <w:rPr>
                <w:rFonts w:ascii="楷体" w:hAnsi="楷体" w:eastAsia="楷体"/>
                <w:bCs/>
              </w:rPr>
            </w:pPr>
            <w:r>
              <w:rPr>
                <w:rFonts w:hint="eastAsia" w:ascii="楷体" w:hAnsi="楷体" w:eastAsia="楷体"/>
                <w:bCs/>
              </w:rPr>
              <w:t>纠正：由管代负责对</w:t>
            </w:r>
            <w:r>
              <w:rPr>
                <w:rFonts w:hint="eastAsia" w:ascii="楷体" w:hAnsi="楷体" w:eastAsia="楷体"/>
                <w:bCs/>
                <w:lang w:eastAsia="zh-CN"/>
              </w:rPr>
              <w:t>办公室</w:t>
            </w:r>
            <w:r>
              <w:rPr>
                <w:rFonts w:hint="eastAsia" w:ascii="楷体" w:hAnsi="楷体" w:eastAsia="楷体"/>
                <w:bCs/>
              </w:rPr>
              <w:t>相关人员进行培训。</w:t>
            </w:r>
          </w:p>
          <w:p>
            <w:pPr>
              <w:rPr>
                <w:rFonts w:ascii="楷体" w:hAnsi="楷体" w:eastAsia="楷体"/>
                <w:bCs/>
              </w:rPr>
            </w:pPr>
            <w:r>
              <w:rPr>
                <w:rFonts w:hint="eastAsia" w:ascii="楷体" w:hAnsi="楷体" w:eastAsia="楷体"/>
                <w:bCs/>
              </w:rPr>
              <w:t>纠正措施：由管代负责对</w:t>
            </w:r>
            <w:r>
              <w:rPr>
                <w:rFonts w:hint="eastAsia" w:ascii="楷体" w:hAnsi="楷体" w:eastAsia="楷体"/>
                <w:bCs/>
                <w:lang w:val="en-US" w:eastAsia="zh-CN"/>
              </w:rPr>
              <w:t>物管部</w:t>
            </w:r>
            <w:r>
              <w:rPr>
                <w:rFonts w:hint="eastAsia" w:ascii="楷体" w:hAnsi="楷体" w:eastAsia="楷体"/>
                <w:bCs/>
              </w:rPr>
              <w:t>相关人员进行培训，重点内容标准</w:t>
            </w:r>
            <w:r>
              <w:rPr>
                <w:rFonts w:hint="eastAsia" w:ascii="楷体" w:hAnsi="楷体" w:eastAsia="楷体"/>
                <w:bCs/>
                <w:lang w:val="en-US" w:eastAsia="zh-CN"/>
              </w:rPr>
              <w:t>8</w:t>
            </w:r>
            <w:r>
              <w:rPr>
                <w:rFonts w:hint="eastAsia" w:ascii="楷体" w:hAnsi="楷体" w:eastAsia="楷体"/>
                <w:bCs/>
              </w:rPr>
              <w:t>.</w:t>
            </w:r>
            <w:r>
              <w:rPr>
                <w:rFonts w:hint="eastAsia" w:ascii="楷体" w:hAnsi="楷体" w:eastAsia="楷体"/>
                <w:bCs/>
                <w:lang w:val="en-US" w:eastAsia="zh-CN"/>
              </w:rPr>
              <w:t>1</w:t>
            </w:r>
            <w:r>
              <w:rPr>
                <w:rFonts w:hint="eastAsia" w:ascii="楷体" w:hAnsi="楷体" w:eastAsia="楷体"/>
                <w:bCs/>
              </w:rPr>
              <w:t>条款及其理解，体系文件相关内容，避免类似问题再次出现。</w:t>
            </w:r>
          </w:p>
          <w:p>
            <w:pPr>
              <w:rPr>
                <w:rFonts w:ascii="楷体" w:hAnsi="楷体" w:eastAsia="楷体"/>
                <w:bCs/>
              </w:rPr>
            </w:pPr>
            <w:r>
              <w:rPr>
                <w:rFonts w:hint="eastAsia" w:ascii="楷体" w:hAnsi="楷体" w:eastAsia="楷体"/>
                <w:bCs/>
              </w:rPr>
              <w:t xml:space="preserve">结论：纠正措施实施有效。  </w:t>
            </w:r>
          </w:p>
        </w:tc>
        <w:tc>
          <w:tcPr>
            <w:tcW w:w="993" w:type="dxa"/>
          </w:tcPr>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楷体" w:hAnsi="楷体" w:eastAsia="楷体"/>
              </w:rPr>
            </w:pPr>
            <w:r>
              <w:rPr>
                <w:rFonts w:hint="eastAsia" w:ascii="楷体" w:hAnsi="楷体" w:eastAsia="楷体"/>
              </w:rPr>
              <w:t xml:space="preserve"> 工作人员的协商和参与</w:t>
            </w:r>
          </w:p>
        </w:tc>
        <w:tc>
          <w:tcPr>
            <w:tcW w:w="960" w:type="dxa"/>
            <w:vAlign w:val="top"/>
          </w:tcPr>
          <w:p>
            <w:pPr>
              <w:rPr>
                <w:rFonts w:hint="eastAsia" w:ascii="楷体" w:hAnsi="楷体" w:eastAsia="楷体"/>
                <w:b/>
                <w:bCs/>
                <w:lang w:val="en-US" w:eastAsia="zh-CN"/>
              </w:rPr>
            </w:pPr>
            <w:r>
              <w:rPr>
                <w:rFonts w:hint="eastAsia" w:ascii="楷体" w:hAnsi="楷体" w:eastAsia="楷体"/>
                <w:lang w:val="en-US" w:eastAsia="zh-CN"/>
              </w:rPr>
              <w:t>O</w:t>
            </w:r>
            <w:r>
              <w:rPr>
                <w:rFonts w:hint="eastAsia" w:ascii="楷体" w:hAnsi="楷体" w:eastAsia="楷体"/>
              </w:rPr>
              <w:t>5.4</w:t>
            </w:r>
          </w:p>
        </w:tc>
        <w:tc>
          <w:tcPr>
            <w:tcW w:w="10596" w:type="dxa"/>
            <w:vAlign w:val="top"/>
          </w:tcPr>
          <w:p>
            <w:pPr>
              <w:rPr>
                <w:rFonts w:hint="eastAsia" w:ascii="楷体" w:hAnsi="楷体" w:eastAsia="楷体"/>
                <w:color w:val="000000"/>
              </w:rPr>
            </w:pPr>
            <w:r>
              <w:rPr>
                <w:rFonts w:hint="eastAsia" w:ascii="楷体" w:hAnsi="楷体" w:eastAsia="楷体"/>
                <w:color w:val="000000"/>
              </w:rPr>
              <w:sym w:font="Wingdings 2" w:char="F098"/>
            </w:r>
            <w:r>
              <w:rPr>
                <w:rFonts w:hint="eastAsia" w:ascii="楷体" w:hAnsi="楷体" w:eastAsia="楷体"/>
                <w:color w:val="000000"/>
              </w:rPr>
              <w:t>职业健康安全管理事务代表任命为</w:t>
            </w:r>
            <w:r>
              <w:rPr>
                <w:rFonts w:hint="eastAsia" w:ascii="Arial" w:hAnsi="Arial" w:eastAsia="楷体" w:cs="Arial"/>
                <w:b/>
                <w:bCs/>
                <w:color w:val="000000"/>
                <w:kern w:val="0"/>
                <w:szCs w:val="21"/>
                <w:u w:val="single"/>
                <w:lang w:eastAsia="zh-CN"/>
              </w:rPr>
              <w:t>陈愿周</w:t>
            </w:r>
            <w:r>
              <w:rPr>
                <w:rFonts w:hint="eastAsia" w:ascii="楷体" w:hAnsi="楷体" w:eastAsia="楷体"/>
                <w:color w:val="000000"/>
              </w:rPr>
              <w:t>，公司对履行事务代表以及非管理类工作人员的协商与参与职责进行了规定。目前主要通过签订集体合同、开展内部座谈沟通等方式与公司进行协商和沟通。</w:t>
            </w:r>
          </w:p>
          <w:p>
            <w:pPr>
              <w:rPr>
                <w:rFonts w:hint="eastAsia" w:ascii="楷体" w:hAnsi="楷体" w:eastAsia="楷体"/>
                <w:color w:val="000000"/>
              </w:rPr>
            </w:pPr>
            <w:r>
              <w:rPr>
                <w:rFonts w:hint="eastAsia" w:ascii="楷体" w:hAnsi="楷体" w:eastAsia="楷体"/>
                <w:color w:val="000000"/>
              </w:rPr>
              <w:t xml:space="preserve"> 所有与职工相关活动基本全员参与和协商；本次职业健康安全体系建立，全体员工基本知晓。</w:t>
            </w:r>
          </w:p>
          <w:p>
            <w:pPr>
              <w:rPr>
                <w:rFonts w:hint="eastAsia" w:ascii="楷体" w:hAnsi="楷体" w:eastAsia="楷体"/>
                <w:color w:val="000000"/>
              </w:rPr>
            </w:pPr>
            <w:r>
              <w:rPr>
                <w:rFonts w:hint="eastAsia" w:ascii="楷体" w:hAnsi="楷体" w:eastAsia="楷体"/>
                <w:color w:val="000000"/>
              </w:rPr>
              <w:t>劳动待遇、休息时间、劳动劳保等相关方面的工作，由</w:t>
            </w:r>
            <w:r>
              <w:rPr>
                <w:rFonts w:hint="eastAsia" w:ascii="Arial" w:hAnsi="Arial" w:eastAsia="楷体" w:cs="Arial"/>
                <w:b/>
                <w:bCs/>
                <w:color w:val="000000"/>
                <w:kern w:val="0"/>
                <w:szCs w:val="21"/>
                <w:u w:val="single"/>
                <w:lang w:eastAsia="zh-CN"/>
              </w:rPr>
              <w:t>陈愿周</w:t>
            </w:r>
            <w:r>
              <w:rPr>
                <w:rFonts w:hint="eastAsia" w:ascii="楷体" w:hAnsi="楷体" w:eastAsia="楷体"/>
                <w:color w:val="000000"/>
              </w:rPr>
              <w:t>代表职工直接与总经理沟通。</w:t>
            </w:r>
          </w:p>
          <w:p>
            <w:pPr>
              <w:rPr>
                <w:rFonts w:hint="eastAsia" w:ascii="楷体" w:hAnsi="楷体" w:eastAsia="楷体"/>
                <w:bCs/>
              </w:rPr>
            </w:pPr>
            <w:r>
              <w:rPr>
                <w:rFonts w:hint="eastAsia" w:ascii="楷体" w:hAnsi="楷体" w:eastAsia="楷体"/>
                <w:color w:val="000000"/>
              </w:rPr>
              <w:t>在公司劳动期间，公司定期发放劳保用品：耳塞、手套、口罩等。</w:t>
            </w:r>
            <w:r>
              <w:rPr>
                <w:rFonts w:hint="eastAsia" w:ascii="楷体" w:hAnsi="楷体" w:eastAsia="楷体"/>
                <w:color w:val="000000"/>
                <w:lang w:val="en-US" w:eastAsia="zh-CN"/>
              </w:rPr>
              <w:t>去年</w:t>
            </w:r>
            <w:r>
              <w:rPr>
                <w:rFonts w:hint="eastAsia" w:ascii="楷体" w:hAnsi="楷体" w:eastAsia="楷体"/>
                <w:color w:val="000000"/>
              </w:rPr>
              <w:t>疫情期间，统一要求员工上班测温，上下班途中配戴口罩。</w:t>
            </w:r>
          </w:p>
        </w:tc>
        <w:tc>
          <w:tcPr>
            <w:tcW w:w="993" w:type="dxa"/>
          </w:tcPr>
          <w:p>
            <w:pPr>
              <w:rPr>
                <w:rFonts w:hint="eastAsia" w:ascii="楷体" w:hAnsi="楷体" w:eastAsia="楷体"/>
                <w:lang w:val="en-US" w:eastAsia="zh-CN"/>
              </w:rPr>
            </w:pPr>
            <w:r>
              <w:rPr>
                <w:rFonts w:hint="eastAsia" w:ascii="楷体" w:hAnsi="楷体" w:eastAsia="楷体"/>
                <w:lang w:val="en-US" w:eastAsia="zh-CN"/>
              </w:rPr>
              <w:t>Y</w:t>
            </w:r>
          </w:p>
        </w:tc>
      </w:tr>
    </w:tbl>
    <w:p>
      <w:pPr>
        <w:pStyle w:val="8"/>
      </w:pPr>
      <w:r>
        <w:rPr>
          <w:rFonts w:hint="eastAsia"/>
        </w:rPr>
        <w:t>说明：不符合标注N</w:t>
      </w:r>
    </w:p>
    <w:p>
      <w:pPr>
        <w:pStyle w:val="8"/>
      </w:pPr>
    </w:p>
    <w:p>
      <w:pPr>
        <w:pStyle w:val="8"/>
      </w:pPr>
    </w:p>
    <w:p>
      <w:pPr>
        <w:pStyle w:val="8"/>
      </w:pPr>
    </w:p>
    <w:p>
      <w:pPr>
        <w:pStyle w:val="8"/>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9"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4" o:spid="_x0000_s3074"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27"/>
        <w:rFonts w:hint="default"/>
      </w:rPr>
      <w:t>北京国标联合认证有限公司</w:t>
    </w:r>
    <w:r>
      <w:rPr>
        <w:rStyle w:val="27"/>
        <w:rFonts w:hint="default"/>
      </w:rPr>
      <w:tab/>
    </w:r>
    <w:r>
      <w:rPr>
        <w:rStyle w:val="27"/>
        <w:rFonts w:hint="default"/>
      </w:rPr>
      <w:tab/>
    </w:r>
    <w:r>
      <w:rPr>
        <w:rStyle w:val="27"/>
        <w:rFonts w:hint="default"/>
      </w:rPr>
      <w:tab/>
    </w:r>
  </w:p>
  <w:p>
    <w:pPr>
      <w:pStyle w:val="9"/>
      <w:pBdr>
        <w:bottom w:val="none" w:color="auto" w:sz="0" w:space="0"/>
      </w:pBdr>
      <w:spacing w:line="320" w:lineRule="exact"/>
      <w:ind w:firstLine="756" w:firstLineChars="400"/>
      <w:jc w:val="left"/>
    </w:pPr>
    <w:r>
      <w:rPr>
        <w:rStyle w:val="27"/>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4ZWJiZGY2YjU2MmRhNjg4NDA1NWJhMzhhZTVmYzcifQ=="/>
  </w:docVars>
  <w:rsids>
    <w:rsidRoot w:val="003847C4"/>
    <w:rsid w:val="0000347E"/>
    <w:rsid w:val="00023952"/>
    <w:rsid w:val="00025865"/>
    <w:rsid w:val="00057662"/>
    <w:rsid w:val="00060215"/>
    <w:rsid w:val="0006532C"/>
    <w:rsid w:val="0007303B"/>
    <w:rsid w:val="000A54FE"/>
    <w:rsid w:val="000B5017"/>
    <w:rsid w:val="000B75A8"/>
    <w:rsid w:val="000C1A58"/>
    <w:rsid w:val="000C3CC2"/>
    <w:rsid w:val="000C77F1"/>
    <w:rsid w:val="000D4932"/>
    <w:rsid w:val="000E38A3"/>
    <w:rsid w:val="000E3CD9"/>
    <w:rsid w:val="000E5BAD"/>
    <w:rsid w:val="000F6FFF"/>
    <w:rsid w:val="001009C5"/>
    <w:rsid w:val="0011537B"/>
    <w:rsid w:val="00115970"/>
    <w:rsid w:val="0011724D"/>
    <w:rsid w:val="00133252"/>
    <w:rsid w:val="00163990"/>
    <w:rsid w:val="00167639"/>
    <w:rsid w:val="001811A7"/>
    <w:rsid w:val="001A3D71"/>
    <w:rsid w:val="001D7F61"/>
    <w:rsid w:val="001E42E3"/>
    <w:rsid w:val="001F1464"/>
    <w:rsid w:val="001F337E"/>
    <w:rsid w:val="001F3991"/>
    <w:rsid w:val="001F50F1"/>
    <w:rsid w:val="00201589"/>
    <w:rsid w:val="00202401"/>
    <w:rsid w:val="00204690"/>
    <w:rsid w:val="002320E7"/>
    <w:rsid w:val="00242E30"/>
    <w:rsid w:val="00262EF7"/>
    <w:rsid w:val="00263851"/>
    <w:rsid w:val="002C6FA6"/>
    <w:rsid w:val="002E6D84"/>
    <w:rsid w:val="002F2DCF"/>
    <w:rsid w:val="002F3464"/>
    <w:rsid w:val="002F43EA"/>
    <w:rsid w:val="003113F5"/>
    <w:rsid w:val="00311567"/>
    <w:rsid w:val="0032052A"/>
    <w:rsid w:val="0032094B"/>
    <w:rsid w:val="003314A0"/>
    <w:rsid w:val="0033391C"/>
    <w:rsid w:val="00335A78"/>
    <w:rsid w:val="0034669B"/>
    <w:rsid w:val="003525CD"/>
    <w:rsid w:val="003847C4"/>
    <w:rsid w:val="003C38B9"/>
    <w:rsid w:val="003C5D0C"/>
    <w:rsid w:val="003F4180"/>
    <w:rsid w:val="003F59AA"/>
    <w:rsid w:val="00401CF9"/>
    <w:rsid w:val="004041FA"/>
    <w:rsid w:val="00405DA5"/>
    <w:rsid w:val="00412C8E"/>
    <w:rsid w:val="0042110E"/>
    <w:rsid w:val="0042683A"/>
    <w:rsid w:val="004616EE"/>
    <w:rsid w:val="004641FE"/>
    <w:rsid w:val="00476D56"/>
    <w:rsid w:val="0049387C"/>
    <w:rsid w:val="00494BB0"/>
    <w:rsid w:val="004A5C76"/>
    <w:rsid w:val="004B0C2A"/>
    <w:rsid w:val="004B19FC"/>
    <w:rsid w:val="004B28E5"/>
    <w:rsid w:val="004C1BB3"/>
    <w:rsid w:val="005108B4"/>
    <w:rsid w:val="00512C14"/>
    <w:rsid w:val="00520C3A"/>
    <w:rsid w:val="005254D3"/>
    <w:rsid w:val="0053535B"/>
    <w:rsid w:val="005379CF"/>
    <w:rsid w:val="005414A8"/>
    <w:rsid w:val="005608DB"/>
    <w:rsid w:val="00561237"/>
    <w:rsid w:val="0057385A"/>
    <w:rsid w:val="00583C0B"/>
    <w:rsid w:val="00585C3A"/>
    <w:rsid w:val="005951E4"/>
    <w:rsid w:val="00597760"/>
    <w:rsid w:val="005B331E"/>
    <w:rsid w:val="005B3F14"/>
    <w:rsid w:val="005B7343"/>
    <w:rsid w:val="005C6112"/>
    <w:rsid w:val="005D4420"/>
    <w:rsid w:val="00600DC3"/>
    <w:rsid w:val="0060713F"/>
    <w:rsid w:val="006077E4"/>
    <w:rsid w:val="006152BA"/>
    <w:rsid w:val="00623D27"/>
    <w:rsid w:val="0063063C"/>
    <w:rsid w:val="00632CCD"/>
    <w:rsid w:val="006334B6"/>
    <w:rsid w:val="00635480"/>
    <w:rsid w:val="00652366"/>
    <w:rsid w:val="00654F61"/>
    <w:rsid w:val="00662809"/>
    <w:rsid w:val="00683644"/>
    <w:rsid w:val="006B3EEC"/>
    <w:rsid w:val="006E5372"/>
    <w:rsid w:val="006E5B30"/>
    <w:rsid w:val="006F0B0B"/>
    <w:rsid w:val="006F1E35"/>
    <w:rsid w:val="006F448A"/>
    <w:rsid w:val="006F5A52"/>
    <w:rsid w:val="00703F5B"/>
    <w:rsid w:val="00705A78"/>
    <w:rsid w:val="00730EE8"/>
    <w:rsid w:val="00734FDB"/>
    <w:rsid w:val="00735605"/>
    <w:rsid w:val="0073751E"/>
    <w:rsid w:val="00737C8C"/>
    <w:rsid w:val="00753EE2"/>
    <w:rsid w:val="00754826"/>
    <w:rsid w:val="00756F32"/>
    <w:rsid w:val="007573F4"/>
    <w:rsid w:val="00762184"/>
    <w:rsid w:val="00776728"/>
    <w:rsid w:val="00793A8C"/>
    <w:rsid w:val="007A739A"/>
    <w:rsid w:val="007B5F3C"/>
    <w:rsid w:val="007C0304"/>
    <w:rsid w:val="007D54C4"/>
    <w:rsid w:val="007D6292"/>
    <w:rsid w:val="007E3A13"/>
    <w:rsid w:val="007E5D8F"/>
    <w:rsid w:val="007F57B9"/>
    <w:rsid w:val="0080039D"/>
    <w:rsid w:val="00821697"/>
    <w:rsid w:val="00825A0E"/>
    <w:rsid w:val="00834C7C"/>
    <w:rsid w:val="00895671"/>
    <w:rsid w:val="008A4FBA"/>
    <w:rsid w:val="008B708C"/>
    <w:rsid w:val="008C6B1F"/>
    <w:rsid w:val="008D1AED"/>
    <w:rsid w:val="008D7855"/>
    <w:rsid w:val="008F1718"/>
    <w:rsid w:val="00905121"/>
    <w:rsid w:val="0092115F"/>
    <w:rsid w:val="009271CE"/>
    <w:rsid w:val="00930E90"/>
    <w:rsid w:val="00934CF5"/>
    <w:rsid w:val="009528CE"/>
    <w:rsid w:val="00955F6D"/>
    <w:rsid w:val="0096115C"/>
    <w:rsid w:val="00976222"/>
    <w:rsid w:val="009840FE"/>
    <w:rsid w:val="0099399D"/>
    <w:rsid w:val="00996D96"/>
    <w:rsid w:val="009A259C"/>
    <w:rsid w:val="009B114F"/>
    <w:rsid w:val="009B5A76"/>
    <w:rsid w:val="009C4202"/>
    <w:rsid w:val="009D086B"/>
    <w:rsid w:val="009D4A2D"/>
    <w:rsid w:val="009F4CA7"/>
    <w:rsid w:val="00A002C3"/>
    <w:rsid w:val="00A71171"/>
    <w:rsid w:val="00A742DD"/>
    <w:rsid w:val="00A76E95"/>
    <w:rsid w:val="00A81089"/>
    <w:rsid w:val="00A85860"/>
    <w:rsid w:val="00A97C92"/>
    <w:rsid w:val="00AC5E0D"/>
    <w:rsid w:val="00AD1FC8"/>
    <w:rsid w:val="00AF1468"/>
    <w:rsid w:val="00B025E6"/>
    <w:rsid w:val="00B1037D"/>
    <w:rsid w:val="00B105C9"/>
    <w:rsid w:val="00B2221D"/>
    <w:rsid w:val="00B4315E"/>
    <w:rsid w:val="00B44294"/>
    <w:rsid w:val="00B67D1A"/>
    <w:rsid w:val="00B83F38"/>
    <w:rsid w:val="00B86379"/>
    <w:rsid w:val="00BB0936"/>
    <w:rsid w:val="00BC058B"/>
    <w:rsid w:val="00BC20B8"/>
    <w:rsid w:val="00BC2EFC"/>
    <w:rsid w:val="00BC31D0"/>
    <w:rsid w:val="00BC5A1D"/>
    <w:rsid w:val="00BD1174"/>
    <w:rsid w:val="00BD7D50"/>
    <w:rsid w:val="00BE2064"/>
    <w:rsid w:val="00BF53A5"/>
    <w:rsid w:val="00C10C4C"/>
    <w:rsid w:val="00C12452"/>
    <w:rsid w:val="00C172DF"/>
    <w:rsid w:val="00C44474"/>
    <w:rsid w:val="00C52B1F"/>
    <w:rsid w:val="00C6307D"/>
    <w:rsid w:val="00C63AB8"/>
    <w:rsid w:val="00C6714E"/>
    <w:rsid w:val="00C70A3C"/>
    <w:rsid w:val="00C71F08"/>
    <w:rsid w:val="00C75231"/>
    <w:rsid w:val="00C9445E"/>
    <w:rsid w:val="00CB1E34"/>
    <w:rsid w:val="00CC3A46"/>
    <w:rsid w:val="00CC5E72"/>
    <w:rsid w:val="00CD0686"/>
    <w:rsid w:val="00CD1333"/>
    <w:rsid w:val="00CD7F15"/>
    <w:rsid w:val="00CE6497"/>
    <w:rsid w:val="00CF2A81"/>
    <w:rsid w:val="00D04D2F"/>
    <w:rsid w:val="00D13580"/>
    <w:rsid w:val="00D224B1"/>
    <w:rsid w:val="00D25C22"/>
    <w:rsid w:val="00D7082A"/>
    <w:rsid w:val="00D70A6F"/>
    <w:rsid w:val="00D747A7"/>
    <w:rsid w:val="00D82580"/>
    <w:rsid w:val="00D84B6C"/>
    <w:rsid w:val="00D975E5"/>
    <w:rsid w:val="00DA5622"/>
    <w:rsid w:val="00DA7002"/>
    <w:rsid w:val="00DC5940"/>
    <w:rsid w:val="00DD0CC9"/>
    <w:rsid w:val="00DD42DE"/>
    <w:rsid w:val="00DD5610"/>
    <w:rsid w:val="00DD5C76"/>
    <w:rsid w:val="00DF5B91"/>
    <w:rsid w:val="00E30D3B"/>
    <w:rsid w:val="00E40048"/>
    <w:rsid w:val="00E4285C"/>
    <w:rsid w:val="00E45019"/>
    <w:rsid w:val="00E4556C"/>
    <w:rsid w:val="00E94863"/>
    <w:rsid w:val="00EA2498"/>
    <w:rsid w:val="00EC3B82"/>
    <w:rsid w:val="00ED2231"/>
    <w:rsid w:val="00F21608"/>
    <w:rsid w:val="00F241FB"/>
    <w:rsid w:val="00F270C7"/>
    <w:rsid w:val="00F307D1"/>
    <w:rsid w:val="00F32A16"/>
    <w:rsid w:val="00F32A2E"/>
    <w:rsid w:val="00F337DF"/>
    <w:rsid w:val="00F44E61"/>
    <w:rsid w:val="00F649DE"/>
    <w:rsid w:val="00F71AC1"/>
    <w:rsid w:val="00F76756"/>
    <w:rsid w:val="00F82D59"/>
    <w:rsid w:val="00F97B79"/>
    <w:rsid w:val="00FC204B"/>
    <w:rsid w:val="00FC660E"/>
    <w:rsid w:val="00FE16FE"/>
    <w:rsid w:val="01A75EC3"/>
    <w:rsid w:val="053359C8"/>
    <w:rsid w:val="107D6A55"/>
    <w:rsid w:val="179A34E4"/>
    <w:rsid w:val="1A900232"/>
    <w:rsid w:val="1D806B2D"/>
    <w:rsid w:val="1DB573D4"/>
    <w:rsid w:val="20612B49"/>
    <w:rsid w:val="327F351A"/>
    <w:rsid w:val="40F16E61"/>
    <w:rsid w:val="4BAF4744"/>
    <w:rsid w:val="5055481C"/>
    <w:rsid w:val="55B701B4"/>
    <w:rsid w:val="667222F1"/>
    <w:rsid w:val="72DA760F"/>
    <w:rsid w:val="7BD44C5F"/>
    <w:rsid w:val="7C5922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unhideWhenUsed/>
    <w:qFormat/>
    <w:uiPriority w:val="99"/>
    <w:pPr>
      <w:spacing w:line="420" w:lineRule="exact"/>
    </w:pPr>
    <w:rPr>
      <w:sz w:val="24"/>
    </w:rPr>
  </w:style>
  <w:style w:type="paragraph" w:styleId="6">
    <w:name w:val="Plain Text"/>
    <w:basedOn w:val="1"/>
    <w:qFormat/>
    <w:uiPriority w:val="0"/>
    <w:rPr>
      <w:rFonts w:ascii="宋体" w:hAnsi="Courier New"/>
      <w:szCs w:val="20"/>
    </w:rPr>
  </w:style>
  <w:style w:type="paragraph" w:styleId="7">
    <w:name w:val="Balloon Text"/>
    <w:basedOn w:val="1"/>
    <w:link w:val="26"/>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5"/>
    <w:qFormat/>
    <w:uiPriority w:val="0"/>
    <w:pPr>
      <w:ind w:firstLine="420" w:firstLineChars="100"/>
    </w:pPr>
    <w:rPr>
      <w:szCs w:val="20"/>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FollowedHyperlink"/>
    <w:basedOn w:val="13"/>
    <w:semiHidden/>
    <w:unhideWhenUsed/>
    <w:qFormat/>
    <w:uiPriority w:val="99"/>
    <w:rPr>
      <w:rFonts w:hint="eastAsia" w:ascii="微软雅黑" w:hAnsi="微软雅黑" w:eastAsia="微软雅黑" w:cs="微软雅黑"/>
      <w:color w:val="146C88"/>
      <w:sz w:val="24"/>
      <w:szCs w:val="24"/>
      <w:u w:val="none"/>
    </w:rPr>
  </w:style>
  <w:style w:type="character" w:styleId="16">
    <w:name w:val="Emphasis"/>
    <w:basedOn w:val="13"/>
    <w:qFormat/>
    <w:uiPriority w:val="20"/>
    <w:rPr>
      <w:i/>
      <w:iCs/>
    </w:rPr>
  </w:style>
  <w:style w:type="character" w:styleId="17">
    <w:name w:val="HTML Definition"/>
    <w:basedOn w:val="13"/>
    <w:semiHidden/>
    <w:unhideWhenUsed/>
    <w:qFormat/>
    <w:uiPriority w:val="99"/>
  </w:style>
  <w:style w:type="character" w:styleId="18">
    <w:name w:val="HTML Variable"/>
    <w:basedOn w:val="13"/>
    <w:semiHidden/>
    <w:unhideWhenUsed/>
    <w:qFormat/>
    <w:uiPriority w:val="99"/>
    <w:rPr>
      <w:sz w:val="0"/>
      <w:szCs w:val="0"/>
      <w:bdr w:val="single" w:color="CCCCCC" w:sz="2" w:space="0"/>
      <w:shd w:val="clear" w:fill="FFFFFF"/>
    </w:rPr>
  </w:style>
  <w:style w:type="character" w:styleId="19">
    <w:name w:val="Hyperlink"/>
    <w:basedOn w:val="13"/>
    <w:semiHidden/>
    <w:unhideWhenUsed/>
    <w:qFormat/>
    <w:uiPriority w:val="99"/>
    <w:rPr>
      <w:rFonts w:hint="eastAsia" w:ascii="微软雅黑" w:hAnsi="微软雅黑" w:eastAsia="微软雅黑" w:cs="微软雅黑"/>
      <w:color w:val="146C88"/>
      <w:sz w:val="24"/>
      <w:szCs w:val="24"/>
      <w:u w:val="none"/>
    </w:rPr>
  </w:style>
  <w:style w:type="character" w:styleId="20">
    <w:name w:val="HTML Code"/>
    <w:basedOn w:val="13"/>
    <w:semiHidden/>
    <w:unhideWhenUsed/>
    <w:qFormat/>
    <w:uiPriority w:val="99"/>
    <w:rPr>
      <w:rFonts w:hint="default" w:ascii="Courier New" w:hAnsi="Courier New" w:eastAsia="Courier New" w:cs="Courier New"/>
      <w:sz w:val="20"/>
    </w:rPr>
  </w:style>
  <w:style w:type="character" w:styleId="21">
    <w:name w:val="HTML Cite"/>
    <w:basedOn w:val="13"/>
    <w:semiHidden/>
    <w:unhideWhenUsed/>
    <w:qFormat/>
    <w:uiPriority w:val="99"/>
  </w:style>
  <w:style w:type="character" w:styleId="22">
    <w:name w:val="HTML Keyboard"/>
    <w:basedOn w:val="13"/>
    <w:semiHidden/>
    <w:unhideWhenUsed/>
    <w:qFormat/>
    <w:uiPriority w:val="99"/>
    <w:rPr>
      <w:rFonts w:hint="default" w:ascii="Courier New" w:hAnsi="Courier New" w:eastAsia="Courier New" w:cs="Courier New"/>
      <w:sz w:val="20"/>
    </w:rPr>
  </w:style>
  <w:style w:type="character" w:styleId="23">
    <w:name w:val="HTML Sample"/>
    <w:basedOn w:val="13"/>
    <w:semiHidden/>
    <w:unhideWhenUsed/>
    <w:qFormat/>
    <w:uiPriority w:val="99"/>
    <w:rPr>
      <w:rFonts w:ascii="Courier New" w:hAnsi="Courier New" w:eastAsia="Courier New" w:cs="Courier New"/>
    </w:rPr>
  </w:style>
  <w:style w:type="character" w:customStyle="1" w:styleId="24">
    <w:name w:val="页眉 字符"/>
    <w:basedOn w:val="13"/>
    <w:link w:val="9"/>
    <w:qFormat/>
    <w:uiPriority w:val="99"/>
    <w:rPr>
      <w:rFonts w:ascii="Times New Roman" w:hAnsi="Times New Roman" w:eastAsia="宋体" w:cs="Times New Roman"/>
      <w:sz w:val="18"/>
      <w:szCs w:val="18"/>
    </w:rPr>
  </w:style>
  <w:style w:type="character" w:customStyle="1" w:styleId="25">
    <w:name w:val="页脚 字符"/>
    <w:basedOn w:val="13"/>
    <w:link w:val="8"/>
    <w:qFormat/>
    <w:uiPriority w:val="99"/>
    <w:rPr>
      <w:rFonts w:ascii="Times New Roman" w:hAnsi="Times New Roman" w:eastAsia="宋体" w:cs="Times New Roman"/>
      <w:sz w:val="18"/>
      <w:szCs w:val="18"/>
    </w:rPr>
  </w:style>
  <w:style w:type="character" w:customStyle="1" w:styleId="26">
    <w:name w:val="批注框文本 字符"/>
    <w:basedOn w:val="13"/>
    <w:link w:val="7"/>
    <w:semiHidden/>
    <w:qFormat/>
    <w:uiPriority w:val="99"/>
    <w:rPr>
      <w:rFonts w:ascii="Times New Roman" w:hAnsi="Times New Roman" w:eastAsia="宋体" w:cs="Times New Roman"/>
      <w:sz w:val="18"/>
      <w:szCs w:val="18"/>
    </w:rPr>
  </w:style>
  <w:style w:type="character" w:customStyle="1" w:styleId="27">
    <w:name w:val="Char Char1"/>
    <w:qFormat/>
    <w:locked/>
    <w:uiPriority w:val="0"/>
    <w:rPr>
      <w:rFonts w:hint="eastAsia" w:ascii="宋体" w:hAnsi="Courier New" w:eastAsia="宋体"/>
      <w:kern w:val="2"/>
      <w:sz w:val="21"/>
      <w:lang w:val="en-US" w:eastAsia="zh-CN" w:bidi="ar-SA"/>
    </w:rPr>
  </w:style>
  <w:style w:type="paragraph" w:styleId="28">
    <w:name w:val="List Paragraph"/>
    <w:basedOn w:val="1"/>
    <w:qFormat/>
    <w:uiPriority w:val="34"/>
    <w:pPr>
      <w:ind w:firstLine="420" w:firstLineChars="200"/>
    </w:p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0">
    <w:name w:val="NormalCharacter"/>
    <w:qFormat/>
    <w:uiPriority w:val="0"/>
  </w:style>
  <w:style w:type="paragraph" w:customStyle="1" w:styleId="31">
    <w:name w:val="reader-word-layer"/>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character" w:customStyle="1" w:styleId="32">
    <w:name w:val="checked"/>
    <w:basedOn w:val="13"/>
    <w:qFormat/>
    <w:uiPriority w:val="0"/>
    <w:rPr>
      <w:vanish/>
    </w:rPr>
  </w:style>
  <w:style w:type="character" w:customStyle="1" w:styleId="33">
    <w:name w:val="checked1"/>
    <w:basedOn w:val="13"/>
    <w:qFormat/>
    <w:uiPriority w:val="0"/>
  </w:style>
  <w:style w:type="character" w:customStyle="1" w:styleId="34">
    <w:name w:val="ca-nav-next"/>
    <w:basedOn w:val="13"/>
    <w:qFormat/>
    <w:uiPriority w:val="0"/>
  </w:style>
  <w:style w:type="character" w:customStyle="1" w:styleId="35">
    <w:name w:val="button"/>
    <w:basedOn w:val="13"/>
    <w:qFormat/>
    <w:uiPriority w:val="0"/>
  </w:style>
  <w:style w:type="character" w:customStyle="1" w:styleId="36">
    <w:name w:val="last-child"/>
    <w:basedOn w:val="13"/>
    <w:qFormat/>
    <w:uiPriority w:val="0"/>
    <w:rPr>
      <w:color w:val="999999"/>
    </w:rPr>
  </w:style>
  <w:style w:type="character" w:customStyle="1" w:styleId="37">
    <w:name w:val="last-child1"/>
    <w:basedOn w:val="13"/>
    <w:qFormat/>
    <w:uiPriority w:val="0"/>
  </w:style>
  <w:style w:type="character" w:customStyle="1" w:styleId="38">
    <w:name w:val="hover19"/>
    <w:basedOn w:val="13"/>
    <w:qFormat/>
    <w:uiPriority w:val="0"/>
  </w:style>
  <w:style w:type="character" w:customStyle="1" w:styleId="39">
    <w:name w:val="hover20"/>
    <w:basedOn w:val="13"/>
    <w:qFormat/>
    <w:uiPriority w:val="0"/>
    <w:rPr>
      <w:shd w:val="clear" w:fill="F2F2F2"/>
    </w:rPr>
  </w:style>
  <w:style w:type="character" w:customStyle="1" w:styleId="40">
    <w:name w:val="hover21"/>
    <w:basedOn w:val="13"/>
    <w:qFormat/>
    <w:uiPriority w:val="0"/>
    <w:rPr>
      <w:shd w:val="clear" w:fill="F2F2F2"/>
    </w:rPr>
  </w:style>
  <w:style w:type="character" w:customStyle="1" w:styleId="41">
    <w:name w:val="active2"/>
    <w:basedOn w:val="13"/>
    <w:qFormat/>
    <w:uiPriority w:val="0"/>
    <w:rPr>
      <w:shd w:val="clear" w:fill="F2F2F2"/>
    </w:rPr>
  </w:style>
  <w:style w:type="character" w:customStyle="1" w:styleId="42">
    <w:name w:val="tmpztreemove_arrow"/>
    <w:basedOn w:val="13"/>
    <w:qFormat/>
    <w:uiPriority w:val="0"/>
  </w:style>
  <w:style w:type="character" w:customStyle="1" w:styleId="43">
    <w:name w:val="hover"/>
    <w:basedOn w:val="13"/>
    <w:qFormat/>
    <w:uiPriority w:val="0"/>
  </w:style>
  <w:style w:type="character" w:customStyle="1" w:styleId="44">
    <w:name w:val="hover1"/>
    <w:basedOn w:val="13"/>
    <w:qFormat/>
    <w:uiPriority w:val="0"/>
    <w:rPr>
      <w:shd w:val="clear" w:fill="F2F2F2"/>
    </w:rPr>
  </w:style>
  <w:style w:type="character" w:customStyle="1" w:styleId="45">
    <w:name w:val="hover2"/>
    <w:basedOn w:val="13"/>
    <w:qFormat/>
    <w:uiPriority w:val="0"/>
    <w:rPr>
      <w:shd w:val="clear" w:fill="F2F2F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4328</Words>
  <Characters>4671</Characters>
  <Lines>142</Lines>
  <Paragraphs>40</Paragraphs>
  <TotalTime>6</TotalTime>
  <ScaleCrop>false</ScaleCrop>
  <LinksUpToDate>false</LinksUpToDate>
  <CharactersWithSpaces>4871</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2023-02-18T07:38:32Z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CBDABF299A064D14A5DF11D9E897C68B</vt:lpwstr>
  </property>
</Properties>
</file>