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959"/>
        <w:gridCol w:w="1"/>
        <w:gridCol w:w="745"/>
        <w:gridCol w:w="9255"/>
        <w:gridCol w:w="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杨磊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赵婷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马焕秋（F被见证）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01-03下午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FSMS：4.1/4.2/4.3/4.4/5.1/5.2/5.3/6.1/6.2/6.3/7.1.1/</w:t>
            </w:r>
            <w:r>
              <w:t>7.4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7.5.1/8.1/8.4/</w:t>
            </w:r>
            <w:r>
              <w:rPr>
                <w:rFonts w:hint="eastAsia"/>
              </w:rPr>
              <w:t>9.1.1</w:t>
            </w:r>
            <w:r>
              <w:t>/</w:t>
            </w:r>
            <w:r>
              <w:rPr>
                <w:rFonts w:hint="eastAsia"/>
              </w:rPr>
              <w:t>9.3/</w:t>
            </w:r>
            <w:r>
              <w:rPr>
                <w:rFonts w:hint="eastAsia"/>
                <w:lang w:val="en-US" w:eastAsia="zh-CN"/>
              </w:rPr>
              <w:t>10.1/</w:t>
            </w:r>
            <w:r>
              <w:rPr>
                <w:rFonts w:hint="eastAsia"/>
              </w:rPr>
              <w:t>10.2/10.3</w:t>
            </w:r>
          </w:p>
          <w:p>
            <w:pPr>
              <w:pStyle w:val="2"/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2"/>
              <w:rPr>
                <w:rFonts w:hint="default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证书暂停恢复确认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证书暂停恢复确认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7" w:type="dxa"/>
            <w:gridSpan w:val="4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具体见暂停恢复确认表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经确认基本符合恢复条件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216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7" w:type="dxa"/>
            <w:gridSpan w:val="4"/>
            <w:shd w:val="clear" w:color="auto" w:fill="auto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现场确认：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暂未发生</w:t>
            </w:r>
          </w:p>
          <w:p>
            <w:pPr>
              <w:numPr>
                <w:ilvl w:val="0"/>
                <w:numId w:val="1"/>
              </w:num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认证范围变更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——未发生变化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现场确认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营业执照、食品经营许可证未发生变化。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月至今，公司没有顾客的重大产品质量和食品安全投诉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未发生环保处罚和工伤等事件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现场查见认证证书、标志的使用无违规使用情况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相关负责人表示证书主要用于投标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体系变动情况：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暂无重大变更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ISO22000:2018管理体系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上次审核不符合项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项，经本次审核验证，未出现类似的不符合情况。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监管部门对食品安全监管的力度加大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□工艺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员工队伍相对稳定；从政府管理部门、市场信息、检测机构、培训知识获得产品相关知识的积累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pStyle w:val="5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公司从2020年开始涉足连锁餐饮定制半成品，积累了丰富的管理经验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员工老龄化严重，日常管理、培训难度比较大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受疫情影响，可能会损失部分客户；食品及原材料批量不合格、报废产生环境压力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开发新菜品，满足市场客户需求；体系持续实施，有利于食品安全控制，降低食品安全风险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《组织内部外部环境识别表》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9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240"/>
              <w:gridCol w:w="5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泰兴市市场监督管理局新街分局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240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江苏江阴-靖江工业园区云海贸易有限公司、正大食品（宿迁）有限公司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学校师生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学校师生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工业园区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t>热食类食品制售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位于江苏省泰州市泰兴市农产品加工园区创园东路6号江苏鲜时农业科技有限公司餐食加工间的餐饮服务管理（热食类食品制售）【集体用餐配送单位】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泰州市农产品加工园区创园东路6号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经营地址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江苏省泰州市泰兴市农产品加工园区创园东路6号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近一年以来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危害控制计划（OPRP、HACCP）制订和控制 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val="en-US" w:eastAsia="zh-CN"/>
              </w:rPr>
              <w:t>-车辆管理</w:t>
            </w:r>
          </w:p>
          <w:p>
            <w:pPr>
              <w:pStyle w:val="7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□建立FSMS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□人员培训 □PRP和OPRP、HACCP验证  ☑其他—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顾客至上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品质为尊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标准规范</w:t>
            </w:r>
          </w:p>
          <w:p>
            <w:pPr>
              <w:pStyle w:val="7"/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 xml:space="preserve"> 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1831"/>
              <w:gridCol w:w="269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1831" w:type="dxa"/>
                </w:tcPr>
                <w:p/>
              </w:tc>
              <w:tc>
                <w:tcPr>
                  <w:tcW w:w="269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审核周期内未发生变化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>杨磊先生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gridSpan w:val="2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9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食品及原材料批量不合格、报废产生环境压力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加强食品餐饮的加工及检验过程，严把质量关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受疫情影响，会损失部分客户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开发新产品，开发市场，吸引客户；通过餐食配送服务，提高顾客满意度，降低客户的流失率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9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1"/>
              <w:gridCol w:w="4506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44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4506" w:type="dxa"/>
                </w:tcPr>
                <w:p>
                  <w:pPr>
                    <w:rPr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2441" w:type="dxa"/>
                </w:tcPr>
                <w:p>
                  <w:pPr>
                    <w:rPr>
                      <w:rFonts w:hint="default" w:eastAsia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lang w:val="en-US" w:eastAsia="zh-CN"/>
                    </w:rPr>
                    <w:t>开发新产品，赢得更多的市场客户</w:t>
                  </w:r>
                </w:p>
              </w:tc>
              <w:tc>
                <w:tcPr>
                  <w:tcW w:w="4506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default" w:eastAsia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公司开发新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菜</w:t>
                  </w:r>
                  <w:r>
                    <w:rPr>
                      <w:rFonts w:hint="default" w:eastAsia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；市场调研，了解客户需求；开展原料储存条件试验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2441" w:type="dxa"/>
                </w:tcPr>
                <w:p>
                  <w:pPr>
                    <w:rPr>
                      <w:rFonts w:hint="default" w:eastAsia="宋体"/>
                      <w:color w:val="auto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公司成立时间较长，运营稳定，人员积极性高，通过培训、招聘建立强大的餐饮加工及管理团队，市场前景较好</w:t>
                  </w:r>
                </w:p>
              </w:tc>
              <w:tc>
                <w:tcPr>
                  <w:tcW w:w="4506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Cs w:val="21"/>
                      <w:highlight w:val="none"/>
                      <w:lang w:val="en-US" w:eastAsia="zh-CN"/>
                    </w:rPr>
                    <w:t>跟踪行业有关的适用的法律法规和相关要求，杜绝合规义务履行的风险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vMerge w:val="restart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风险和机遇评估表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考核结果统计表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89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5"/>
              <w:gridCol w:w="877"/>
              <w:gridCol w:w="2023"/>
              <w:gridCol w:w="1268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270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2022.01-2022.12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705" w:type="dxa"/>
                  <w:shd w:val="clear" w:color="auto" w:fill="auto"/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杜绝重大的安全质量事故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季度</w:t>
                  </w:r>
                </w:p>
              </w:tc>
              <w:tc>
                <w:tcPr>
                  <w:tcW w:w="20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实际发生数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2705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产品出厂一次检验合格率≥99%</w:t>
                  </w:r>
                </w:p>
              </w:tc>
              <w:tc>
                <w:tcPr>
                  <w:tcW w:w="87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季度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合格数/总数×100%</w:t>
                  </w:r>
                </w:p>
              </w:tc>
              <w:tc>
                <w:tcPr>
                  <w:tcW w:w="126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2705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87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268" w:type="dxa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——</w:t>
                  </w:r>
                </w:p>
              </w:tc>
            </w:tr>
          </w:tbl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2023年1月目标在实施中；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lang w:val="en-US" w:eastAsia="zh-CN"/>
              </w:rPr>
              <w:t>审核周期内未发生较大变更</w:t>
            </w:r>
          </w:p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约30亩，占地面积约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40余亩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加工车间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u w:val="single"/>
                <w:lang w:val="en-US" w:eastAsia="zh-CN"/>
              </w:rPr>
              <w:t>检验室1个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冷藏库2个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冷冻库2个</w:t>
            </w:r>
            <w:r>
              <w:rPr>
                <w:rFonts w:hint="eastAsia"/>
                <w:lang w:val="en-US" w:eastAsia="zh-CN"/>
              </w:rPr>
              <w:t>（目前1个备用中）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常温仓库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洗碗机、留样柜、车辆、大灶、蒸箱、冷藏库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pStyle w:val="7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——审核周期内内部资源未发生较大变化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蒸汽）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color w:val="000000"/>
                <w:szCs w:val="21"/>
                <w:highlight w:val="none"/>
              </w:rPr>
              <w:t>需要从外部供方获得的资源：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7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和岗位培训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79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96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审核周期内总人数发生变化，已做变更；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F7.4</w:t>
            </w:r>
          </w:p>
          <w:p>
            <w:pPr>
              <w:pStyle w:val="5"/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t>☑《食品安全管理手册》</w:t>
            </w:r>
            <w:r>
              <w:rPr>
                <w:rFonts w:hint="eastAsia"/>
              </w:rPr>
              <w:t>第7.4章、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沟通控制程序》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组织考虑了合规义务，确保食品安全信息与食品安全管理体系形成的信息一致且真实可信。一般由办公室负责。</w:t>
            </w:r>
          </w:p>
          <w:p>
            <w:r>
              <w:rPr>
                <w:rFonts w:hint="eastAsia"/>
              </w:rPr>
              <w:t>外部沟通的控制对象：</w:t>
            </w:r>
            <w:r>
              <w:rPr>
                <w:rFonts w:hint="eastAsia"/>
                <w:color w:val="000000"/>
                <w:szCs w:val="21"/>
              </w:rPr>
              <w:t xml:space="preserve">☑市场监督管理局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消防大队 ☑顾客 ☑供方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外包方 □网站</w:t>
            </w:r>
          </w:p>
          <w:p/>
          <w:p>
            <w:r>
              <w:rPr>
                <w:rFonts w:hint="eastAsia"/>
              </w:rPr>
              <w:t>内部沟通的控制方式：</w:t>
            </w:r>
            <w:r>
              <w:rPr>
                <w:rFonts w:hint="eastAsia"/>
                <w:color w:val="000000"/>
                <w:szCs w:val="21"/>
              </w:rPr>
              <w:t>☑会议 ☑表单传递 ☑微信 ☑QQ □展板 □标语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文件要求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F7.5.1</w:t>
            </w:r>
          </w:p>
          <w:p>
            <w:pPr>
              <w:rPr>
                <w:color w:val="FF0000"/>
              </w:rPr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《体系文件清单》、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管理手册》、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《程序文件》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组织的FSMS/HACCP体系文件包括：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形成文件的食品安全方针；——见《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管理手册》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HACCP手册——见</w:t>
            </w:r>
            <w:r>
              <w:rPr>
                <w:rFonts w:hint="eastAsia"/>
                <w:u w:val="single"/>
              </w:rPr>
              <w:t>《管理手册》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本文件所要求的形成文件的程序；——见《程序文件》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企业为确保FSMS/HACCP体系过程的有效策划、运行和控制所需的文件；（三层次文件）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本文件所要求的记录。——见各部门运行记录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F7.5.1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☑《</w:t>
            </w:r>
            <w:r>
              <w:rPr>
                <w:rFonts w:hint="eastAsia"/>
              </w:rPr>
              <w:t>管理手册》7.5条款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企业应编制和保持《食品安全管理手册》，内容包括：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管理体系的范围，包括所覆盖产品或产品类别、操作步骤和场所；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管理体系程序文件或对其的引用；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管理体系过程及其相互作用的表述。</w:t>
            </w:r>
          </w:p>
          <w:p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其他——外包的识别—</w:t>
            </w:r>
            <w:r>
              <w:rPr>
                <w:rFonts w:hint="eastAsia"/>
                <w:u w:val="single"/>
              </w:rPr>
              <w:t>—无；</w:t>
            </w:r>
          </w:p>
          <w:p>
            <w:pPr>
              <w:pStyle w:val="2"/>
            </w:pPr>
            <w:r>
              <w:rPr>
                <w:rFonts w:hint="eastAsia" w:ascii="宋体" w:hAnsi="宋体"/>
              </w:rPr>
              <w:t>详见</w:t>
            </w:r>
            <w:r>
              <w:rPr>
                <w:rFonts w:hint="eastAsia"/>
                <w:u w:val="single"/>
              </w:rPr>
              <w:t xml:space="preserve">《管理手册》 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F8.1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组织通过采取下列措施，策划、实施、控制和更新满足要求的安全产品所必需的过程，并实施风险和机遇分析所确定的措施：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为过程建立评价准则：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前提方案/良好卫生规范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危害控制计划/</w:t>
            </w:r>
            <w:r>
              <w:t>HACCP</w:t>
            </w:r>
          </w:p>
          <w:p>
            <w:pPr>
              <w:ind w:firstLine="420" w:firstLineChars="2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原材料和接触材料特性描述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终产品特性描述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按照准则实施过程控制；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见</w:t>
            </w:r>
            <w:r>
              <w:rPr>
                <w:rFonts w:hint="eastAsia"/>
                <w:u w:val="single"/>
                <w:lang w:val="en-US" w:eastAsia="zh-CN"/>
              </w:rPr>
              <w:t>餐食制作</w:t>
            </w:r>
            <w:r>
              <w:rPr>
                <w:rFonts w:hint="eastAsia"/>
                <w:u w:val="single"/>
              </w:rPr>
              <w:t>、配送过程控制记录和检查记录</w:t>
            </w:r>
          </w:p>
          <w:p/>
          <w:p>
            <w:r>
              <w:rPr>
                <w:rFonts w:hint="eastAsia"/>
              </w:rPr>
              <w:t>组织应控制策划的更改，评审非预期变更的后果，必要时，采取措施消除不利影响。（见8.6）</w:t>
            </w:r>
          </w:p>
          <w:p/>
          <w:p>
            <w:r>
              <w:rPr>
                <w:rFonts w:hint="eastAsia"/>
              </w:rPr>
              <w:t>组织的外包过程：</w:t>
            </w:r>
            <w:r>
              <w:rPr>
                <w:rFonts w:hint="eastAsia"/>
                <w:u w:val="single"/>
              </w:rPr>
              <w:t xml:space="preserve"> 无；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若后期有外包过程的控制（见7.1.6）。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应急准备和响应/应急预案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《应急准备与响应控制程序》、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《应急预案》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t>口不符合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pPr>
              <w:ind w:firstLine="210" w:firstLineChars="100"/>
            </w:pPr>
            <w:r>
              <w:rPr>
                <w:rFonts w:hint="eastAsia"/>
                <w:highlight w:val="none"/>
                <w:lang w:val="en-US" w:eastAsia="zh-CN"/>
              </w:rPr>
              <w:t>经询问：相关负责人表示审核周期内未发生</w:t>
            </w:r>
            <w:r>
              <w:rPr>
                <w:rFonts w:hint="eastAsia"/>
                <w:highlight w:val="none"/>
              </w:rPr>
              <w:t>影响食品安全事故和/或紧急情况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公司按照已建立的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</w:t>
            </w:r>
            <w:r>
              <w:rPr>
                <w:rFonts w:hint="eastAsia"/>
                <w:highlight w:val="none"/>
                <w:lang w:val="en-US" w:eastAsia="zh-CN"/>
              </w:rPr>
              <w:t>与</w:t>
            </w:r>
            <w:r>
              <w:rPr>
                <w:rFonts w:hint="eastAsia"/>
                <w:highlight w:val="none"/>
              </w:rPr>
              <w:t>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开展了应急演练，具体由生产部负责，详见生产部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生产部审核记录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85" w:type="dxa"/>
            <w:vMerge w:val="restart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  <w:shd w:val="clear" w:color="auto" w:fill="auto"/>
            <w:vAlign w:val="top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  <w:vAlign w:val="top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  <w:vAlign w:val="top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208"/>
              <w:gridCol w:w="211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产品：每年委托外部进行；生产用水：每年进行</w:t>
                  </w: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444444"/>
                      <w:kern w:val="0"/>
                      <w:sz w:val="22"/>
                      <w:szCs w:val="22"/>
                      <w:lang w:val="en-US" w:eastAsia="zh-CN" w:bidi="ar"/>
                    </w:rPr>
                    <w:t>GB 14934-2016</w:t>
                  </w:r>
                </w:p>
                <w:p>
                  <w:pPr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、GB5749、DBS 32/003—2014 </w:t>
                  </w:r>
                </w:p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提供有《餐饮服务食品安全常规项目自查记录表》，见生产部审核记录。</w:t>
            </w:r>
          </w:p>
        </w:tc>
        <w:tc>
          <w:tcPr>
            <w:tcW w:w="1585" w:type="dxa"/>
            <w:vMerge w:val="continue"/>
            <w:shd w:val="clear" w:color="auto" w:fill="auto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1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85" w:type="dxa"/>
            <w:vMerge w:val="restart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  <w:shd w:val="clear" w:color="auto" w:fill="auto"/>
            <w:vAlign w:val="top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  <w:vAlign w:val="top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  <w:vAlign w:val="top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近一年，</w:t>
            </w:r>
            <w:r>
              <w:rPr>
                <w:rFonts w:hint="eastAsia"/>
                <w:color w:val="auto"/>
              </w:rPr>
              <w:t xml:space="preserve">于 </w:t>
            </w:r>
            <w:r>
              <w:rPr>
                <w:rFonts w:hint="eastAsia"/>
                <w:color w:val="auto"/>
                <w:u w:val="single"/>
              </w:rPr>
              <w:t>202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auto"/>
                <w:u w:val="single"/>
              </w:rPr>
              <w:t>月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日实施了管理评审；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查看☑管理评审计划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/>
                    <w:sym w:font="Wingdings" w:char="00FE"/>
                  </w:r>
                  <w: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/>
                    <w:sym w:font="Wingdings" w:char="00FE"/>
                  </w:r>
                  <w: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/>
                    <w:sym w:font="Wingdings" w:char="00FE"/>
                  </w:r>
                  <w:r>
                    <w:t>体系更新活动的评审结果</w:t>
                  </w:r>
                  <w:r>
                    <w:rPr>
                      <w:rFonts w:hint="eastAsia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顾客反馈的沟通活动</w:t>
                  </w:r>
                  <w:r>
                    <w:rPr>
                      <w:rFonts w:hint="eastAsia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紧急情况、 事故或撤回</w:t>
                  </w:r>
                  <w:r>
                    <w:rPr>
                      <w:rFonts w:hint="eastAsia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持续改进的机会</w:t>
                  </w:r>
                  <w:r>
                    <w:rPr>
                      <w:rFonts w:hint="eastAsia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</w:t>
                  </w:r>
                  <w: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</w:tbl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对食品安全管理体系的持续适宜性，充分性，有效性的结论。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满足 □不满足，说明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已落实 □已部分落实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□已落实 □已部分落实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需要增加一名体系管理员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>已落实 □已部分落实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□已落实 □已部分落实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□已落实 □已部分落实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□已落实 □已部分落实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改进措施未落实的原因：              </w:t>
            </w:r>
          </w:p>
        </w:tc>
        <w:tc>
          <w:tcPr>
            <w:tcW w:w="1585" w:type="dxa"/>
            <w:vMerge w:val="continue"/>
            <w:shd w:val="clear" w:color="auto" w:fill="auto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  <w:p>
            <w:pPr>
              <w:pStyle w:val="7"/>
            </w:pPr>
          </w:p>
          <w:p>
            <w:pPr>
              <w:pStyle w:val="7"/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第10.2章、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《不合格品控制程序》、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 w:ascii="宋体" w:hAnsi="宋体"/>
              </w:rPr>
              <w:t>纠正和预防措施控制程序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 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产品检查中出现的问题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《</w:t>
            </w:r>
            <w:r>
              <w:rPr>
                <w:rFonts w:hint="eastAsia"/>
                <w:color w:val="0000FF"/>
                <w:u w:val="single"/>
              </w:rPr>
              <w:t>——审核周期未发生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8"/>
              <w:tblpPr w:leftFromText="180" w:rightFromText="180" w:vertAnchor="text" w:horzAnchor="margin" w:tblpY="18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033"/>
              <w:gridCol w:w="1062"/>
              <w:gridCol w:w="1720"/>
              <w:gridCol w:w="2463"/>
              <w:gridCol w:w="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不符合描述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不符合纠正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原因分析</w:t>
                  </w: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纠正措施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——</w:t>
                  </w:r>
                </w:p>
              </w:tc>
              <w:tc>
                <w:tcPr>
                  <w:tcW w:w="2033" w:type="dxa"/>
                </w:tcPr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463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rFonts w:hint="eastAsia"/>
                <w:u w:val="single"/>
                <w:lang w:val="en-US" w:eastAsia="zh-CN"/>
              </w:rPr>
              <w:t>2022年9月1日更新了危害控制计划A1版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gridSpan w:val="2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-20320</wp:posOffset>
          </wp:positionV>
          <wp:extent cx="374650" cy="377190"/>
          <wp:effectExtent l="0" t="0" r="6350" b="381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853B"/>
    <w:multiLevelType w:val="singleLevel"/>
    <w:tmpl w:val="8DEE85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56645777"/>
    <w:multiLevelType w:val="singleLevel"/>
    <w:tmpl w:val="56645777"/>
    <w:lvl w:ilvl="0" w:tentative="0">
      <w:start w:val="1"/>
      <w:numFmt w:val="lowerLetter"/>
      <w:suff w:val="space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6E797D"/>
    <w:rsid w:val="04883DB3"/>
    <w:rsid w:val="049166B1"/>
    <w:rsid w:val="04981EC9"/>
    <w:rsid w:val="050D3D1E"/>
    <w:rsid w:val="054E2BDD"/>
    <w:rsid w:val="056577F0"/>
    <w:rsid w:val="05705C5F"/>
    <w:rsid w:val="057753FF"/>
    <w:rsid w:val="05791166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377F71"/>
    <w:rsid w:val="08767210"/>
    <w:rsid w:val="08851DD7"/>
    <w:rsid w:val="08C22483"/>
    <w:rsid w:val="08ED1EE8"/>
    <w:rsid w:val="09005957"/>
    <w:rsid w:val="093525C0"/>
    <w:rsid w:val="096333C5"/>
    <w:rsid w:val="09907984"/>
    <w:rsid w:val="09933EF9"/>
    <w:rsid w:val="09AA0CA5"/>
    <w:rsid w:val="09FA6045"/>
    <w:rsid w:val="0A0F142E"/>
    <w:rsid w:val="0A1C56C1"/>
    <w:rsid w:val="0A904067"/>
    <w:rsid w:val="0ACA6ED2"/>
    <w:rsid w:val="0AEF4D8D"/>
    <w:rsid w:val="0AF42A06"/>
    <w:rsid w:val="0B540262"/>
    <w:rsid w:val="0BE64DFF"/>
    <w:rsid w:val="0C5423F7"/>
    <w:rsid w:val="0C8009B8"/>
    <w:rsid w:val="0CC102DA"/>
    <w:rsid w:val="0CDE2096"/>
    <w:rsid w:val="0CFF24BA"/>
    <w:rsid w:val="0D0C188A"/>
    <w:rsid w:val="0D181113"/>
    <w:rsid w:val="0D1E4D9B"/>
    <w:rsid w:val="0D4D1326"/>
    <w:rsid w:val="0D6A2C36"/>
    <w:rsid w:val="0DB35CC0"/>
    <w:rsid w:val="0E331956"/>
    <w:rsid w:val="0E49595F"/>
    <w:rsid w:val="0E9729C9"/>
    <w:rsid w:val="0EB8524B"/>
    <w:rsid w:val="0F85474A"/>
    <w:rsid w:val="0F86648B"/>
    <w:rsid w:val="0F9C35C1"/>
    <w:rsid w:val="0FC4644C"/>
    <w:rsid w:val="0FEB1156"/>
    <w:rsid w:val="0FFA42BF"/>
    <w:rsid w:val="100B6D7F"/>
    <w:rsid w:val="100D075A"/>
    <w:rsid w:val="10613C9B"/>
    <w:rsid w:val="106A3497"/>
    <w:rsid w:val="10741C20"/>
    <w:rsid w:val="108219C2"/>
    <w:rsid w:val="108D2888"/>
    <w:rsid w:val="10991918"/>
    <w:rsid w:val="10A120FB"/>
    <w:rsid w:val="10AB5B5F"/>
    <w:rsid w:val="10C112A0"/>
    <w:rsid w:val="10C11C69"/>
    <w:rsid w:val="10DB010A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190AA0"/>
    <w:rsid w:val="13296CDD"/>
    <w:rsid w:val="134E7573"/>
    <w:rsid w:val="13890C2B"/>
    <w:rsid w:val="13A420AC"/>
    <w:rsid w:val="13C11723"/>
    <w:rsid w:val="13EB79B2"/>
    <w:rsid w:val="145B46D3"/>
    <w:rsid w:val="14C400FD"/>
    <w:rsid w:val="14D5407F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486E4C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DF186C"/>
    <w:rsid w:val="18E725C6"/>
    <w:rsid w:val="18FB3FC3"/>
    <w:rsid w:val="193A21CE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948AE"/>
    <w:rsid w:val="1AAF33A8"/>
    <w:rsid w:val="1AB42370"/>
    <w:rsid w:val="1ACD09C2"/>
    <w:rsid w:val="1ACF1254"/>
    <w:rsid w:val="1AED5B63"/>
    <w:rsid w:val="1B462375"/>
    <w:rsid w:val="1B5E3B97"/>
    <w:rsid w:val="1BC5069A"/>
    <w:rsid w:val="1C392A3A"/>
    <w:rsid w:val="1C446377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63385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4D3E91"/>
    <w:rsid w:val="205905F2"/>
    <w:rsid w:val="205B3801"/>
    <w:rsid w:val="207644C2"/>
    <w:rsid w:val="20A856C1"/>
    <w:rsid w:val="20E119DF"/>
    <w:rsid w:val="21506579"/>
    <w:rsid w:val="21A07B88"/>
    <w:rsid w:val="21BE2E1C"/>
    <w:rsid w:val="21D24208"/>
    <w:rsid w:val="223149A5"/>
    <w:rsid w:val="225B68EA"/>
    <w:rsid w:val="226B2F60"/>
    <w:rsid w:val="22813299"/>
    <w:rsid w:val="23461CA8"/>
    <w:rsid w:val="238A1BAA"/>
    <w:rsid w:val="23900E62"/>
    <w:rsid w:val="23996C88"/>
    <w:rsid w:val="23BC7BE1"/>
    <w:rsid w:val="23BF3886"/>
    <w:rsid w:val="23EF4C4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541E80"/>
    <w:rsid w:val="269C7CAD"/>
    <w:rsid w:val="26EA788C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BB2216"/>
    <w:rsid w:val="29CB46C2"/>
    <w:rsid w:val="29DF72FA"/>
    <w:rsid w:val="29F40B9B"/>
    <w:rsid w:val="29F77BA5"/>
    <w:rsid w:val="2A3A6E77"/>
    <w:rsid w:val="2A85024C"/>
    <w:rsid w:val="2B0D2F04"/>
    <w:rsid w:val="2B1D2572"/>
    <w:rsid w:val="2B206A2D"/>
    <w:rsid w:val="2B4324C3"/>
    <w:rsid w:val="2B4C1179"/>
    <w:rsid w:val="2BAC5760"/>
    <w:rsid w:val="2BD60481"/>
    <w:rsid w:val="2BEA3FA7"/>
    <w:rsid w:val="2C2E44D4"/>
    <w:rsid w:val="2C3E7250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3D7F03"/>
    <w:rsid w:val="2E440885"/>
    <w:rsid w:val="2EEE512C"/>
    <w:rsid w:val="2F511B05"/>
    <w:rsid w:val="2F7C571D"/>
    <w:rsid w:val="2F8C4439"/>
    <w:rsid w:val="2FA86B66"/>
    <w:rsid w:val="2FDF79BC"/>
    <w:rsid w:val="2FE823A5"/>
    <w:rsid w:val="2FEA1C57"/>
    <w:rsid w:val="300172B8"/>
    <w:rsid w:val="3009556D"/>
    <w:rsid w:val="30945277"/>
    <w:rsid w:val="30B017DF"/>
    <w:rsid w:val="30C71DD4"/>
    <w:rsid w:val="30D05581"/>
    <w:rsid w:val="30DC7CB1"/>
    <w:rsid w:val="30EA222E"/>
    <w:rsid w:val="30ED30CC"/>
    <w:rsid w:val="31064141"/>
    <w:rsid w:val="31B477DB"/>
    <w:rsid w:val="31B67BE2"/>
    <w:rsid w:val="31CA71DD"/>
    <w:rsid w:val="31DB38A6"/>
    <w:rsid w:val="322525C4"/>
    <w:rsid w:val="324E5138"/>
    <w:rsid w:val="325251B2"/>
    <w:rsid w:val="327304B1"/>
    <w:rsid w:val="328817F8"/>
    <w:rsid w:val="32A772DD"/>
    <w:rsid w:val="32E82365"/>
    <w:rsid w:val="331E21CE"/>
    <w:rsid w:val="33562A0D"/>
    <w:rsid w:val="33715F28"/>
    <w:rsid w:val="33F07155"/>
    <w:rsid w:val="340C6245"/>
    <w:rsid w:val="343C4522"/>
    <w:rsid w:val="347A0336"/>
    <w:rsid w:val="34920F8F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6C34F9B"/>
    <w:rsid w:val="372D3763"/>
    <w:rsid w:val="37492C0F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E04D90"/>
    <w:rsid w:val="3A3E0D9F"/>
    <w:rsid w:val="3A5573DE"/>
    <w:rsid w:val="3AAB1306"/>
    <w:rsid w:val="3ABD0173"/>
    <w:rsid w:val="3ACE23E2"/>
    <w:rsid w:val="3B227AA7"/>
    <w:rsid w:val="3B4241C0"/>
    <w:rsid w:val="3B5F0280"/>
    <w:rsid w:val="3B6E4908"/>
    <w:rsid w:val="3BEE1D6F"/>
    <w:rsid w:val="3BF1473C"/>
    <w:rsid w:val="3CA475E5"/>
    <w:rsid w:val="3CA717F2"/>
    <w:rsid w:val="3CC56579"/>
    <w:rsid w:val="3CCC15F4"/>
    <w:rsid w:val="3D2749CB"/>
    <w:rsid w:val="3D784600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A05572"/>
    <w:rsid w:val="40E27AF7"/>
    <w:rsid w:val="40F80D82"/>
    <w:rsid w:val="41342A6B"/>
    <w:rsid w:val="414C7183"/>
    <w:rsid w:val="4174724C"/>
    <w:rsid w:val="418D501C"/>
    <w:rsid w:val="41E9167B"/>
    <w:rsid w:val="42271497"/>
    <w:rsid w:val="42416B50"/>
    <w:rsid w:val="4262379E"/>
    <w:rsid w:val="42664FBD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002ED"/>
    <w:rsid w:val="45EC74A5"/>
    <w:rsid w:val="45FA6B69"/>
    <w:rsid w:val="460414DD"/>
    <w:rsid w:val="46062C07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84143B8"/>
    <w:rsid w:val="48A14702"/>
    <w:rsid w:val="48E85496"/>
    <w:rsid w:val="4949229C"/>
    <w:rsid w:val="49834851"/>
    <w:rsid w:val="49C0281D"/>
    <w:rsid w:val="49E449BF"/>
    <w:rsid w:val="49EC77B8"/>
    <w:rsid w:val="49ED5B1C"/>
    <w:rsid w:val="4AB65576"/>
    <w:rsid w:val="4AD45EF1"/>
    <w:rsid w:val="4ADD13CB"/>
    <w:rsid w:val="4AE04A18"/>
    <w:rsid w:val="4B337454"/>
    <w:rsid w:val="4B407CC6"/>
    <w:rsid w:val="4B42232B"/>
    <w:rsid w:val="4B464DA1"/>
    <w:rsid w:val="4B6C4D61"/>
    <w:rsid w:val="4B825A76"/>
    <w:rsid w:val="4B8B3702"/>
    <w:rsid w:val="4B93440D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9C3100"/>
    <w:rsid w:val="4DA67C2E"/>
    <w:rsid w:val="4DB86BCB"/>
    <w:rsid w:val="4DD85058"/>
    <w:rsid w:val="4E0166A9"/>
    <w:rsid w:val="4E1551DB"/>
    <w:rsid w:val="4E7774D0"/>
    <w:rsid w:val="4EB66985"/>
    <w:rsid w:val="4F256EAD"/>
    <w:rsid w:val="4F594843"/>
    <w:rsid w:val="50172AB6"/>
    <w:rsid w:val="50286CDF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4273293"/>
    <w:rsid w:val="54A86D6F"/>
    <w:rsid w:val="55252FED"/>
    <w:rsid w:val="552A2893"/>
    <w:rsid w:val="556B045B"/>
    <w:rsid w:val="557D4E77"/>
    <w:rsid w:val="55C375DD"/>
    <w:rsid w:val="56156439"/>
    <w:rsid w:val="56283162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5D2B85"/>
    <w:rsid w:val="58884147"/>
    <w:rsid w:val="58B728A2"/>
    <w:rsid w:val="58B868EB"/>
    <w:rsid w:val="590D059A"/>
    <w:rsid w:val="592802C2"/>
    <w:rsid w:val="5978735A"/>
    <w:rsid w:val="59A13904"/>
    <w:rsid w:val="59AF1EA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CE2074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9A4BC5"/>
    <w:rsid w:val="5EA12B9A"/>
    <w:rsid w:val="5EB61B43"/>
    <w:rsid w:val="5EBA7075"/>
    <w:rsid w:val="5EBF5DC8"/>
    <w:rsid w:val="5F02275D"/>
    <w:rsid w:val="5F14059B"/>
    <w:rsid w:val="5F2768D9"/>
    <w:rsid w:val="5F291E1B"/>
    <w:rsid w:val="5F551AC0"/>
    <w:rsid w:val="5F575CF7"/>
    <w:rsid w:val="5F616E2A"/>
    <w:rsid w:val="5FE015B4"/>
    <w:rsid w:val="600754B6"/>
    <w:rsid w:val="6018182B"/>
    <w:rsid w:val="601E0F43"/>
    <w:rsid w:val="60477127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A3DD6"/>
    <w:rsid w:val="626F54FE"/>
    <w:rsid w:val="62876D77"/>
    <w:rsid w:val="62CA4AF4"/>
    <w:rsid w:val="62E4371E"/>
    <w:rsid w:val="632045D1"/>
    <w:rsid w:val="6342544F"/>
    <w:rsid w:val="63720424"/>
    <w:rsid w:val="63840156"/>
    <w:rsid w:val="63A31ABC"/>
    <w:rsid w:val="63C65078"/>
    <w:rsid w:val="63EA156F"/>
    <w:rsid w:val="63EA6D88"/>
    <w:rsid w:val="64287B33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AB1102"/>
    <w:rsid w:val="66B368AE"/>
    <w:rsid w:val="66B532F3"/>
    <w:rsid w:val="66C2760F"/>
    <w:rsid w:val="675A3B6C"/>
    <w:rsid w:val="67AF7DB6"/>
    <w:rsid w:val="680564C6"/>
    <w:rsid w:val="681A4AF0"/>
    <w:rsid w:val="681B3F7A"/>
    <w:rsid w:val="68233428"/>
    <w:rsid w:val="6827495B"/>
    <w:rsid w:val="6844529D"/>
    <w:rsid w:val="68B54AF7"/>
    <w:rsid w:val="68CA009F"/>
    <w:rsid w:val="68FD18A9"/>
    <w:rsid w:val="694A087E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3E477F"/>
    <w:rsid w:val="6B740456"/>
    <w:rsid w:val="6B795D62"/>
    <w:rsid w:val="6B910AA0"/>
    <w:rsid w:val="6BC747F5"/>
    <w:rsid w:val="6BD35CE4"/>
    <w:rsid w:val="6C3014BE"/>
    <w:rsid w:val="6C396551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556AFA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1B6F23"/>
    <w:rsid w:val="70607590"/>
    <w:rsid w:val="70795456"/>
    <w:rsid w:val="709946EC"/>
    <w:rsid w:val="713063AD"/>
    <w:rsid w:val="71467BE4"/>
    <w:rsid w:val="72702455"/>
    <w:rsid w:val="72891A7E"/>
    <w:rsid w:val="728F2E47"/>
    <w:rsid w:val="72973011"/>
    <w:rsid w:val="729772BA"/>
    <w:rsid w:val="72A972F1"/>
    <w:rsid w:val="72E42D1B"/>
    <w:rsid w:val="731254DC"/>
    <w:rsid w:val="73381E5F"/>
    <w:rsid w:val="734F0911"/>
    <w:rsid w:val="736054C4"/>
    <w:rsid w:val="736C572D"/>
    <w:rsid w:val="73A422EB"/>
    <w:rsid w:val="73C12919"/>
    <w:rsid w:val="74103E55"/>
    <w:rsid w:val="744A4204"/>
    <w:rsid w:val="7452338B"/>
    <w:rsid w:val="745B622A"/>
    <w:rsid w:val="753E2D2E"/>
    <w:rsid w:val="75485C3B"/>
    <w:rsid w:val="75DB13A5"/>
    <w:rsid w:val="75E552E3"/>
    <w:rsid w:val="75EC38CD"/>
    <w:rsid w:val="76174057"/>
    <w:rsid w:val="76235208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40C6D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8460C"/>
    <w:rsid w:val="79826449"/>
    <w:rsid w:val="79D339B9"/>
    <w:rsid w:val="7A200C95"/>
    <w:rsid w:val="7A594332"/>
    <w:rsid w:val="7A715E12"/>
    <w:rsid w:val="7A8564DB"/>
    <w:rsid w:val="7A857531"/>
    <w:rsid w:val="7AB3096A"/>
    <w:rsid w:val="7AC22B97"/>
    <w:rsid w:val="7ACB083F"/>
    <w:rsid w:val="7B1F77A4"/>
    <w:rsid w:val="7B292799"/>
    <w:rsid w:val="7B560A24"/>
    <w:rsid w:val="7B593EC6"/>
    <w:rsid w:val="7BEE23EC"/>
    <w:rsid w:val="7C090682"/>
    <w:rsid w:val="7C4E6027"/>
    <w:rsid w:val="7C6A6CA8"/>
    <w:rsid w:val="7CC41AB2"/>
    <w:rsid w:val="7CF04E00"/>
    <w:rsid w:val="7D0B04E5"/>
    <w:rsid w:val="7D41026F"/>
    <w:rsid w:val="7D59343F"/>
    <w:rsid w:val="7DBF3C58"/>
    <w:rsid w:val="7E0A78B3"/>
    <w:rsid w:val="7E2912F3"/>
    <w:rsid w:val="7F3E0EAB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0</TotalTime>
  <ScaleCrop>false</ScaleCrop>
  <LinksUpToDate>false</LinksUpToDate>
  <CharactersWithSpaces>9178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2023-01-05T01:01:00Z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FD80CA7ECCCE4F4FBA9F42EC26D52546</vt:lpwstr>
  </property>
</Properties>
</file>