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无锡市佳乐物业管理有限公司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Cs w:val="21"/>
                <w:lang w:val="en-US" w:eastAsia="zh-CN"/>
              </w:rPr>
              <w:t>能源评审报告未对以下内容进行评审：未描述影响主要能源使用的相关人员，也未分析静态因素；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财务部未能提供较为明晰的2021年度、2022年度水、电消费的账目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6C1534"/>
    <w:rsid w:val="6E704D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2023-01-07T12:41:29Z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