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1319-2022-Q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石家庄上凯电力设备科技有限公司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石家庄上凯电力设备科技有限公司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石家庄市新石北路368号金石工业园1号楼2层209室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石家庄市新石北路368号金石工业园1号楼2层209室</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郝晓辉</w:t>
            </w:r>
            <w:bookmarkEnd w:id="10"/>
          </w:p>
        </w:tc>
        <w:tc>
          <w:tcPr>
            <w:tcW w:w="1313" w:type="dxa"/>
            <w:vAlign w:val="center"/>
          </w:tcPr>
          <w:p>
            <w:r>
              <w:rPr>
                <w:rFonts w:hint="eastAsia"/>
              </w:rPr>
              <w:t>电话.</w:t>
            </w:r>
          </w:p>
        </w:tc>
        <w:tc>
          <w:tcPr>
            <w:tcW w:w="2180" w:type="dxa"/>
            <w:vAlign w:val="center"/>
          </w:tcPr>
          <w:p>
            <w:bookmarkStart w:id="11" w:name="联系人电话"/>
            <w:r>
              <w:t>15175126283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李纲</w:t>
            </w:r>
            <w:bookmarkEnd w:id="13"/>
          </w:p>
        </w:tc>
        <w:tc>
          <w:tcPr>
            <w:tcW w:w="1313" w:type="dxa"/>
            <w:vAlign w:val="center"/>
          </w:tcPr>
          <w:p>
            <w:r>
              <w:rPr>
                <w:rFonts w:hint="eastAsia"/>
              </w:rPr>
              <w:t>管理者代表</w:t>
            </w:r>
          </w:p>
        </w:tc>
        <w:tc>
          <w:tcPr>
            <w:tcW w:w="2180" w:type="dxa"/>
          </w:tcPr>
          <w:p>
            <w:bookmarkStart w:id="14" w:name="管理者代表"/>
            <w:r>
              <w:t>郝晓辉</w:t>
            </w:r>
            <w:bookmarkEnd w:id="14"/>
          </w:p>
        </w:tc>
        <w:tc>
          <w:tcPr>
            <w:tcW w:w="1242" w:type="dxa"/>
          </w:tcPr>
          <w:p>
            <w:r>
              <w:rPr>
                <w:rFonts w:hint="eastAsia"/>
              </w:rPr>
              <w:t>邮箱</w:t>
            </w:r>
          </w:p>
        </w:tc>
        <w:tc>
          <w:tcPr>
            <w:tcW w:w="1771" w:type="dxa"/>
          </w:tcPr>
          <w:p>
            <w:pPr>
              <w:rPr>
                <w:rFonts w:hint="default" w:eastAsia="宋体"/>
                <w:lang w:val="en-US" w:eastAsia="zh-CN"/>
              </w:rPr>
            </w:pPr>
            <w:r>
              <w:rPr>
                <w:rFonts w:hint="eastAsia"/>
                <w:lang w:val="en-US" w:eastAsia="zh-CN"/>
              </w:rPr>
              <w:t>jk7218@163.com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val="de-DE"/>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lang w:val="zh-CN" w:eastAsia="zh-CN"/>
              </w:rPr>
              <w:t>顾客需求-合同评审-签订合同-产品采购-</w:t>
            </w:r>
            <w:r>
              <w:rPr>
                <w:rFonts w:hint="eastAsia" w:ascii="Times New Roman" w:hAnsi="Times New Roman" w:eastAsia="宋体" w:cs="Times New Roman"/>
                <w:lang w:val="en-US" w:eastAsia="zh-CN"/>
              </w:rPr>
              <w:t>发货</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客户验收</w:t>
            </w:r>
            <w:r>
              <w:rPr>
                <w:rFonts w:hint="eastAsia" w:ascii="Times New Roman" w:hAnsi="Times New Roman" w:eastAsia="宋体" w:cs="Times New Roman"/>
                <w:lang w:val="zh-CN" w:eastAsia="zh-CN"/>
              </w:rPr>
              <w:t>-售后服务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2023年01月10日 上午至2023年01月10日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00"/>
                <w:szCs w:val="21"/>
              </w:rPr>
            </w:pPr>
            <w:bookmarkStart w:id="29" w:name="办公地址"/>
          </w:p>
          <w:p>
            <w:pPr>
              <w:rPr>
                <w:rFonts w:ascii="宋体"/>
                <w:b/>
                <w:color w:val="0000FF"/>
                <w:szCs w:val="21"/>
              </w:rPr>
            </w:pPr>
            <w:r>
              <w:rPr>
                <w:rFonts w:ascii="宋体"/>
                <w:b/>
                <w:color w:val="000000"/>
                <w:szCs w:val="21"/>
              </w:rPr>
              <w:t>石家庄市新石北路368号金石工业园1号楼2层209室</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0" w:name="审核范围"/>
            <w:r>
              <w:t>电力设备、高压线路异物激光清除仪、线路监测设备的销售</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1" w:name="专业代码"/>
            <w:r>
              <w:t>29.10.07</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val="de-DE"/>
              </w:rPr>
              <w:t>■</w:t>
            </w:r>
            <w:r>
              <w:rPr>
                <w:rFonts w:hint="eastAsia"/>
              </w:rPr>
              <w:t>受审核组织没有设计开发的责任</w:t>
            </w:r>
          </w:p>
          <w:p>
            <w:r>
              <w:rPr>
                <w:rFonts w:hint="eastAsia"/>
                <w:lang w:val="de-DE"/>
              </w:rPr>
              <w:t>■</w:t>
            </w:r>
            <w:r>
              <w:rPr>
                <w:rFonts w:hint="eastAsia"/>
              </w:rPr>
              <w:t>受审核组织没有设计开发的能力</w:t>
            </w:r>
          </w:p>
          <w:p>
            <w:r>
              <w:rPr>
                <w:rFonts w:hint="eastAsia"/>
              </w:rPr>
              <w:t>□受审核组织没有设计开发修改的权力</w:t>
            </w:r>
          </w:p>
          <w:p>
            <w:r>
              <w:rPr>
                <w:rFonts w:hint="eastAsia"/>
                <w:lang w:val="de-DE"/>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96"/>
        <w:gridCol w:w="127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196"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276"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宋体" w:hAnsi="Times New Roman" w:eastAsia="宋体" w:cs="Times New Roman"/>
                <w:b/>
                <w:color w:val="000000"/>
                <w:szCs w:val="21"/>
                <w:lang w:eastAsia="ja-JP"/>
              </w:rPr>
            </w:pPr>
            <w:r>
              <w:rPr>
                <w:rFonts w:ascii="宋体" w:hAnsi="Times New Roman" w:eastAsia="宋体" w:cs="Times New Roman"/>
                <w:b/>
                <w:color w:val="000000"/>
                <w:szCs w:val="21"/>
                <w:lang w:eastAsia="ja-JP"/>
              </w:rPr>
              <w:t>01</w:t>
            </w:r>
          </w:p>
        </w:tc>
        <w:tc>
          <w:tcPr>
            <w:tcW w:w="2267" w:type="dxa"/>
          </w:tcPr>
          <w:p>
            <w:pPr>
              <w:spacing w:before="40" w:after="40"/>
              <w:rPr>
                <w:rFonts w:ascii="宋体" w:hAnsi="Times New Roman" w:eastAsia="宋体" w:cs="Times New Roman"/>
                <w:b/>
                <w:color w:val="000000"/>
                <w:szCs w:val="21"/>
              </w:rPr>
            </w:pPr>
            <w:r>
              <w:rPr>
                <w:rFonts w:ascii="宋体" w:hAnsi="Times New Roman" w:eastAsia="宋体" w:cs="Times New Roman"/>
                <w:b/>
                <w:color w:val="000000"/>
                <w:szCs w:val="21"/>
              </w:rPr>
              <w:t>石家庄上凯电力设备科技有限公司</w:t>
            </w:r>
          </w:p>
          <w:p>
            <w:pPr>
              <w:spacing w:before="40" w:after="40"/>
              <w:rPr>
                <w:rFonts w:ascii="宋体" w:hAnsi="Times New Roman" w:eastAsia="宋体" w:cs="Times New Roman"/>
                <w:b/>
                <w:color w:val="000000"/>
                <w:szCs w:val="21"/>
                <w:lang w:val="de-DE" w:eastAsia="ja-JP"/>
              </w:rPr>
            </w:pPr>
            <w:r>
              <w:rPr>
                <w:rFonts w:ascii="宋体" w:hAnsi="Times New Roman" w:eastAsia="宋体" w:cs="Times New Roman"/>
                <w:b/>
                <w:color w:val="000000"/>
                <w:szCs w:val="21"/>
              </w:rPr>
              <w:t>石家庄市新石北路368号金石工业园1号楼2层209室</w:t>
            </w:r>
          </w:p>
        </w:tc>
        <w:tc>
          <w:tcPr>
            <w:tcW w:w="2267" w:type="dxa"/>
          </w:tcPr>
          <w:p>
            <w:pPr>
              <w:spacing w:before="40" w:after="40"/>
              <w:rPr>
                <w:rFonts w:eastAsia="黑体"/>
                <w:szCs w:val="21"/>
                <w:lang w:val="de-DE" w:eastAsia="ja-JP"/>
              </w:rPr>
            </w:pPr>
            <w:r>
              <w:rPr>
                <w:rFonts w:ascii="宋体"/>
                <w:b/>
                <w:color w:val="000000"/>
                <w:szCs w:val="21"/>
              </w:rPr>
              <w:t>石家庄市新石北路368号金石工业园1号楼2层209室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16</w:t>
            </w:r>
          </w:p>
        </w:tc>
        <w:tc>
          <w:tcPr>
            <w:tcW w:w="2196" w:type="dxa"/>
            <w:vAlign w:val="center"/>
          </w:tcPr>
          <w:p>
            <w:pPr>
              <w:pStyle w:val="20"/>
              <w:rPr>
                <w:rFonts w:eastAsia="黑体" w:cs="Arial"/>
                <w:sz w:val="21"/>
                <w:szCs w:val="21"/>
                <w:lang w:val="en-US" w:eastAsia="ja-JP"/>
              </w:rPr>
            </w:pPr>
            <w:r>
              <w:rPr>
                <w:rFonts w:hint="eastAsia" w:ascii="宋体" w:hAnsi="宋体"/>
                <w:b/>
                <w:sz w:val="21"/>
                <w:szCs w:val="21"/>
              </w:rPr>
              <w:t>电力设备、高压线路异物激光清除仪、线路监测设备的销售</w:t>
            </w:r>
          </w:p>
        </w:tc>
        <w:tc>
          <w:tcPr>
            <w:tcW w:w="1276" w:type="dxa"/>
            <w:vAlign w:val="center"/>
          </w:tcPr>
          <w:p>
            <w:pPr>
              <w:spacing w:before="40" w:after="40"/>
              <w:rPr>
                <w:rFonts w:hint="eastAsia" w:eastAsia="黑体"/>
                <w:szCs w:val="21"/>
                <w:lang w:val="en-US" w:eastAsia="zh-CN"/>
              </w:rPr>
            </w:pPr>
            <w:r>
              <w:rPr>
                <w:rFonts w:hint="eastAsia" w:eastAsia="黑体"/>
                <w:szCs w:val="21"/>
                <w:lang w:val="en-US" w:eastAsia="zh-CN"/>
              </w:rPr>
              <w:t>GB/T</w:t>
            </w:r>
          </w:p>
          <w:p>
            <w:pPr>
              <w:spacing w:before="40" w:after="40"/>
              <w:rPr>
                <w:rFonts w:hint="default" w:eastAsia="黑体"/>
                <w:szCs w:val="21"/>
                <w:lang w:val="en-US" w:eastAsia="zh-CN"/>
              </w:rPr>
            </w:pPr>
            <w:r>
              <w:rPr>
                <w:rFonts w:hint="eastAsia" w:eastAsia="黑体"/>
                <w:szCs w:val="21"/>
                <w:lang w:val="en-US" w:eastAsia="zh-CN"/>
              </w:rPr>
              <w: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MS Gothic" w:hAnsi="MS Gothic" w:eastAsia="黑体" w:cs="Segoe UI Symbol"/>
                    <w:szCs w:val="21"/>
                    <w:lang w:val="en-US" w:eastAsia="zh-CN"/>
                  </w:rPr>
                  <w:t>×</w:t>
                </w:r>
              </w:p>
            </w:tc>
          </w:sdtContent>
        </w:sdt>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组长</w:t>
            </w:r>
          </w:p>
        </w:tc>
        <w:tc>
          <w:tcPr>
            <w:tcW w:w="711" w:type="dxa"/>
            <w:vAlign w:val="center"/>
          </w:tcPr>
          <w:p>
            <w:r>
              <w:t>女</w:t>
            </w:r>
          </w:p>
        </w:tc>
        <w:tc>
          <w:tcPr>
            <w:tcW w:w="3870" w:type="dxa"/>
            <w:vAlign w:val="center"/>
          </w:tcPr>
          <w:p>
            <w:r>
              <w:t>2021-N1QMS-1215052</w:t>
            </w:r>
          </w:p>
        </w:tc>
        <w:tc>
          <w:tcPr>
            <w:tcW w:w="2179" w:type="dxa"/>
            <w:vAlign w:val="center"/>
          </w:tcPr>
          <w:p>
            <w: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w:t>
      </w:r>
      <w:r>
        <w:rPr>
          <w:rFonts w:hint="eastAsia"/>
          <w:lang w:eastAsia="zh-CN"/>
        </w:rPr>
        <w:t>无</w:t>
      </w:r>
      <w:r>
        <w:rPr>
          <w:rFonts w:hint="eastAsia"/>
        </w:rPr>
        <w:t>）</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de-DE"/>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val="de-DE"/>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eastAsia="zh-CN"/>
        </w:rPr>
      </w:pPr>
      <w:r>
        <w:rPr>
          <w:rFonts w:hint="eastAsia"/>
        </w:rPr>
        <w:t>八、已识别出的任何未解决的问题：</w:t>
      </w:r>
      <w:r>
        <w:rPr>
          <w:rFonts w:hint="eastAsia"/>
          <w:lang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val="de-DE"/>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val="de-DE"/>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de-DE"/>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val="de-DE"/>
              </w:rPr>
              <w:t>■</w:t>
            </w:r>
            <w:r>
              <w:rPr>
                <w:rFonts w:hint="eastAsia"/>
              </w:rPr>
              <w:t>在完成纠正措施后推荐认证注册(</w:t>
            </w:r>
            <w:r>
              <w:rPr>
                <w:rFonts w:hint="eastAsia"/>
                <w:lang w:val="de-DE"/>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81280</wp:posOffset>
                  </wp:positionH>
                  <wp:positionV relativeFrom="paragraph">
                    <wp:posOffset>42545</wp:posOffset>
                  </wp:positionV>
                  <wp:extent cx="768985" cy="1025525"/>
                  <wp:effectExtent l="0" t="0" r="0" b="0"/>
                  <wp:wrapNone/>
                  <wp:docPr id="1" name="图片 1" descr="名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名字"/>
                          <pic:cNvPicPr>
                            <a:picLocks noChangeAspect="1"/>
                          </pic:cNvPicPr>
                        </pic:nvPicPr>
                        <pic:blipFill>
                          <a:blip r:embed="rId6"/>
                          <a:stretch>
                            <a:fillRect/>
                          </a:stretch>
                        </pic:blipFill>
                        <pic:spPr>
                          <a:xfrm>
                            <a:off x="0" y="0"/>
                            <a:ext cx="768985" cy="102552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2023.1.10</w:t>
            </w:r>
          </w:p>
        </w:tc>
      </w:tr>
    </w:tbl>
    <w:p/>
    <w:p/>
    <w:p>
      <w:r>
        <w:rPr>
          <w:rFonts w:hint="eastAsia"/>
        </w:rPr>
        <w:t>十四、审核报告的发放范围：</w:t>
      </w:r>
    </w:p>
    <w:p>
      <w:r>
        <w:rPr>
          <w:rFonts w:hint="eastAsia"/>
        </w:rPr>
        <w:t>受审核方(含附件)：</w:t>
      </w:r>
      <w:r>
        <w:rPr>
          <w:rFonts w:hint="eastAsia"/>
        </w:rPr>
        <w:tab/>
      </w:r>
      <w:r>
        <w:rPr>
          <w:rFonts w:hint="eastAsia"/>
          <w:lang w:val="en-US" w:eastAsia="zh-CN"/>
        </w:rPr>
        <w:t xml:space="preserve">    </w:t>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w:t>
                  </w:r>
                  <w:r>
                    <w:rPr>
                      <w:rFonts w:hint="eastAsia"/>
                    </w:rPr>
                    <w:sym w:font="Wingdings 2" w:char="00A3"/>
                  </w:r>
                  <w:r>
                    <w:rPr>
                      <w:rFonts w:hint="eastAsia"/>
                    </w:rPr>
                    <w:t>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服务至诚，精益求精；</w:t>
            </w:r>
          </w:p>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管理规范，追求卓越！</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风险：所采购产品市场不稳定，希望签订的年度合同和保底价格，带来的采购和资金风险</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rPr>
                    <w:t>机遇：所采购产品可能会降价</w:t>
                  </w:r>
                </w:p>
              </w:tc>
              <w:tc>
                <w:tcPr>
                  <w:tcW w:w="3965" w:type="dxa"/>
                  <w:vAlign w:val="top"/>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对公司影响较大的大宗所采购产品做好年度采购计划</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rPr>
                    <w:t>合格供方选择、评价，进货产品验证</w:t>
                  </w:r>
                </w:p>
              </w:tc>
              <w:tc>
                <w:tcPr>
                  <w:tcW w:w="1717"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人力不足，能力不足，沟通不畅</w:t>
                  </w:r>
                </w:p>
              </w:tc>
              <w:tc>
                <w:tcPr>
                  <w:tcW w:w="3965"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采取的适当措施可包括对在职人员进行培训、辅导或重新分配工作，或者招聘具备能力的人员等</w:t>
                  </w:r>
                </w:p>
              </w:tc>
              <w:tc>
                <w:tcPr>
                  <w:tcW w:w="1717" w:type="dxa"/>
                </w:tcPr>
                <w:p>
                  <w:pPr>
                    <w:shd w:val="clear" w:color="auto" w:fill="C7DAF1" w:themeFill="text2" w:themeFillTint="32"/>
                    <w:rPr>
                      <w:rFonts w:hint="eastAsia" w:ascii="Times New Roman" w:hAnsi="Times New Roman" w:eastAsia="宋体" w:cs="Times New Roman"/>
                      <w:lang w:eastAsia="zh-CN"/>
                    </w:rPr>
                  </w:pPr>
                  <w:r>
                    <w:rPr>
                      <w:rFonts w:hint="eastAsia" w:ascii="Times New Roman" w:hAnsi="Times New Roman" w:eastAsia="宋体" w:cs="Times New Roman"/>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公司产品售后服务处理不好，顾客埋怨投诉较多，会严重影响公司产品的销售，会给公司发展带来较大的风险</w:t>
                  </w:r>
                </w:p>
              </w:tc>
              <w:tc>
                <w:tcPr>
                  <w:tcW w:w="3965"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业务部门要严格按照售后服务管理规定，做好客户服务工作，提高客户满意度</w:t>
                  </w:r>
                </w:p>
              </w:tc>
              <w:tc>
                <w:tcPr>
                  <w:tcW w:w="1717" w:type="dxa"/>
                </w:tcPr>
                <w:p>
                  <w:pPr>
                    <w:shd w:val="clear" w:color="auto" w:fill="C7DAF1" w:themeFill="text2" w:themeFillTint="32"/>
                    <w:rPr>
                      <w:rFonts w:hint="eastAsia" w:ascii="Times New Roman" w:hAnsi="Times New Roman" w:eastAsia="宋体" w:cs="Times New Roman"/>
                      <w:lang w:eastAsia="zh-CN"/>
                    </w:rPr>
                  </w:pPr>
                  <w:r>
                    <w:rPr>
                      <w:rFonts w:hint="eastAsia" w:ascii="Times New Roman" w:hAnsi="Times New Roman" w:eastAsia="宋体" w:cs="Times New Roman"/>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1、交货（产品、服务）合格率≥99%；</w:t>
                  </w:r>
                </w:p>
                <w:p>
                  <w:pPr>
                    <w:shd w:val="clear" w:color="auto" w:fill="C7DAF1" w:themeFill="text2" w:themeFillTint="32"/>
                    <w:rPr>
                      <w:rFonts w:ascii="Times New Roman" w:hAnsi="Times New Roman" w:eastAsia="宋体" w:cs="Times New Roman"/>
                    </w:rPr>
                  </w:pPr>
                </w:p>
              </w:tc>
              <w:tc>
                <w:tcPr>
                  <w:tcW w:w="3136" w:type="dxa"/>
                  <w:shd w:val="clear" w:color="auto" w:fill="auto"/>
                  <w:vAlign w:val="center"/>
                </w:tcPr>
                <w:p>
                  <w:pPr>
                    <w:shd w:val="clear" w:color="auto" w:fill="C7DAF1" w:themeFill="text2" w:themeFillTint="32"/>
                    <w:rPr>
                      <w:lang w:val="en-GB"/>
                    </w:rPr>
                  </w:pPr>
                  <w:r>
                    <w:rPr>
                      <w:rFonts w:hint="eastAsia" w:ascii="Times New Roman" w:hAnsi="Times New Roman" w:eastAsia="宋体" w:cs="Times New Roman"/>
                    </w:rPr>
                    <w:t>合格批次/交付批次</w:t>
                  </w:r>
                </w:p>
              </w:tc>
              <w:tc>
                <w:tcPr>
                  <w:tcW w:w="1350"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业务部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2、交货及时率≥98%；</w:t>
                  </w:r>
                </w:p>
                <w:p>
                  <w:pPr>
                    <w:shd w:val="clear" w:color="auto" w:fill="C7DAF1" w:themeFill="text2" w:themeFillTint="32"/>
                    <w:rPr>
                      <w:rFonts w:ascii="Times New Roman" w:hAnsi="Times New Roman" w:eastAsia="宋体" w:cs="Times New Roman"/>
                    </w:rPr>
                  </w:pP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eastAsia="zh-CN"/>
                    </w:rPr>
                    <w:t>交货及时批次</w:t>
                  </w:r>
                  <w:r>
                    <w:rPr>
                      <w:rFonts w:hint="eastAsia" w:ascii="宋体" w:hAnsi="宋体"/>
                      <w:lang w:val="en-US" w:eastAsia="zh-CN"/>
                    </w:rPr>
                    <w:t>/交付批次</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业务部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3、顾客满意度≥96%</w:t>
                  </w:r>
                </w:p>
                <w:p>
                  <w:pPr>
                    <w:shd w:val="clear" w:color="auto" w:fill="C7DAF1" w:themeFill="text2" w:themeFillTint="32"/>
                    <w:rPr>
                      <w:rFonts w:ascii="Times New Roman" w:hAnsi="Times New Roman" w:eastAsia="宋体" w:cs="Times New Roman"/>
                    </w:rPr>
                  </w:pPr>
                </w:p>
              </w:tc>
              <w:tc>
                <w:tcPr>
                  <w:tcW w:w="3136" w:type="dxa"/>
                  <w:shd w:val="clear" w:color="auto" w:fill="auto"/>
                  <w:vAlign w:val="center"/>
                </w:tcPr>
                <w:p>
                  <w:pPr>
                    <w:shd w:val="clear" w:color="auto" w:fill="C7DAF1" w:themeFill="text2" w:themeFillTint="32"/>
                    <w:rPr>
                      <w:rFonts w:ascii="宋体" w:hAnsi="宋体"/>
                    </w:rPr>
                  </w:pPr>
                  <w:r>
                    <w:rPr>
                      <w:rFonts w:hint="eastAsia" w:ascii="Times New Roman" w:hAnsi="Times New Roman" w:eastAsia="宋体" w:cs="Times New Roman"/>
                    </w:rPr>
                    <w:t>顾客满意数/接受服务满意度调查的顾客数，按公式求百分率</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业务部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99.9%</w:t>
                  </w:r>
                  <w:bookmarkStart w:id="35" w:name="_GoBack"/>
                  <w:bookmarkEnd w:id="35"/>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120 </w:t>
            </w:r>
            <w:r>
              <w:rPr>
                <w:rFonts w:hint="eastAsia"/>
              </w:rPr>
              <w:t>平方米；</w:t>
            </w:r>
            <w:r>
              <w:rPr>
                <w:rFonts w:hint="eastAsia"/>
                <w:lang w:eastAsia="zh-CN"/>
              </w:rPr>
              <w:t>办公室</w:t>
            </w:r>
            <w:r>
              <w:rPr>
                <w:rFonts w:hint="eastAsia"/>
                <w:lang w:val="en-US" w:eastAsia="zh-CN"/>
              </w:rPr>
              <w:t>1个  ，</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w:t>
            </w:r>
            <w:r>
              <w:rPr>
                <w:rFonts w:hint="eastAsia" w:ascii="宋体" w:hAnsi="宋体" w:eastAsia="宋体" w:cs="宋体"/>
                <w:sz w:val="21"/>
                <w:szCs w:val="21"/>
                <w:u w:val="single"/>
                <w:lang w:eastAsia="zh-CN"/>
              </w:rPr>
              <w:t>办公桌椅，办公电脑，打印机</w:t>
            </w:r>
            <w:r>
              <w:rPr>
                <w:rFonts w:hint="eastAsia" w:ascii="宋体" w:hAnsi="宋体" w:cs="宋体"/>
                <w:sz w:val="21"/>
                <w:szCs w:val="21"/>
                <w:u w:val="single"/>
                <w:lang w:eastAsia="zh-CN"/>
              </w:rPr>
              <w:t>、碎纸</w:t>
            </w:r>
            <w:r>
              <w:rPr>
                <w:rFonts w:hint="eastAsia" w:ascii="宋体" w:hAnsi="宋体" w:eastAsia="宋体" w:cs="宋体"/>
                <w:sz w:val="21"/>
                <w:szCs w:val="21"/>
                <w:u w:val="single"/>
                <w:lang w:eastAsia="zh-CN"/>
              </w:rPr>
              <w:t>机</w:t>
            </w:r>
            <w:r>
              <w:rPr>
                <w:rFonts w:hint="eastAsia" w:ascii="宋体" w:hAnsi="宋体" w:cs="宋体"/>
                <w:sz w:val="21"/>
                <w:szCs w:val="21"/>
                <w:u w:val="single"/>
                <w:lang w:eastAsia="zh-CN"/>
              </w:rPr>
              <w:t>等</w:t>
            </w:r>
            <w:r>
              <w:rPr>
                <w:rFonts w:hint="eastAsia"/>
                <w:u w:val="single"/>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内部知识: □加工工艺□生产经验□管理软件■市场预测□企业标准□其他</w:t>
            </w:r>
          </w:p>
          <w:p>
            <w:pPr>
              <w:shd w:val="clear" w:color="auto" w:fill="C7DAF1" w:themeFill="text2" w:themeFillTint="32"/>
            </w:pPr>
            <w:r>
              <w:rPr>
                <w:rFonts w:hint="eastAsia"/>
              </w:rPr>
              <w:t>外部知识: ■顾客提供资料■产品标准■学术交流信息■专业会议信息□其他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通过■招聘</w:t>
            </w:r>
            <w:r>
              <w:rPr>
                <w:rFonts w:hint="eastAsia" w:ascii="Wingdings" w:hAnsi="Wingdings"/>
                <w:lang w:eastAsia="zh-CN"/>
              </w:rPr>
              <w:t>□</w:t>
            </w:r>
            <w:r>
              <w:rPr>
                <w:rFonts w:hint="eastAsia"/>
              </w:rPr>
              <w:t>换岗■培训■考核■辅导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标语■培训</w:t>
            </w:r>
            <w:r>
              <w:rPr>
                <w:rFonts w:hint="eastAsia" w:ascii="Wingdings" w:hAnsi="Wingdings"/>
                <w:lang w:eastAsia="zh-CN"/>
              </w:rPr>
              <w:t>□</w:t>
            </w:r>
            <w:r>
              <w:rPr>
                <w:rFonts w:hint="eastAsia"/>
              </w:rPr>
              <w:t>看板</w:t>
            </w:r>
            <w:r>
              <w:rPr>
                <w:rFonts w:hint="eastAsia" w:ascii="Wingdings" w:hAnsi="Wingdings"/>
                <w:lang w:eastAsia="zh-CN"/>
              </w:rPr>
              <w:sym w:font="Wingdings 2" w:char="00A3"/>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内部沟通方式：■文件发放■会议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A3"/>
            </w:r>
            <w:r>
              <w:rPr>
                <w:rFonts w:hint="eastAsia"/>
              </w:rPr>
              <w:t>体系文件受控■体系文件基本受控，存在问题：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A3"/>
            </w:r>
            <w:r>
              <w:rPr>
                <w:rFonts w:hint="eastAsia"/>
              </w:rPr>
              <w:t>法律法规获取充分，■法律法规获取有遗漏，缺少：</w:t>
            </w:r>
          </w:p>
          <w:p>
            <w:pPr>
              <w:shd w:val="clear" w:color="auto" w:fill="C7DAF1" w:themeFill="text2" w:themeFillTint="32"/>
            </w:pPr>
            <w:r>
              <w:rPr>
                <w:rFonts w:hint="eastAsia" w:ascii="宋体" w:hAnsi="宋体" w:cs="宋体"/>
                <w:b/>
                <w:bCs/>
                <w:sz w:val="21"/>
                <w:szCs w:val="21"/>
                <w:lang w:val="en-US" w:eastAsia="zh-CN"/>
              </w:rPr>
              <w:t>未识别“T/CEC 402-2020输电线路飘浮异物激光带电清除装备技术规范”、“T/CEC 403-2020输电线路飘浮异物激光带电清除装备使用导则”、“GB/T 25095-2020架空输电线路运行状态监测系统”、“Q/GDW 242-2010输电线路状态监测装置通用技术规范”等标准规范</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■工艺流程图■作业文件</w:t>
            </w:r>
            <w:r>
              <w:rPr>
                <w:rFonts w:hint="eastAsia" w:ascii="Wingdings" w:hAnsi="Wingdings"/>
                <w:lang w:eastAsia="zh-CN"/>
              </w:rPr>
              <w:t>□</w:t>
            </w:r>
            <w:r>
              <w:rPr>
                <w:rFonts w:hint="eastAsia"/>
              </w:rPr>
              <w:t>检测计划■接收准则■外包控制要求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产品和服务要求为：■外来标准</w:t>
            </w:r>
            <w:r>
              <w:rPr>
                <w:rFonts w:hint="eastAsia" w:ascii="Wingdings" w:hAnsi="Wingdings"/>
                <w:lang w:eastAsia="zh-CN"/>
              </w:rPr>
              <w:t>□</w:t>
            </w:r>
            <w:r>
              <w:rPr>
                <w:rFonts w:hint="eastAsia"/>
              </w:rPr>
              <w:t>企业标准■顾客要求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rFonts w:hint="eastAsia"/>
                      <w:lang w:eastAsia="zh-CN"/>
                    </w:rPr>
                    <w:t>电力设备、高压线路异物激光清除仪、线路监测设备销售</w:t>
                  </w:r>
                </w:p>
              </w:tc>
              <w:tc>
                <w:tcPr>
                  <w:tcW w:w="3665" w:type="dxa"/>
                  <w:vAlign w:val="top"/>
                </w:tcPr>
                <w:p>
                  <w:pPr>
                    <w:shd w:val="clear" w:color="auto" w:fill="C7DAF1" w:themeFill="text2" w:themeFillTint="32"/>
                    <w:jc w:val="left"/>
                  </w:pPr>
                  <w:r>
                    <w:rPr>
                      <w:rFonts w:hint="eastAsia"/>
                      <w:lang w:val="en-US" w:eastAsia="zh-CN"/>
                    </w:rPr>
                    <w:t>业务洽谈</w:t>
                  </w:r>
                </w:p>
              </w:tc>
              <w:tc>
                <w:tcPr>
                  <w:tcW w:w="3265" w:type="dxa"/>
                  <w:vAlign w:val="top"/>
                </w:tcPr>
                <w:p>
                  <w:pPr>
                    <w:shd w:val="clear" w:color="auto" w:fill="C7DAF1" w:themeFill="text2" w:themeFillTint="32"/>
                    <w:jc w:val="left"/>
                  </w:pPr>
                  <w:r>
                    <w:rPr>
                      <w:rFonts w:hint="eastAsia"/>
                      <w:color w:val="000000"/>
                      <w:u w:val="single"/>
                      <w:lang w:val="en-US" w:eastAsia="zh-CN"/>
                    </w:rPr>
                    <w:t>订单执行时间、需求数量、采购产品质量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销售过程</w:t>
            </w:r>
            <w:r>
              <w:rPr>
                <w:rFonts w:hint="eastAsia"/>
              </w:rPr>
              <w:t>，</w:t>
            </w:r>
          </w:p>
          <w:p>
            <w:pPr>
              <w:shd w:val="clear" w:color="auto" w:fill="C7DAF1" w:themeFill="text2" w:themeFillTint="32"/>
              <w:jc w:val="left"/>
            </w:pP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A3"/>
            </w:r>
            <w:r>
              <w:rPr>
                <w:rFonts w:hint="eastAsia"/>
              </w:rPr>
              <w:t>图纸</w:t>
            </w:r>
            <w:r>
              <w:rPr>
                <w:rFonts w:hint="eastAsia" w:ascii="Wingdings" w:hAnsi="Wingdings"/>
                <w:lang w:eastAsia="zh-CN"/>
              </w:rPr>
              <w:t>□</w:t>
            </w:r>
            <w:r>
              <w:rPr>
                <w:rFonts w:hint="eastAsia"/>
              </w:rPr>
              <w:t>配方■个人信息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目前交付后活动：■三包■维修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eastAsia" w:eastAsia="宋体"/>
                <w:lang w:eastAsia="zh-CN"/>
              </w:rPr>
            </w:pPr>
            <w:r>
              <w:rPr>
                <w:rFonts w:hint="eastAsia"/>
              </w:rPr>
              <w:t>实施了■进货检验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A3"/>
            </w:r>
            <w:r>
              <w:rPr>
                <w:rFonts w:hint="eastAsia"/>
              </w:rPr>
              <w:t>过程检验</w:t>
            </w:r>
            <w:r>
              <w:rPr>
                <w:rFonts w:hint="eastAsia" w:ascii="Wingdings" w:hAnsi="Wingdings"/>
                <w:lang w:eastAsia="zh-CN"/>
              </w:rPr>
              <w:sym w:font="Wingdings 2" w:char="00A3"/>
            </w:r>
            <w:r>
              <w:rPr>
                <w:rFonts w:hint="eastAsia"/>
              </w:rPr>
              <w:t>最终检验</w:t>
            </w:r>
            <w:r>
              <w:rPr>
                <w:rFonts w:hint="eastAsia" w:ascii="Wingdings" w:hAnsi="Wingdings"/>
                <w:lang w:eastAsia="zh-CN"/>
              </w:rPr>
              <w:t>□</w:t>
            </w:r>
            <w:r>
              <w:rPr>
                <w:rFonts w:hint="eastAsia"/>
              </w:rPr>
              <w:t>型式检验■其他</w:t>
            </w:r>
            <w:r>
              <w:rPr>
                <w:rFonts w:hint="eastAsia"/>
                <w:lang w:eastAsia="zh-CN"/>
              </w:rPr>
              <w:t>：销售服务</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17</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■不合格产品/服务■自我验证的结果</w:t>
            </w:r>
            <w:r>
              <w:rPr>
                <w:rFonts w:hint="eastAsia" w:ascii="Wingdings" w:hAnsi="Wingdings"/>
                <w:lang w:eastAsia="zh-CN"/>
              </w:rPr>
              <w:sym w:font="Wingdings 2" w:char="00A3"/>
            </w:r>
            <w:r>
              <w:rPr>
                <w:rFonts w:hint="eastAsia"/>
              </w:rPr>
              <w:t>顾客投诉■顾客满意调查</w:t>
            </w:r>
          </w:p>
          <w:p>
            <w:pPr>
              <w:shd w:val="clear" w:color="auto" w:fill="C7DAF1" w:themeFill="text2" w:themeFillTint="32"/>
            </w:pPr>
            <w:r>
              <w:rPr>
                <w:rFonts w:hint="eastAsia"/>
              </w:rPr>
              <w:t>■内审不符合项</w:t>
            </w:r>
            <w:r>
              <w:rPr>
                <w:rFonts w:hint="eastAsia" w:ascii="Wingdings" w:hAnsi="Wingdings"/>
                <w:lang w:eastAsia="zh-CN"/>
              </w:rPr>
              <w:sym w:font="Wingdings 2" w:char="00A3"/>
            </w:r>
            <w:r>
              <w:rPr>
                <w:rFonts w:hint="eastAsia"/>
              </w:rPr>
              <w:t>外审不符合项■管理评审■目标统计分析结果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5YTFkYjFhYjNiNjIyOTkyMTY0NmZjZDIxZWNjMDcifQ=="/>
    <w:docVar w:name="KSO_WPS_MARK_KEY" w:val="a6a95d46-47e6-4901-a1a6-09e415bf6fed"/>
  </w:docVars>
  <w:rsids>
    <w:rsidRoot w:val="00000000"/>
    <w:rsid w:val="00296603"/>
    <w:rsid w:val="0B99118B"/>
    <w:rsid w:val="14993707"/>
    <w:rsid w:val="20E03ACA"/>
    <w:rsid w:val="21111349"/>
    <w:rsid w:val="25874182"/>
    <w:rsid w:val="29894FB6"/>
    <w:rsid w:val="2A4A46F2"/>
    <w:rsid w:val="49A620F4"/>
    <w:rsid w:val="50E0418D"/>
    <w:rsid w:val="57E315FC"/>
    <w:rsid w:val="588910E4"/>
    <w:rsid w:val="5AF251E8"/>
    <w:rsid w:val="5B607B6E"/>
    <w:rsid w:val="5B9F7D63"/>
    <w:rsid w:val="66010A5C"/>
    <w:rsid w:val="6AFC79BD"/>
    <w:rsid w:val="73261F78"/>
    <w:rsid w:val="73471057"/>
    <w:rsid w:val="738803B4"/>
    <w:rsid w:val="7A2709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8224</Words>
  <Characters>8831</Characters>
  <Lines>150</Lines>
  <Paragraphs>42</Paragraphs>
  <TotalTime>4</TotalTime>
  <ScaleCrop>false</ScaleCrop>
  <LinksUpToDate>false</LinksUpToDate>
  <CharactersWithSpaces>8984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园园</cp:lastModifiedBy>
  <cp:lastPrinted>2019-05-13T03:19:00Z</cp:lastPrinted>
  <dcterms:modified xsi:type="dcterms:W3CDTF">2023-01-10T04:31:23Z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2052-11.1.0.12970</vt:lpwstr>
  </property>
</Properties>
</file>