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9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eastAsiaTheme="minorEastAsia"/>
                <w:sz w:val="24"/>
                <w:lang w:val="en-US" w:eastAsia="zh-CN"/>
              </w:rPr>
              <w:t>曹玉芳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刘立文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伍光华（远程审核，微信沟通）</w:t>
            </w: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2022.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12.30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7.1.2人员、7.2能力、7.3意识、7.1.6组织知识、7.5成文信息、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9.1.1监视、测量、分析和评价总则、9.1.3分析与评价、9.2 内部审核、10.2不合格和纠正措施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等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6.2</w:t>
            </w:r>
          </w:p>
        </w:tc>
        <w:tc>
          <w:tcPr>
            <w:tcW w:w="10915" w:type="dxa"/>
            <w:vAlign w:val="center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目标：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9.30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考核情况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文件管理、记录管理差错率</w:t>
            </w:r>
            <w:r>
              <w:rPr>
                <w:rFonts w:hint="eastAsia"/>
                <w:sz w:val="24"/>
                <w:lang w:val="en-US" w:eastAsia="zh-CN"/>
              </w:rPr>
              <w:t>为0</w:t>
            </w:r>
            <w:r>
              <w:rPr>
                <w:rFonts w:hint="eastAsia" w:eastAsiaTheme="minorEastAsia"/>
                <w:sz w:val="24"/>
                <w:szCs w:val="24"/>
              </w:rPr>
              <w:t xml:space="preserve">；                   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2.</w:t>
            </w:r>
            <w:r>
              <w:rPr>
                <w:rFonts w:hint="eastAsia"/>
                <w:spacing w:val="10"/>
                <w:sz w:val="24"/>
              </w:rPr>
              <w:t>年度培训计划完成率达到</w:t>
            </w:r>
            <w:r>
              <w:rPr>
                <w:rFonts w:hint="eastAsia"/>
                <w:spacing w:val="10"/>
                <w:sz w:val="24"/>
                <w:lang w:val="en-US" w:eastAsia="zh-CN"/>
              </w:rPr>
              <w:t>100%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100%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9.30</w:t>
            </w:r>
            <w:r>
              <w:rPr>
                <w:rFonts w:hAnsiTheme="minorEastAsia" w:eastAsiaTheme="minorEastAsia"/>
                <w:sz w:val="24"/>
                <w:szCs w:val="24"/>
              </w:rPr>
              <w:t>经考核已完成。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eastAsiaTheme="minor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、外部知识：标准、学术交流、专业会议、从顾客或外部供方收集的知识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、内部知识：知识产权、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Q7.2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企业配置了适宜的人员：如管理人员、技术人员、销售人员、生产操作工、检验人员、库管员等；人员配置基本满足日常管理体系运行要求。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综合部对各岗位人员进行能力考核，根据结果采取措施，通常是采取培训方式。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查到“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2022</w:t>
            </w:r>
            <w:r>
              <w:rPr>
                <w:rFonts w:eastAsiaTheme="minorEastAsia"/>
                <w:sz w:val="24"/>
                <w:szCs w:val="24"/>
              </w:rPr>
              <w:t>年度培训计划”，编制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曹玉芳</w:t>
            </w:r>
            <w:r>
              <w:rPr>
                <w:rFonts w:eastAsiaTheme="minorEastAsia"/>
                <w:sz w:val="24"/>
                <w:szCs w:val="24"/>
              </w:rPr>
              <w:t>，批准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刘立文</w:t>
            </w:r>
            <w:r>
              <w:rPr>
                <w:rFonts w:eastAsiaTheme="minorEastAsia"/>
                <w:sz w:val="24"/>
                <w:szCs w:val="24"/>
              </w:rPr>
              <w:t>，日期20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2.4.5</w:t>
            </w:r>
            <w:r>
              <w:rPr>
                <w:rFonts w:eastAsiaTheme="minorEastAsia"/>
                <w:sz w:val="24"/>
                <w:szCs w:val="24"/>
              </w:rPr>
              <w:t>。培训内容涉及：标准、体系文件、内审员、相关法规、岗位技能、生产操作规程、作业指导书、安全生产、产品知识培训等。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查到：1、《培训记录及培训效果评价表》，20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2.4.10</w:t>
            </w:r>
            <w:r>
              <w:rPr>
                <w:rFonts w:eastAsiaTheme="minorEastAsia"/>
                <w:sz w:val="24"/>
                <w:szCs w:val="24"/>
              </w:rPr>
              <w:t>体系文件（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质量手册</w:t>
            </w:r>
            <w:r>
              <w:rPr>
                <w:rFonts w:eastAsiaTheme="minorEastAsia"/>
                <w:sz w:val="24"/>
                <w:szCs w:val="24"/>
              </w:rPr>
              <w:t>）培训，记录了培训内容摘要，通过现场提问答辩对培训效果予以考核评价，考核合格率100%。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2、20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ISO9001标准和审核相关知识的</w:t>
            </w:r>
            <w:r>
              <w:rPr>
                <w:rFonts w:eastAsiaTheme="minorEastAsia"/>
                <w:sz w:val="24"/>
                <w:szCs w:val="24"/>
              </w:rPr>
              <w:t>培训，培训方式授课，有培训内容摘要，经现场讨论考核合格率100%。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3、202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eastAsiaTheme="minorEastAsia"/>
                <w:sz w:val="24"/>
                <w:szCs w:val="24"/>
              </w:rPr>
              <w:t>日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操作规程</w:t>
            </w:r>
            <w:r>
              <w:rPr>
                <w:rFonts w:hint="eastAsia" w:eastAsiaTheme="minorEastAsia"/>
                <w:sz w:val="24"/>
                <w:szCs w:val="24"/>
              </w:rPr>
              <w:t>培训，培训方式授课，有培训内容摘要，经现场讨论考核合格。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、20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eastAsiaTheme="minor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</w:rPr>
              <w:t>原材料、成品检验标准</w:t>
            </w:r>
            <w:r>
              <w:rPr>
                <w:rFonts w:eastAsiaTheme="minorEastAsia"/>
                <w:sz w:val="24"/>
                <w:szCs w:val="24"/>
              </w:rPr>
              <w:t>培训，培训方式授课，有培训内容摘要，经现场讨论考核合格率100%。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Q7.4</w:t>
            </w:r>
          </w:p>
        </w:tc>
        <w:tc>
          <w:tcPr>
            <w:tcW w:w="10915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策划编制的程序文件《信息交流、协商与沟通控制程序》及管理手册的相关章节规定了企业内、外部沟通和员工参与、协商的要求，符合标准要求。</w:t>
            </w:r>
          </w:p>
          <w:p>
            <w:pPr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是公司内部和外部信息交流和协商的归口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cs="宋体"/>
                <w:sz w:val="24"/>
                <w:szCs w:val="24"/>
              </w:rPr>
              <w:t>门。负责与上级主管部门及周边单位的信息交流。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cs="宋体"/>
                <w:sz w:val="24"/>
                <w:szCs w:val="24"/>
              </w:rPr>
              <w:t>负责与管理体系、法律法规等有关的内部和外部信息交流。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cs="宋体"/>
                <w:sz w:val="24"/>
                <w:szCs w:val="24"/>
              </w:rPr>
              <w:t>部负责与采购供方、客户等相关方之间的沟通。各部门收集到有关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cs="宋体"/>
                <w:sz w:val="24"/>
                <w:szCs w:val="24"/>
              </w:rPr>
              <w:t>方面的信息，包括法律法规等，及时向办公室反馈。目前各项沟通都较为及时、顺畅、效果较好。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Q7.5</w:t>
            </w: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</w:t>
            </w: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文件控制程序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，有作业指导书及检验规程，以及相关运行记录等。以上文件编制人：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，审核人：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刘立文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刘立文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公司质量方针随手册一同发布，并编制目标、指标与管理方案一览表，方针目标发布经过总经理批准、评审，适宜。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eastAsiaTheme="minorEastAsia"/>
                <w:sz w:val="24"/>
                <w:szCs w:val="24"/>
              </w:rPr>
              <w:t>ISO9001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2015</w:t>
            </w:r>
            <w:r>
              <w:rPr>
                <w:rFonts w:hAnsiTheme="minorEastAsia" w:eastAsiaTheme="minorEastAsia"/>
                <w:sz w:val="24"/>
                <w:szCs w:val="24"/>
              </w:rPr>
              <w:t>标准要求。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查见《外来、受控清单》，登录有手册、程序、管理规定、作业指导书等受控文件，包含了体系要求的成文信息，文件规定基本符合组织实际，满足标准要求。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抽查：《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基础设施和工作环境控制程序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》、《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生产和服务提供过程控制程序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》、《人力资源控制程序》等体系文件，均有编制、审批人员签名，符合要求。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回收登记表》，所有文件均由办公室发放，录有管理手册、程序、作业文件及标准、法律法规等外来文件。显示文件发放均有文件名称、编号、分发号、版本，发放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回收日期等。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</w:t>
            </w:r>
            <w:r>
              <w:rPr>
                <w:rFonts w:hint="eastAsia"/>
                <w:sz w:val="24"/>
              </w:rPr>
              <w:t>中华人民共和国</w:t>
            </w:r>
            <w:r>
              <w:rPr>
                <w:rFonts w:hint="eastAsia" w:ascii="宋体" w:hAnsi="宋体"/>
                <w:sz w:val="24"/>
              </w:rPr>
              <w:t>产品质量法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中华人民共和国</w:t>
            </w:r>
            <w:r>
              <w:rPr>
                <w:rFonts w:hint="eastAsia" w:ascii="宋体" w:hAnsi="宋体"/>
                <w:sz w:val="24"/>
              </w:rPr>
              <w:t>标准化法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中华人民共和国</w:t>
            </w:r>
            <w:r>
              <w:rPr>
                <w:rFonts w:hint="eastAsia" w:ascii="宋体" w:hAnsi="宋体"/>
                <w:sz w:val="24"/>
              </w:rPr>
              <w:t>安全生产法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冲压件尺寸公差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冲压件未注公差尺寸极限偏差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冲压件角度公差一般公差 未注公差的线性和角</w:t>
            </w:r>
            <w:r>
              <w:rPr>
                <w:rFonts w:hint="eastAsia"/>
                <w:sz w:val="24"/>
                <w:szCs w:val="24"/>
              </w:rPr>
              <w:t>度尺寸的公差</w:t>
            </w:r>
            <w:bookmarkStart w:id="0" w:name="_GoBack"/>
            <w:bookmarkEnd w:id="0"/>
            <w:r>
              <w:rPr>
                <w:rFonts w:hAnsiTheme="minorEastAsia" w:eastAsiaTheme="minorEastAsia"/>
                <w:sz w:val="24"/>
                <w:szCs w:val="24"/>
              </w:rPr>
              <w:t>等法律法规和标准，外来文件管理符合要求。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查作废文件控制：根据文审要求修订了管理手册，替换了修改页，原页面撕毁。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查到了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记录一览表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，记录设置符合公司实施运行要求，基本包含了体系要求的相关记录；记录一览表内容清晰，规定了记录的名称、编号等信息。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记录以名称、编号进行唯一性标识。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查阅了记录：《内部审核报告》、《年度培训计划》等体系运行记录，记录比较完整，内容规范全面，字迹清楚，有填表人、检查人等信息，易于检索，符合要求。</w:t>
            </w:r>
          </w:p>
          <w:p>
            <w:pPr>
              <w:spacing w:beforeLines="30" w:afterLines="30" w:line="288" w:lineRule="auto"/>
              <w:ind w:firstLine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beforeLines="30" w:afterLines="30" w:line="288" w:lineRule="auto"/>
              <w:ind w:firstLine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总体来说，公司文件化信息控制基本有效。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生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技</w:t>
            </w:r>
            <w:r>
              <w:rPr>
                <w:rFonts w:hAnsiTheme="minorEastAsia" w:eastAsiaTheme="minorEastAsia"/>
                <w:sz w:val="24"/>
                <w:szCs w:val="24"/>
              </w:rPr>
              <w:t>部对产品实现各过程进行监督检查，技术部按照要求进行了产品实现各阶段的检验，进行统计分析。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供销</w:t>
            </w:r>
            <w:r>
              <w:rPr>
                <w:rFonts w:hAnsiTheme="minorEastAsia" w:eastAsiaTheme="minorEastAsia"/>
                <w:sz w:val="24"/>
                <w:szCs w:val="24"/>
              </w:rPr>
              <w:t>部对顾客满意度进行了定期评价和分析，负责对供方业绩予以评价，对供方业绩实施了监视和测量。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240" w:firstLineChars="1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Q9.2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曹玉芳</w:t>
            </w:r>
            <w:r>
              <w:rPr>
                <w:rFonts w:hAnsiTheme="minorEastAsia" w:eastAsia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30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审核组构成：组长：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曹玉芳，</w:t>
            </w:r>
            <w:r>
              <w:rPr>
                <w:rFonts w:hAnsiTheme="minorEastAsia" w:eastAsiaTheme="minorEastAsia"/>
                <w:sz w:val="24"/>
                <w:szCs w:val="24"/>
              </w:rPr>
              <w:t>组员：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刘志磊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1. 审核时间202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sz w:val="24"/>
                <w:szCs w:val="24"/>
              </w:rPr>
              <w:t>月1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5-16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2.审核按计划进行，抽查检查表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供销部、</w:t>
            </w:r>
            <w:r>
              <w:rPr>
                <w:rFonts w:hAnsiTheme="minorEastAsia" w:eastAsiaTheme="minorEastAsia"/>
                <w:sz w:val="24"/>
                <w:szCs w:val="24"/>
              </w:rPr>
              <w:t>生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技</w:t>
            </w:r>
            <w:r>
              <w:rPr>
                <w:rFonts w:hAnsiTheme="minorEastAsia" w:eastAsiaTheme="minorEastAsia"/>
                <w:sz w:val="24"/>
                <w:szCs w:val="24"/>
              </w:rPr>
              <w:t>部审核记录与计划相一致，内审员经内部培训合格，能力还需加强；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审核计划已考虑到互查的公正性，无审核员审核本部门的工作，计划内容涉及各部门，条款覆盖整个体系。本次内审发现1个一般不符合项（涉及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供销</w:t>
            </w:r>
            <w:r>
              <w:rPr>
                <w:rFonts w:hAnsiTheme="minorEastAsia" w:eastAsiaTheme="minorEastAsia"/>
                <w:sz w:val="24"/>
                <w:szCs w:val="24"/>
              </w:rPr>
              <w:t>部8.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4.2</w:t>
            </w:r>
            <w:r>
              <w:rPr>
                <w:rFonts w:hAnsiTheme="minorEastAsia" w:eastAsiaTheme="minorEastAsia"/>
                <w:sz w:val="24"/>
                <w:szCs w:val="24"/>
              </w:rPr>
              <w:t>条款内容），针对不合格，责任部门已分析了原因并采取了纠正措施，按要求进行了整改，最后内审员进行了验证，纠正措施实施有效。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内部审核结论：提供了《内部审核报告》，对现场审核进行了综述，最后结论为：</w:t>
            </w:r>
            <w:r>
              <w:rPr>
                <w:rFonts w:hint="eastAsia" w:ascii="宋体" w:hAnsi="宋体" w:cs="宋体"/>
                <w:sz w:val="24"/>
              </w:rPr>
              <w:t>公司现阶段所运行的质量管理体系对于保证公司质量方针、质量目标实现是适宜的，基本满足公司生产经营的需要。质量管理体系运行持续、正常、有效。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 xml:space="preserve">    公司内审能按策划的审核方案实施。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Q:10.2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保持实施《纠正措施、预防措施控制程序》，对纠正预防措施识别、评审、验证，调查、处理等作了规定，其内容符合组织实际及标准要求。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对生产过程中出现的不符合项进行了原因分析，并制定、实施了纠正措施，并由技术质量部负责人对所采取的纠正措施进行了验证，纠正措施有效；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对内审中提出不合格项进行了原因分析，并制定、实施了纠正措施，并由内审员对所采取的纠正措施进行了验证，纠正措施有效，管理评审中发现的薄弱环节，分析了原因，采取了纠正措施。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安全意识有了明显提高，没有发现潜在的不符合，没有发生重大质量事故，及相关投诉情况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8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2FA"/>
    <w:rsid w:val="00147EDB"/>
    <w:rsid w:val="00150676"/>
    <w:rsid w:val="00156FF8"/>
    <w:rsid w:val="00160263"/>
    <w:rsid w:val="00161092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18DF"/>
    <w:rsid w:val="00235ED5"/>
    <w:rsid w:val="00237445"/>
    <w:rsid w:val="00240CD1"/>
    <w:rsid w:val="00245047"/>
    <w:rsid w:val="0025025A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0B55"/>
    <w:rsid w:val="002F1DCE"/>
    <w:rsid w:val="002F629A"/>
    <w:rsid w:val="003002BB"/>
    <w:rsid w:val="0030342C"/>
    <w:rsid w:val="003120F5"/>
    <w:rsid w:val="00317401"/>
    <w:rsid w:val="00317FAF"/>
    <w:rsid w:val="00320521"/>
    <w:rsid w:val="0032112D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5E1"/>
    <w:rsid w:val="0043186A"/>
    <w:rsid w:val="00432E49"/>
    <w:rsid w:val="00433759"/>
    <w:rsid w:val="0043494E"/>
    <w:rsid w:val="004414A5"/>
    <w:rsid w:val="004414CB"/>
    <w:rsid w:val="00441B50"/>
    <w:rsid w:val="004428CE"/>
    <w:rsid w:val="004475F8"/>
    <w:rsid w:val="00450792"/>
    <w:rsid w:val="00456697"/>
    <w:rsid w:val="00461BDA"/>
    <w:rsid w:val="00463AD4"/>
    <w:rsid w:val="00463F22"/>
    <w:rsid w:val="00465FE1"/>
    <w:rsid w:val="00475491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E6903"/>
    <w:rsid w:val="004F0EBB"/>
    <w:rsid w:val="004F16DE"/>
    <w:rsid w:val="004F185D"/>
    <w:rsid w:val="004F18B8"/>
    <w:rsid w:val="004F29F8"/>
    <w:rsid w:val="00501FB8"/>
    <w:rsid w:val="005052B3"/>
    <w:rsid w:val="005056ED"/>
    <w:rsid w:val="00505819"/>
    <w:rsid w:val="005064D2"/>
    <w:rsid w:val="00515C94"/>
    <w:rsid w:val="00517E4C"/>
    <w:rsid w:val="00521CF0"/>
    <w:rsid w:val="0052466B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70AA"/>
    <w:rsid w:val="007175F5"/>
    <w:rsid w:val="00725760"/>
    <w:rsid w:val="0072638A"/>
    <w:rsid w:val="00726642"/>
    <w:rsid w:val="00732B66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0D7E"/>
    <w:rsid w:val="007C24A1"/>
    <w:rsid w:val="007C61D1"/>
    <w:rsid w:val="007D1740"/>
    <w:rsid w:val="007D3BA5"/>
    <w:rsid w:val="007E03E9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56955"/>
    <w:rsid w:val="00962F78"/>
    <w:rsid w:val="00965A0E"/>
    <w:rsid w:val="0096609F"/>
    <w:rsid w:val="009661CA"/>
    <w:rsid w:val="00971600"/>
    <w:rsid w:val="009808EA"/>
    <w:rsid w:val="00984342"/>
    <w:rsid w:val="00986837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971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06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1CF7"/>
    <w:rsid w:val="00AB41FC"/>
    <w:rsid w:val="00AB7D2F"/>
    <w:rsid w:val="00AC1D8B"/>
    <w:rsid w:val="00AC24B1"/>
    <w:rsid w:val="00AC260E"/>
    <w:rsid w:val="00AC2D80"/>
    <w:rsid w:val="00AC36F9"/>
    <w:rsid w:val="00AD145D"/>
    <w:rsid w:val="00AD20E6"/>
    <w:rsid w:val="00AD6F34"/>
    <w:rsid w:val="00AE020D"/>
    <w:rsid w:val="00AE084B"/>
    <w:rsid w:val="00AE2B1E"/>
    <w:rsid w:val="00AF0AAB"/>
    <w:rsid w:val="00AF156F"/>
    <w:rsid w:val="00AF616B"/>
    <w:rsid w:val="00B00603"/>
    <w:rsid w:val="00B034AD"/>
    <w:rsid w:val="00B0685B"/>
    <w:rsid w:val="00B0721E"/>
    <w:rsid w:val="00B148E8"/>
    <w:rsid w:val="00B20BA1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5C4F"/>
    <w:rsid w:val="00B67499"/>
    <w:rsid w:val="00B73843"/>
    <w:rsid w:val="00B73B0E"/>
    <w:rsid w:val="00B73EA8"/>
    <w:rsid w:val="00B75B52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5A0D"/>
    <w:rsid w:val="00CF6C5C"/>
    <w:rsid w:val="00D004F0"/>
    <w:rsid w:val="00D008F9"/>
    <w:rsid w:val="00D05E7D"/>
    <w:rsid w:val="00D06F59"/>
    <w:rsid w:val="00D071AB"/>
    <w:rsid w:val="00D159F4"/>
    <w:rsid w:val="00D20E57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85A22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C064A"/>
    <w:rsid w:val="00EC42F5"/>
    <w:rsid w:val="00EC6620"/>
    <w:rsid w:val="00EC72E9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606E1"/>
    <w:rsid w:val="00F60CA3"/>
    <w:rsid w:val="00F63723"/>
    <w:rsid w:val="00F65091"/>
    <w:rsid w:val="00F6739D"/>
    <w:rsid w:val="00F67919"/>
    <w:rsid w:val="00F67B5B"/>
    <w:rsid w:val="00F70107"/>
    <w:rsid w:val="00F71652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D2869"/>
    <w:rsid w:val="00FD5EE5"/>
    <w:rsid w:val="00FD72A6"/>
    <w:rsid w:val="00FE09C9"/>
    <w:rsid w:val="00FE1658"/>
    <w:rsid w:val="00FE1887"/>
    <w:rsid w:val="00FE3DB1"/>
    <w:rsid w:val="00FE415C"/>
    <w:rsid w:val="108219C2"/>
    <w:rsid w:val="11FF4D7F"/>
    <w:rsid w:val="1B792BF1"/>
    <w:rsid w:val="23A764D6"/>
    <w:rsid w:val="41D53A0B"/>
    <w:rsid w:val="5EA12B9A"/>
    <w:rsid w:val="62321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页眉 Char"/>
    <w:basedOn w:val="12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4030</Words>
  <Characters>4228</Characters>
  <Lines>37</Lines>
  <Paragraphs>10</Paragraphs>
  <TotalTime>1</TotalTime>
  <ScaleCrop>false</ScaleCrop>
  <LinksUpToDate>false</LinksUpToDate>
  <CharactersWithSpaces>4339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2022-12-30T03:18:37Z</dcterms:modified>
  <cp:revision>1074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4BB4457ED32542C1BE8E6762049980B2</vt:lpwstr>
  </property>
</Properties>
</file>