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重庆兰阀流体控制设备有限公司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采购部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杨健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rPr>
                <w:rFonts w:hint="eastAsia" w:eastAsia="宋体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查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供方年度绩效评价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eastAsia="zh-CN"/>
              </w:rPr>
              <w:t>不能提供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罗托克贸易（上海）有限公司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的评价资料</w:t>
            </w: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，不符合标准要求。</w:t>
            </w:r>
          </w:p>
          <w:p>
            <w:pPr>
              <w:spacing w:before="120" w:line="360" w:lineRule="auto"/>
              <w:ind w:firstLine="210" w:firstLineChars="1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ind w:firstLine="221" w:firstLineChars="100"/>
              <w:rPr>
                <w:rFonts w:hint="default" w:ascii="宋体" w:hAnsi="宋体"/>
                <w:b/>
                <w:sz w:val="22"/>
                <w:szCs w:val="22"/>
                <w:lang w:val="en-US" w:eastAsia="zh-CN"/>
              </w:rPr>
            </w:pPr>
            <w:bookmarkStart w:id="7" w:name="_GoBack"/>
            <w:bookmarkEnd w:id="7"/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“组织应基于外部供方按照耍求提供过程、产品和服务的能力，确定并实施对外部供方的评价、选择、绩效监视以及再评价的准则。 对于这些活动和由评价引发的任何必要的措施，组织应保留成文信息。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”的要求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8A2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2020-01-14T12:31:55Z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