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14"/>
        <w:gridCol w:w="81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酒钢（集团）宏联自控有限责任公司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1364-2021-EO-2022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甘肃省嘉峪关市五一中路7号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杨高基</w:t>
            </w:r>
            <w:bookmarkEnd w:id="3"/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甘肃省嘉峪关市五一中路7号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18009478933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5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E：高、低压开关设备的设计、生产及安装、调试售后服务，资质范围内的电力工程、机电工程施工总承包所涉及场所的相关环境管理活动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O：高、低压开关设备的设计、生产及安装、调试售后服务，资质范围内的电力工程、机电工程施工总承包所涉及场所的相关职业健康安全管理活动；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E19.09.02;28.04.02;28.07.03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O19.09.02;28.04.02;28.07.03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E:120,O:120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before="120"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方正仿宋简体" w:eastAsia="方正仿宋简体"/>
                <w:b/>
              </w:rPr>
              <w:t>安全环保部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李俐         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抽查了：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酒钢集团本部 1、21号焦炉优化升级建设项目外部公11辅系统焦煤输送改造分项电气施工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储运部嘉东料场绿色智能化改造项目料场改造分项原矿10kv开关站标段施工总承包项目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工程部、8.5.1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：安全环保部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1AE534E4"/>
    <w:rsid w:val="2B6C181A"/>
    <w:rsid w:val="4C8A3BEF"/>
    <w:rsid w:val="68B43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2023-01-14T23:21:25Z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