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highlight w:val="none"/>
          <w:u w:val="single"/>
        </w:rPr>
        <w:t>1295-2022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85"/>
        <w:gridCol w:w="155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广东擎鼎科技有限公司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成型部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万能工具显微镜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1005723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Nikon MM-40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=10μm，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量块（10-91.8）mm4等2级；工具显微镜测量仪MPE：±2μm；行程精度标准尺±0.001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惠州台证仪器检测服务有限公司东莞分公司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2022年05月13日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成型部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数显高度计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11133440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ID-C125MXB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=1.5μm，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量块（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0.5-25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 3等1级；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量块（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1-25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 3等1级；斜块式测微仪检定器MPE：0.8μm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惠州台证仪器检测服务有限公司东莞分公司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2022年05月13日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模具零件部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19310298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mm,0.01mm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=10μm，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量块（10-141.8）mm4等2级；数显千分尺（0-25.4）mmMPE：±2μm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惠州台证仪器检测服务有限公司东莞分公司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2022年05月13日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模具零件部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数显千分尺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103-137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0-25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mm,0.001mm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=1.1μm，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千分尺专用量块（0-100）mm 4等2级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惠州台证仪器检测服务有限公司东莞分公司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2022年05月13日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模具零件部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蔡司三次元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207329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CONTURA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=2.4μm，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量块（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1-100mm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3等1级；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量块（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125-500mm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3等1级；标准球φ24.9766mm 圆度：U=0.10μm（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=2）标准球φ15.8751mm 圆度：U=0.10μm（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惠州台证仪器检测服务有限公司东莞分公司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2022年05月13日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模具零件部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表面粗糙度检测仪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178-560-01D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0.01mm，300mm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=10μm，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量块（10-291.8）mm 4等2级；粗糙度样板（0-25.4）mm MPE：±2μm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惠州台证仪器检测服务有限公司东莞分公司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2022年05月13日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模具零件部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洛氏硬度计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0774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HR-150A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=0.9，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标准金属洛氏硬度块（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20-88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HRA：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=0.9HRA；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标准金属洛氏硬度块（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20-100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HRBW：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=0.9HRBW；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标准金属洛氏硬度块（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20-70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HRC：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=0.9HRC；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惠州台证仪器检测服务有限公司东莞分公司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2022年05月13日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公司已制定《计量确认管理程序》、《外部供方管理程序》，《溯源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管理程序》，公司未建最高计量标准，测量设备由品质管理TQM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惠州台证仪器检测服务有限公司东莞分公司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检定/校准，校准/检定证书由质管理TQM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  <w:bookmarkStart w:id="1" w:name="_GoBack"/>
            <w:bookmarkEnd w:id="1"/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284480</wp:posOffset>
                  </wp:positionV>
                  <wp:extent cx="772795" cy="381000"/>
                  <wp:effectExtent l="0" t="0" r="0" b="0"/>
                  <wp:wrapNone/>
                  <wp:docPr id="1" name="图片 6" descr="00441cf01cd4ae4ee624cccd5c42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00441cf01cd4ae4ee624cccd5c4222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5ZDE1OWVlMjhiYjJlOTUwNjA4YTM1OTU2NjQwZGQifQ=="/>
  </w:docVars>
  <w:rsids>
    <w:rsidRoot w:val="00000000"/>
    <w:rsid w:val="04651754"/>
    <w:rsid w:val="046B1E68"/>
    <w:rsid w:val="06A77064"/>
    <w:rsid w:val="20116EEE"/>
    <w:rsid w:val="233B037C"/>
    <w:rsid w:val="27B01338"/>
    <w:rsid w:val="2D2818F4"/>
    <w:rsid w:val="34D50630"/>
    <w:rsid w:val="39F07CBA"/>
    <w:rsid w:val="48AB1D80"/>
    <w:rsid w:val="58B2555A"/>
    <w:rsid w:val="5E767EDE"/>
    <w:rsid w:val="601259E5"/>
    <w:rsid w:val="635F7193"/>
    <w:rsid w:val="651D15DC"/>
    <w:rsid w:val="69B44C96"/>
    <w:rsid w:val="726A2B3A"/>
    <w:rsid w:val="726A4B67"/>
    <w:rsid w:val="72E70F53"/>
    <w:rsid w:val="79796B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836</Words>
  <Characters>1207</Characters>
  <Lines>3</Lines>
  <Paragraphs>1</Paragraphs>
  <TotalTime>1</TotalTime>
  <ScaleCrop>false</ScaleCrop>
  <LinksUpToDate>false</LinksUpToDate>
  <CharactersWithSpaces>1265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知足常乐</cp:lastModifiedBy>
  <dcterms:modified xsi:type="dcterms:W3CDTF">2022-12-27T23:53:58Z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EEA2E4375E4E43A590031EBF739C74A5</vt:lpwstr>
  </property>
</Properties>
</file>