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ascii="宋体" w:hAnsi="宋体"/>
                <w:sz w:val="21"/>
                <w:szCs w:val="21"/>
              </w:rPr>
              <w:t>管理层</w:t>
            </w:r>
            <w:r>
              <w:rPr>
                <w:rFonts w:hint="eastAsia"/>
                <w:sz w:val="24"/>
                <w:szCs w:val="24"/>
                <w:lang w:val="en-US" w:eastAsia="zh-CN"/>
              </w:rPr>
              <w:t xml:space="preserve">     </w:t>
            </w:r>
            <w:r>
              <w:rPr>
                <w:rFonts w:hint="eastAsia"/>
                <w:sz w:val="24"/>
                <w:szCs w:val="24"/>
              </w:rPr>
              <w:t>主管领导：</w:t>
            </w:r>
            <w:r>
              <w:rPr>
                <w:rFonts w:hint="eastAsia" w:ascii="宋体" w:hAnsi="宋体" w:eastAsia="宋体"/>
                <w:sz w:val="21"/>
                <w:szCs w:val="21"/>
                <w:lang w:eastAsia="zh-CN"/>
              </w:rPr>
              <w:t>勾浩</w:t>
            </w:r>
            <w:r>
              <w:rPr>
                <w:rFonts w:hint="eastAsia" w:ascii="宋体" w:hAnsi="宋体" w:eastAsia="宋体"/>
                <w:sz w:val="21"/>
                <w:szCs w:val="21"/>
                <w:lang w:val="en-US" w:eastAsia="zh-CN"/>
              </w:rPr>
              <w:t xml:space="preserve">\肖敏\ 李红梅 </w:t>
            </w:r>
            <w:r>
              <w:rPr>
                <w:rFonts w:hint="eastAsia"/>
                <w:sz w:val="24"/>
                <w:szCs w:val="24"/>
                <w:lang w:val="en-US" w:eastAsia="zh-CN"/>
              </w:rPr>
              <w:t xml:space="preserve">   </w:t>
            </w:r>
            <w:r>
              <w:rPr>
                <w:rFonts w:hint="eastAsia"/>
                <w:sz w:val="24"/>
                <w:szCs w:val="24"/>
              </w:rPr>
              <w:t>陪同人员：</w:t>
            </w:r>
            <w:r>
              <w:rPr>
                <w:rFonts w:hint="eastAsia" w:ascii="宋体" w:hAnsi="宋体" w:eastAsia="宋体"/>
                <w:sz w:val="21"/>
                <w:szCs w:val="21"/>
                <w:lang w:val="en-US" w:eastAsia="zh-CN"/>
              </w:rPr>
              <w:t>肖敏</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bookmarkStart w:id="0" w:name="审核组成员不含组长"/>
            <w:r>
              <w:rPr>
                <w:rFonts w:hint="eastAsia"/>
                <w:sz w:val="24"/>
                <w:szCs w:val="24"/>
              </w:rPr>
              <w:t>周文</w:t>
            </w:r>
            <w:bookmarkEnd w:id="0"/>
            <w:r>
              <w:rPr>
                <w:rFonts w:hint="eastAsia"/>
                <w:sz w:val="24"/>
                <w:szCs w:val="24"/>
                <w:lang w:val="en-US" w:eastAsia="zh-CN"/>
              </w:rPr>
              <w:t xml:space="preserve">/远程、微信      </w:t>
            </w:r>
            <w:r>
              <w:rPr>
                <w:rFonts w:hint="eastAsia"/>
                <w:sz w:val="24"/>
                <w:szCs w:val="24"/>
              </w:rPr>
              <w:t>审核时间：</w:t>
            </w:r>
            <w:bookmarkStart w:id="1" w:name="审核日期"/>
            <w:r>
              <w:t>2022年</w:t>
            </w:r>
            <w:r>
              <w:rPr>
                <w:rFonts w:hint="eastAsia"/>
                <w:lang w:val="en-US" w:eastAsia="zh-CN"/>
              </w:rPr>
              <w:t xml:space="preserve">12   </w:t>
            </w:r>
            <w:r>
              <w:t>月</w:t>
            </w:r>
            <w:r>
              <w:rPr>
                <w:rFonts w:hint="eastAsia"/>
                <w:lang w:val="en-US" w:eastAsia="zh-CN"/>
              </w:rPr>
              <w:t xml:space="preserve"> 31   </w:t>
            </w:r>
            <w:r>
              <w:t xml:space="preserve">日 </w:t>
            </w:r>
            <w:bookmarkEnd w:id="1"/>
            <w:r>
              <w:rPr>
                <w:rFonts w:hint="eastAsia"/>
                <w:lang w:val="en-US" w:eastAsia="zh-CN"/>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pacing w:line="300" w:lineRule="exact"/>
              <w:rPr>
                <w:rFonts w:hint="eastAsia" w:ascii="宋体" w:hAnsi="宋体"/>
                <w:b/>
                <w:bCs/>
                <w:sz w:val="21"/>
                <w:szCs w:val="21"/>
                <w:lang w:val="en-US" w:eastAsia="zh-CN"/>
              </w:rPr>
            </w:pPr>
            <w:r>
              <w:rPr>
                <w:rFonts w:hint="eastAsia"/>
                <w:sz w:val="24"/>
                <w:szCs w:val="24"/>
              </w:rPr>
              <w:t>审核条款：</w:t>
            </w:r>
          </w:p>
          <w:p>
            <w:pPr>
              <w:spacing w:line="300" w:lineRule="exact"/>
              <w:rPr>
                <w:rFonts w:ascii="宋体" w:hAnsi="宋体" w:cs="新宋体"/>
                <w:sz w:val="21"/>
                <w:szCs w:val="21"/>
              </w:rPr>
            </w:pPr>
            <w:r>
              <w:rPr>
                <w:rFonts w:hint="eastAsia" w:ascii="宋体" w:hAnsi="宋体" w:cs="新宋体"/>
                <w:sz w:val="21"/>
                <w:szCs w:val="21"/>
              </w:rPr>
              <w:t>QMS ：4.1组织及其环境;4.2相关方需求与期望;4.3确定体系范围;4.4体系及其过程;5.1领导作用与承诺;5.2方针;5.3组织的角色、职责和权限；6.1应对风险和机遇的措施；6.2目标及其实现的策划；6.3变更的策划；7.1.1资源 总则；9.1.1监测、分析和评价总则；9.3管理评审；10.1改进 总则；10.3持续改进；</w:t>
            </w:r>
          </w:p>
          <w:p>
            <w:pPr>
              <w:spacing w:line="300" w:lineRule="exact"/>
              <w:rPr>
                <w:sz w:val="21"/>
                <w:szCs w:val="21"/>
              </w:rPr>
            </w:pPr>
          </w:p>
          <w:p>
            <w:pPr>
              <w:spacing w:line="300" w:lineRule="exact"/>
              <w:rPr>
                <w:sz w:val="21"/>
                <w:szCs w:val="21"/>
              </w:rPr>
            </w:pPr>
            <w:r>
              <w:rPr>
                <w:rFonts w:hint="eastAsia"/>
                <w:sz w:val="21"/>
                <w:szCs w:val="21"/>
              </w:rPr>
              <w:t>EMS：4.1组织及其环境;4.2相关方需求与期望;4.3确定体系范围;4.4体系;5.1领导作用与承诺;5.2方针;5.3组织的角色、职责和权限；6.1.1策划总则；6.1.4措施的策划；6.2目标及其实现的策划；7.1资源；9.1.1监测、分析和评估总则；9.3管理评审；10.1改进 总则；10.3持续改进。</w:t>
            </w:r>
          </w:p>
          <w:p>
            <w:pPr>
              <w:spacing w:line="300" w:lineRule="exact"/>
              <w:rPr>
                <w:rFonts w:ascii="宋体" w:hAnsi="宋体" w:cs="新宋体"/>
                <w:sz w:val="21"/>
                <w:szCs w:val="21"/>
              </w:rPr>
            </w:pPr>
            <w:r>
              <w:rPr>
                <w:rFonts w:hint="eastAsia" w:ascii="宋体" w:hAnsi="宋体" w:cs="新宋体"/>
                <w:sz w:val="21"/>
                <w:szCs w:val="21"/>
              </w:rPr>
              <w:t>OHSMS：4.1组织及其环境;4.2相关方需求与期望;4.3确定体系范围;4.4体系;5.1领导作用与承诺;5.2方针;5.3组织的角色、职责和权限；5.4工作人员的协商和参与；6.1应对风险和机遇的措施；6.1.4措施的策划；6.2目标及其实现的策划；7.1资源；9.1监视、测量、分析和评价；9.3管理评审；10.1事件、不符合和纠正措施；10.3持续改进。</w:t>
            </w:r>
          </w:p>
          <w:p>
            <w:pPr>
              <w:snapToGrid w:val="0"/>
              <w:spacing w:line="240" w:lineRule="exact"/>
              <w:rPr>
                <w:rFonts w:ascii="宋体" w:hAnsi="宋体" w:cs="新宋体"/>
                <w:sz w:val="21"/>
                <w:szCs w:val="21"/>
              </w:rPr>
            </w:pPr>
          </w:p>
          <w:p>
            <w:pPr>
              <w:rPr>
                <w:sz w:val="24"/>
                <w:szCs w:val="24"/>
              </w:rPr>
            </w:pPr>
            <w:r>
              <w:rPr>
                <w:rFonts w:hint="eastAsia" w:ascii="宋体" w:hAnsi="宋体" w:cs="宋体"/>
                <w:color w:val="auto"/>
                <w:sz w:val="21"/>
                <w:szCs w:val="21"/>
              </w:rPr>
              <w:t>范围的确认，资质的确认，法律法规执行情况，重大质量事故，及顾客投诉和质量监督抽查情况，环境安全投诉，一阶段问题验证。</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eastAsia" w:eastAsia="宋体"/>
                <w:lang w:eastAsia="zh-CN"/>
              </w:rPr>
            </w:pPr>
            <w:r>
              <w:rPr>
                <w:rFonts w:hint="eastAsia" w:ascii="宋体" w:hAnsi="宋体" w:cs="新宋体"/>
                <w:sz w:val="21"/>
                <w:szCs w:val="21"/>
              </w:rPr>
              <w:t>组织及其环境;相关方需求与期望</w:t>
            </w:r>
            <w:r>
              <w:rPr>
                <w:rFonts w:hint="eastAsia" w:ascii="宋体" w:hAnsi="宋体" w:cs="新宋体"/>
                <w:sz w:val="21"/>
                <w:szCs w:val="21"/>
                <w:lang w:eastAsia="zh-CN"/>
              </w:rPr>
              <w:t>；</w:t>
            </w:r>
            <w:r>
              <w:rPr>
                <w:rFonts w:hint="eastAsia" w:ascii="宋体" w:hAnsi="宋体" w:cs="新宋体"/>
                <w:sz w:val="21"/>
                <w:szCs w:val="21"/>
              </w:rPr>
              <w:t>应对风险和机遇的措施；</w:t>
            </w:r>
          </w:p>
        </w:tc>
        <w:tc>
          <w:tcPr>
            <w:tcW w:w="960" w:type="dxa"/>
          </w:tcPr>
          <w:p>
            <w:pPr>
              <w:rPr>
                <w:rFonts w:hint="default" w:eastAsia="宋体"/>
                <w:lang w:val="en-US" w:eastAsia="zh-CN"/>
              </w:rPr>
            </w:pPr>
            <w:r>
              <w:rPr>
                <w:rFonts w:hint="eastAsia"/>
                <w:sz w:val="21"/>
                <w:szCs w:val="21"/>
                <w:lang w:val="en-US" w:eastAsia="zh-CN"/>
              </w:rPr>
              <w:t>QES4.1、4.2、6.1；</w:t>
            </w:r>
          </w:p>
        </w:tc>
        <w:tc>
          <w:tcPr>
            <w:tcW w:w="10004" w:type="dxa"/>
          </w:tcPr>
          <w:p>
            <w:pPr>
              <w:rPr>
                <w:rFonts w:hint="eastAsia"/>
                <w:lang w:val="en-US" w:eastAsia="zh-CN"/>
              </w:rPr>
            </w:pPr>
            <w:r>
              <w:rPr>
                <w:rFonts w:hint="eastAsia"/>
                <w:lang w:val="en-US" w:eastAsia="zh-CN"/>
              </w:rPr>
              <w:t>总经理：</w:t>
            </w:r>
            <w:r>
              <w:rPr>
                <w:rFonts w:hint="eastAsia" w:ascii="宋体" w:hAnsi="宋体" w:eastAsia="宋体"/>
                <w:sz w:val="21"/>
                <w:szCs w:val="21"/>
                <w:lang w:eastAsia="zh-CN"/>
              </w:rPr>
              <w:t>勾浩</w:t>
            </w:r>
            <w:r>
              <w:rPr>
                <w:rFonts w:hint="eastAsia"/>
                <w:lang w:eastAsia="zh-CN"/>
              </w:rPr>
              <w:t>；</w:t>
            </w:r>
            <w:r>
              <w:rPr>
                <w:rFonts w:hint="eastAsia"/>
                <w:lang w:val="en-US" w:eastAsia="zh-CN"/>
              </w:rPr>
              <w:t>管代：</w:t>
            </w:r>
            <w:r>
              <w:rPr>
                <w:rFonts w:hint="eastAsia" w:ascii="宋体" w:hAnsi="宋体" w:eastAsia="宋体"/>
                <w:sz w:val="21"/>
                <w:szCs w:val="21"/>
                <w:lang w:val="en-US" w:eastAsia="zh-CN"/>
              </w:rPr>
              <w:t>肖敏</w:t>
            </w:r>
            <w:r>
              <w:rPr>
                <w:rFonts w:hint="eastAsia"/>
                <w:lang w:eastAsia="zh-CN"/>
              </w:rPr>
              <w:t>；</w:t>
            </w:r>
            <w:r>
              <w:rPr>
                <w:rFonts w:hint="eastAsia"/>
                <w:lang w:val="en-US" w:eastAsia="zh-CN"/>
              </w:rPr>
              <w:t>员工代表：</w:t>
            </w:r>
            <w:r>
              <w:rPr>
                <w:rFonts w:hint="eastAsia" w:ascii="宋体" w:hAnsi="宋体" w:eastAsia="宋体"/>
                <w:sz w:val="21"/>
                <w:szCs w:val="21"/>
                <w:lang w:val="en-US" w:eastAsia="zh-CN"/>
              </w:rPr>
              <w:t xml:space="preserve">李红梅 </w:t>
            </w:r>
            <w:r>
              <w:rPr>
                <w:rFonts w:hint="eastAsia"/>
                <w:lang w:val="en-US" w:eastAsia="zh-CN"/>
              </w:rPr>
              <w:t>；</w:t>
            </w:r>
          </w:p>
          <w:p>
            <w:pPr>
              <w:pStyle w:val="15"/>
              <w:spacing w:line="240" w:lineRule="auto"/>
              <w:ind w:firstLine="420" w:firstLineChars="200"/>
              <w:rPr>
                <w:rFonts w:hint="eastAsia" w:ascii="Times New Roman" w:hAnsi="Times New Roman"/>
                <w:sz w:val="21"/>
                <w:szCs w:val="21"/>
              </w:rPr>
            </w:pPr>
            <w:r>
              <w:rPr>
                <w:rFonts w:hint="eastAsia" w:ascii="Times New Roman" w:hAnsi="Times New Roman"/>
                <w:sz w:val="21"/>
                <w:szCs w:val="21"/>
                <w:lang w:val="en-US" w:eastAsia="zh-CN"/>
              </w:rPr>
              <w:t>管代</w:t>
            </w:r>
            <w:r>
              <w:rPr>
                <w:rFonts w:hint="eastAsia" w:ascii="宋体" w:hAnsi="宋体" w:eastAsia="宋体"/>
                <w:sz w:val="21"/>
                <w:szCs w:val="21"/>
                <w:lang w:val="en-US" w:eastAsia="zh-CN"/>
              </w:rPr>
              <w:t>肖敏</w:t>
            </w:r>
            <w:r>
              <w:rPr>
                <w:rFonts w:hint="eastAsia" w:ascii="Times New Roman" w:hAnsi="Times New Roman"/>
                <w:sz w:val="21"/>
                <w:szCs w:val="21"/>
                <w:lang w:val="en-US" w:eastAsia="zh-CN"/>
              </w:rPr>
              <w:t>介绍，</w:t>
            </w:r>
            <w:r>
              <w:rPr>
                <w:rFonts w:hint="eastAsia" w:ascii="Times New Roman" w:hAnsi="Times New Roman"/>
                <w:sz w:val="21"/>
                <w:szCs w:val="21"/>
                <w:lang w:eastAsia="zh-CN"/>
              </w:rPr>
              <w:t>北川羌族自治县宏浩建筑材料有限公司是一家从事加工销售,施工设计等业务的公司，成立于2008年09月05日，公司坐落在四川省，详细地址为：北川羌族自治县安昌镇群联村;经国家企业信用信息公示系统查询得知，北川羌族自治县宏浩建筑材料有限公司的信用代码/税号为91510726678389814Q，法人是勾浩，注册资本为200.000000万人民币，企业的经营范围为:国家政策允许的建筑材料生产、加工、销售；取得建筑资质等级证书的建筑工程承包、施工、设计。</w:t>
            </w:r>
            <w:r>
              <w:rPr>
                <w:rFonts w:hint="eastAsia" w:ascii="Times New Roman" w:hAnsi="Times New Roman"/>
                <w:sz w:val="21"/>
                <w:szCs w:val="21"/>
              </w:rPr>
              <w:t>公司</w:t>
            </w:r>
            <w:r>
              <w:rPr>
                <w:rFonts w:hint="eastAsia" w:ascii="Times New Roman" w:hAnsi="Times New Roman"/>
                <w:sz w:val="21"/>
                <w:szCs w:val="21"/>
                <w:lang w:val="en-US" w:eastAsia="zh-CN"/>
              </w:rPr>
              <w:t>于2022年7月1日</w:t>
            </w:r>
            <w:r>
              <w:rPr>
                <w:rFonts w:hint="eastAsia" w:ascii="Times New Roman" w:hAnsi="Times New Roman"/>
                <w:sz w:val="21"/>
                <w:szCs w:val="21"/>
              </w:rPr>
              <w:t>依据GB/T19001-2015 idt ISO9001：2015《质量管理体系  要求》</w:t>
            </w:r>
            <w:r>
              <w:rPr>
                <w:rFonts w:hint="eastAsia" w:ascii="Times New Roman" w:hAnsi="Times New Roman"/>
                <w:sz w:val="21"/>
                <w:szCs w:val="21"/>
                <w:lang w:eastAsia="zh-CN"/>
              </w:rPr>
              <w:t>、</w:t>
            </w:r>
            <w:r>
              <w:rPr>
                <w:rFonts w:hint="eastAsia" w:ascii="Times New Roman" w:hAnsi="Times New Roman"/>
                <w:sz w:val="21"/>
                <w:szCs w:val="21"/>
              </w:rPr>
              <w:t>GB/T24001-2015 idt ISO14001：2015《环境管理体系  要求及使用指南》</w:t>
            </w:r>
            <w:r>
              <w:rPr>
                <w:rFonts w:hint="eastAsia" w:ascii="Times New Roman" w:hAnsi="Times New Roman"/>
                <w:sz w:val="21"/>
                <w:szCs w:val="21"/>
                <w:lang w:eastAsia="zh-CN"/>
              </w:rPr>
              <w:t>、GB/T45001-2020/ISO45001:20</w:t>
            </w:r>
            <w:r>
              <w:rPr>
                <w:rFonts w:hint="eastAsia" w:ascii="Times New Roman" w:hAnsi="Times New Roman"/>
                <w:sz w:val="21"/>
                <w:szCs w:val="21"/>
                <w:lang w:val="en-US" w:eastAsia="zh-CN"/>
              </w:rPr>
              <w:t>20</w:t>
            </w:r>
            <w:r>
              <w:rPr>
                <w:rFonts w:hint="eastAsia" w:ascii="Times New Roman" w:hAnsi="Times New Roman"/>
                <w:sz w:val="21"/>
                <w:szCs w:val="21"/>
              </w:rPr>
              <w:t>《职业健康安全管理体系 要求及使用指南》，结合本公司的实际情况和产品特性</w:t>
            </w:r>
            <w:r>
              <w:rPr>
                <w:rFonts w:hint="eastAsia" w:ascii="Times New Roman" w:hAnsi="Times New Roman"/>
                <w:sz w:val="21"/>
                <w:szCs w:val="21"/>
                <w:lang w:eastAsia="zh-CN"/>
              </w:rPr>
              <w:t>，</w:t>
            </w:r>
            <w:r>
              <w:rPr>
                <w:rFonts w:hint="eastAsia" w:ascii="Times New Roman" w:hAnsi="Times New Roman"/>
                <w:sz w:val="21"/>
                <w:szCs w:val="21"/>
              </w:rPr>
              <w:t>建立</w:t>
            </w:r>
            <w:r>
              <w:rPr>
                <w:rFonts w:hint="eastAsia" w:ascii="Times New Roman" w:hAnsi="Times New Roman"/>
                <w:sz w:val="21"/>
                <w:szCs w:val="21"/>
                <w:lang w:eastAsia="zh-CN"/>
              </w:rPr>
              <w:t>、</w:t>
            </w:r>
            <w:r>
              <w:rPr>
                <w:rFonts w:hint="eastAsia" w:ascii="Times New Roman" w:hAnsi="Times New Roman"/>
                <w:sz w:val="21"/>
                <w:szCs w:val="21"/>
                <w:lang w:val="en-US" w:eastAsia="zh-CN"/>
              </w:rPr>
              <w:t>实施、保持和持续改进</w:t>
            </w:r>
            <w:r>
              <w:rPr>
                <w:rFonts w:hint="eastAsia" w:ascii="Times New Roman" w:hAnsi="Times New Roman"/>
                <w:sz w:val="21"/>
                <w:szCs w:val="21"/>
              </w:rPr>
              <w:t>了质量</w:t>
            </w:r>
            <w:r>
              <w:rPr>
                <w:rFonts w:hint="eastAsia" w:ascii="Times New Roman" w:hAnsi="Times New Roman"/>
                <w:sz w:val="21"/>
                <w:szCs w:val="21"/>
                <w:lang w:eastAsia="zh-CN"/>
              </w:rPr>
              <w:t>、</w:t>
            </w:r>
            <w:r>
              <w:rPr>
                <w:rFonts w:hint="eastAsia" w:ascii="Times New Roman" w:hAnsi="Times New Roman"/>
                <w:sz w:val="21"/>
                <w:szCs w:val="21"/>
                <w:lang w:val="en-US" w:eastAsia="zh-CN"/>
              </w:rPr>
              <w:t>环境、职业健康安全一体化管理</w:t>
            </w:r>
            <w:r>
              <w:rPr>
                <w:rFonts w:hint="eastAsia" w:ascii="Times New Roman" w:hAnsi="Times New Roman"/>
                <w:sz w:val="21"/>
                <w:szCs w:val="21"/>
              </w:rPr>
              <w:t>体系，确保在满足国家法规的基础上为客户提供优质的产品和完善的服务。</w:t>
            </w:r>
          </w:p>
          <w:p>
            <w:pPr>
              <w:pStyle w:val="15"/>
              <w:spacing w:line="240" w:lineRule="auto"/>
              <w:ind w:firstLine="420" w:firstLineChars="200"/>
              <w:rPr>
                <w:rFonts w:hint="eastAsia" w:ascii="Times New Roman" w:hAnsi="Times New Roman"/>
                <w:sz w:val="21"/>
                <w:szCs w:val="21"/>
              </w:rPr>
            </w:pPr>
            <w:r>
              <w:rPr>
                <w:rFonts w:hint="eastAsia" w:ascii="Times New Roman" w:hAnsi="Times New Roman"/>
                <w:sz w:val="21"/>
                <w:szCs w:val="21"/>
              </w:rPr>
              <w:t>根据顾客要求、企业的经验和资源状况，以过程方法模式，识别公司的管理体系所需的过程。采用PDCA循环的管理方法。重点识别生活垃圾焚烧发电及相关环境</w:t>
            </w:r>
            <w:r>
              <w:rPr>
                <w:rFonts w:hint="eastAsia" w:ascii="Times New Roman" w:hAnsi="Times New Roman"/>
                <w:sz w:val="21"/>
                <w:szCs w:val="21"/>
                <w:lang w:eastAsia="zh-CN"/>
              </w:rPr>
              <w:t>、</w:t>
            </w:r>
            <w:r>
              <w:rPr>
                <w:rFonts w:hint="eastAsia" w:ascii="Times New Roman" w:hAnsi="Times New Roman"/>
                <w:sz w:val="21"/>
                <w:szCs w:val="21"/>
                <w:lang w:val="en-US" w:eastAsia="zh-CN"/>
              </w:rPr>
              <w:t>职业健康安全</w:t>
            </w:r>
            <w:r>
              <w:rPr>
                <w:rFonts w:hint="eastAsia" w:ascii="Times New Roman" w:hAnsi="Times New Roman"/>
                <w:sz w:val="21"/>
                <w:szCs w:val="21"/>
              </w:rPr>
              <w:t>管理活动实现过程、关键过程及其相互作用。通过把管理的过程方法原则和系统方法原理相结合，实现企业的全面管理。</w:t>
            </w:r>
          </w:p>
          <w:p>
            <w:pPr>
              <w:pStyle w:val="15"/>
              <w:spacing w:line="240" w:lineRule="auto"/>
              <w:ind w:firstLine="420" w:firstLineChars="200"/>
              <w:rPr>
                <w:rFonts w:hint="eastAsia" w:ascii="Times New Roman" w:hAnsi="Times New Roman"/>
                <w:sz w:val="21"/>
                <w:szCs w:val="21"/>
              </w:rPr>
            </w:pPr>
          </w:p>
          <w:p>
            <w:pPr>
              <w:pStyle w:val="15"/>
              <w:spacing w:line="240" w:lineRule="auto"/>
              <w:rPr>
                <w:rFonts w:hint="default" w:ascii="Times New Roman" w:hAnsi="Times New Roman"/>
                <w:sz w:val="21"/>
                <w:szCs w:val="21"/>
                <w:lang w:val="en-US" w:eastAsia="zh-CN"/>
              </w:rPr>
            </w:pPr>
            <w:r>
              <w:rPr>
                <w:rFonts w:hint="eastAsia" w:ascii="Times New Roman" w:hAnsi="Times New Roman"/>
                <w:sz w:val="21"/>
                <w:szCs w:val="21"/>
                <w:lang w:val="en-US" w:eastAsia="zh-CN"/>
              </w:rPr>
              <w:t>---以顾客为关注焦点，对影响</w:t>
            </w:r>
            <w:r>
              <w:rPr>
                <w:rFonts w:hint="eastAsia" w:ascii="Times New Roman" w:hAnsi="Times New Roman"/>
                <w:sz w:val="21"/>
                <w:szCs w:val="21"/>
              </w:rPr>
              <w:t>公司</w:t>
            </w:r>
            <w:r>
              <w:rPr>
                <w:rFonts w:hint="eastAsia" w:ascii="Times New Roman" w:hAnsi="Times New Roman"/>
                <w:sz w:val="21"/>
                <w:szCs w:val="21"/>
                <w:lang w:val="en-US" w:eastAsia="zh-CN"/>
              </w:rPr>
              <w:t>管理体系预期结果的相关方进行了全面的识别和评价，</w:t>
            </w:r>
            <w:r>
              <w:rPr>
                <w:rFonts w:hint="eastAsia" w:ascii="Times New Roman" w:hAnsi="Times New Roman"/>
                <w:sz w:val="21"/>
                <w:szCs w:val="21"/>
              </w:rPr>
              <w:t>策划了</w:t>
            </w:r>
            <w:r>
              <w:rPr>
                <w:rFonts w:hint="eastAsia" w:ascii="Times New Roman" w:hAnsi="Times New Roman"/>
                <w:sz w:val="21"/>
                <w:szCs w:val="21"/>
                <w:lang w:eastAsia="zh-CN"/>
              </w:rPr>
              <w:t>“</w:t>
            </w:r>
            <w:r>
              <w:rPr>
                <w:rFonts w:hint="eastAsia" w:ascii="Times New Roman" w:hAnsi="Times New Roman"/>
                <w:sz w:val="21"/>
                <w:szCs w:val="21"/>
              </w:rPr>
              <w:t>组织环境分析控制程序</w:t>
            </w:r>
            <w:r>
              <w:rPr>
                <w:rFonts w:hint="eastAsia" w:ascii="Times New Roman" w:hAnsi="Times New Roman"/>
                <w:sz w:val="21"/>
                <w:szCs w:val="21"/>
                <w:lang w:eastAsia="zh-CN"/>
              </w:rPr>
              <w:t>”、“</w:t>
            </w:r>
            <w:r>
              <w:rPr>
                <w:rFonts w:hint="eastAsia" w:ascii="宋体" w:hAnsi="宋体" w:eastAsia="宋体" w:cs="Times New Roman"/>
              </w:rPr>
              <w:t>风险和机遇应对控制程序</w:t>
            </w:r>
            <w:r>
              <w:rPr>
                <w:rFonts w:hint="eastAsia" w:ascii="宋体" w:hAnsi="宋体" w:eastAsia="宋体" w:cs="Times New Roman"/>
                <w:lang w:eastAsia="zh-CN"/>
              </w:rPr>
              <w:t>”、</w:t>
            </w:r>
            <w:r>
              <w:rPr>
                <w:rFonts w:hint="eastAsia" w:ascii="Times New Roman" w:hAnsi="Times New Roman"/>
                <w:sz w:val="21"/>
                <w:szCs w:val="21"/>
                <w:lang w:eastAsia="zh-CN"/>
              </w:rPr>
              <w:t>“环境因素识别与评价控制程序”、“危险源识别及风险评价控制程序”、</w:t>
            </w:r>
            <w:r>
              <w:rPr>
                <w:rFonts w:hint="eastAsia" w:ascii="Times New Roman" w:hAnsi="Times New Roman"/>
                <w:sz w:val="21"/>
                <w:szCs w:val="21"/>
              </w:rPr>
              <w:t>“法律法规及其他要求控制程序”、“顾客投诉处理与满意度调查控制程序”</w:t>
            </w:r>
            <w:r>
              <w:rPr>
                <w:rFonts w:hint="eastAsia" w:ascii="Times New Roman" w:hAnsi="Times New Roman"/>
                <w:sz w:val="21"/>
                <w:szCs w:val="21"/>
                <w:lang w:val="en-US" w:eastAsia="zh-CN"/>
              </w:rPr>
              <w:t>等</w:t>
            </w:r>
            <w:r>
              <w:rPr>
                <w:rFonts w:hint="eastAsia" w:ascii="Times New Roman" w:hAnsi="Times New Roman"/>
                <w:sz w:val="21"/>
                <w:szCs w:val="21"/>
              </w:rPr>
              <w:t>。</w:t>
            </w:r>
          </w:p>
          <w:p>
            <w:pPr>
              <w:pStyle w:val="15"/>
              <w:spacing w:line="240" w:lineRule="auto"/>
              <w:ind w:firstLine="420" w:firstLineChars="200"/>
              <w:rPr>
                <w:rFonts w:hint="default" w:ascii="Times New Roman" w:hAnsi="Times New Roman"/>
                <w:sz w:val="21"/>
                <w:szCs w:val="21"/>
                <w:lang w:val="en-US" w:eastAsia="zh-CN"/>
              </w:rPr>
            </w:pPr>
            <w:r>
              <w:rPr>
                <w:rFonts w:hint="eastAsia" w:ascii="Times New Roman" w:hAnsi="Times New Roman"/>
                <w:sz w:val="21"/>
                <w:szCs w:val="21"/>
                <w:lang w:val="en-US" w:eastAsia="zh-CN"/>
              </w:rPr>
              <w:t>出示有“组织环境识别表”、“内外部环境分析报告”及“ 相关方的需求和期望清单”，基于风险的思维对可能导致对过程和预期结果产生影响的公司内外部的因素、风险和机遇及与管理体系有关的相关方的信息进行了监视与评审。</w:t>
            </w:r>
          </w:p>
          <w:p>
            <w:pPr>
              <w:pStyle w:val="15"/>
              <w:spacing w:line="240" w:lineRule="auto"/>
              <w:rPr>
                <w:rFonts w:hint="eastAsia"/>
                <w:sz w:val="21"/>
                <w:szCs w:val="21"/>
                <w:lang w:val="en-US" w:eastAsia="zh-CN"/>
              </w:rPr>
            </w:pPr>
            <w:r>
              <w:rPr>
                <w:rFonts w:hint="eastAsia"/>
                <w:sz w:val="21"/>
                <w:szCs w:val="21"/>
                <w:lang w:val="en-US" w:eastAsia="zh-CN"/>
              </w:rPr>
              <w:t>---核查“风险和机遇评估分析表”，编制/日期： 肖敏  2022-7-2 审批/日期：勾浩 2022-7-2；抽查：</w:t>
            </w:r>
          </w:p>
          <w:tbl>
            <w:tblPr>
              <w:tblStyle w:val="7"/>
              <w:tblpPr w:leftFromText="180" w:rightFromText="180" w:vertAnchor="text" w:horzAnchor="page" w:tblpX="879" w:tblpY="190"/>
              <w:tblOverlap w:val="never"/>
              <w:tblW w:w="953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59"/>
              <w:gridCol w:w="511"/>
              <w:gridCol w:w="725"/>
              <w:gridCol w:w="1546"/>
              <w:gridCol w:w="446"/>
              <w:gridCol w:w="418"/>
              <w:gridCol w:w="455"/>
              <w:gridCol w:w="400"/>
              <w:gridCol w:w="464"/>
              <w:gridCol w:w="2233"/>
              <w:gridCol w:w="572"/>
              <w:gridCol w:w="865"/>
              <w:gridCol w:w="5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40" w:hRule="atLeast"/>
              </w:trPr>
              <w:tc>
                <w:tcPr>
                  <w:tcW w:w="359" w:type="dxa"/>
                  <w:vAlign w:val="center"/>
                </w:tcPr>
                <w:p>
                  <w:pPr>
                    <w:spacing w:line="270" w:lineRule="exact"/>
                    <w:jc w:val="center"/>
                  </w:pPr>
                  <w:r>
                    <w:rPr>
                      <w:rFonts w:hint="eastAsia"/>
                    </w:rPr>
                    <w:t>02</w:t>
                  </w:r>
                </w:p>
              </w:tc>
              <w:tc>
                <w:tcPr>
                  <w:tcW w:w="511" w:type="dxa"/>
                  <w:vAlign w:val="center"/>
                </w:tcPr>
                <w:p>
                  <w:pPr>
                    <w:spacing w:line="270" w:lineRule="exact"/>
                    <w:jc w:val="center"/>
                  </w:pPr>
                  <w:r>
                    <w:rPr>
                      <w:rFonts w:hint="eastAsia"/>
                    </w:rPr>
                    <w:t>COP02</w:t>
                  </w:r>
                </w:p>
              </w:tc>
              <w:tc>
                <w:tcPr>
                  <w:tcW w:w="725" w:type="dxa"/>
                  <w:vAlign w:val="center"/>
                </w:tcPr>
                <w:p>
                  <w:pPr>
                    <w:spacing w:line="270" w:lineRule="exact"/>
                    <w:jc w:val="center"/>
                  </w:pPr>
                  <w:r>
                    <w:rPr>
                      <w:rFonts w:hint="eastAsia"/>
                    </w:rPr>
                    <w:t>销售计划</w:t>
                  </w:r>
                </w:p>
              </w:tc>
              <w:tc>
                <w:tcPr>
                  <w:tcW w:w="1546" w:type="dxa"/>
                  <w:vAlign w:val="center"/>
                </w:tcPr>
                <w:p>
                  <w:pPr>
                    <w:spacing w:line="270" w:lineRule="exact"/>
                  </w:pPr>
                  <w:r>
                    <w:rPr>
                      <w:rFonts w:hint="eastAsia"/>
                    </w:rPr>
                    <w:t>计划制定不合理，导致无法按时完成计划任务，从而延误产品交付。</w:t>
                  </w:r>
                </w:p>
              </w:tc>
              <w:tc>
                <w:tcPr>
                  <w:tcW w:w="446" w:type="dxa"/>
                  <w:vAlign w:val="center"/>
                </w:tcPr>
                <w:p>
                  <w:pPr>
                    <w:spacing w:line="270" w:lineRule="exact"/>
                    <w:jc w:val="center"/>
                  </w:pPr>
                  <w:r>
                    <w:rPr>
                      <w:rFonts w:hint="eastAsia"/>
                    </w:rPr>
                    <w:t>5</w:t>
                  </w:r>
                </w:p>
              </w:tc>
              <w:tc>
                <w:tcPr>
                  <w:tcW w:w="418" w:type="dxa"/>
                  <w:vAlign w:val="center"/>
                </w:tcPr>
                <w:p>
                  <w:pPr>
                    <w:spacing w:line="270" w:lineRule="exact"/>
                    <w:jc w:val="center"/>
                  </w:pPr>
                  <w:r>
                    <w:rPr>
                      <w:rFonts w:hint="eastAsia"/>
                    </w:rPr>
                    <w:t>2</w:t>
                  </w:r>
                </w:p>
              </w:tc>
              <w:tc>
                <w:tcPr>
                  <w:tcW w:w="455" w:type="dxa"/>
                  <w:vAlign w:val="center"/>
                </w:tcPr>
                <w:p>
                  <w:pPr>
                    <w:spacing w:line="270" w:lineRule="exact"/>
                    <w:jc w:val="center"/>
                  </w:pPr>
                  <w:r>
                    <w:rPr>
                      <w:rFonts w:hint="eastAsia"/>
                    </w:rPr>
                    <w:t>3</w:t>
                  </w:r>
                </w:p>
              </w:tc>
              <w:tc>
                <w:tcPr>
                  <w:tcW w:w="400" w:type="dxa"/>
                  <w:vAlign w:val="center"/>
                </w:tcPr>
                <w:p>
                  <w:pPr>
                    <w:spacing w:line="270" w:lineRule="exact"/>
                    <w:jc w:val="center"/>
                  </w:pPr>
                  <w:r>
                    <w:rPr>
                      <w:rFonts w:hint="eastAsia"/>
                    </w:rPr>
                    <w:t>30</w:t>
                  </w:r>
                </w:p>
              </w:tc>
              <w:tc>
                <w:tcPr>
                  <w:tcW w:w="464" w:type="dxa"/>
                  <w:vAlign w:val="center"/>
                </w:tcPr>
                <w:p>
                  <w:pPr>
                    <w:spacing w:line="270" w:lineRule="exact"/>
                    <w:jc w:val="center"/>
                  </w:pPr>
                  <w:r>
                    <w:rPr>
                      <w:rFonts w:hint="eastAsia" w:ascii="宋体" w:hAnsi="宋体" w:eastAsia="宋体" w:cs="宋体"/>
                      <w:color w:val="000000"/>
                      <w:szCs w:val="21"/>
                      <w:shd w:val="clear" w:color="auto" w:fill="FFFFFF"/>
                    </w:rPr>
                    <w:t>高风险</w:t>
                  </w:r>
                </w:p>
              </w:tc>
              <w:tc>
                <w:tcPr>
                  <w:tcW w:w="2233" w:type="dxa"/>
                  <w:vAlign w:val="center"/>
                </w:tcPr>
                <w:p>
                  <w:pPr>
                    <w:spacing w:line="270" w:lineRule="exact"/>
                  </w:pPr>
                  <w:r>
                    <w:rPr>
                      <w:rFonts w:hint="eastAsia"/>
                    </w:rPr>
                    <w:t>1.合理计算公司的实际产能。</w:t>
                  </w:r>
                </w:p>
                <w:p>
                  <w:pPr>
                    <w:spacing w:line="270" w:lineRule="exact"/>
                  </w:pPr>
                  <w:r>
                    <w:rPr>
                      <w:rFonts w:hint="eastAsia"/>
                    </w:rPr>
                    <w:t>2.依据产品特点和本公司的实际销售能力合理安排销售计划。</w:t>
                  </w:r>
                </w:p>
              </w:tc>
              <w:tc>
                <w:tcPr>
                  <w:tcW w:w="572" w:type="dxa"/>
                  <w:vAlign w:val="center"/>
                </w:tcPr>
                <w:p>
                  <w:pPr>
                    <w:spacing w:line="270" w:lineRule="exact"/>
                    <w:jc w:val="center"/>
                    <w:rPr>
                      <w:rFonts w:hint="eastAsia" w:eastAsiaTheme="minorEastAsia"/>
                      <w:lang w:eastAsia="zh-CN"/>
                    </w:rPr>
                  </w:pPr>
                  <w:r>
                    <w:rPr>
                      <w:rFonts w:hint="eastAsia"/>
                      <w:lang w:eastAsia="zh-CN"/>
                    </w:rPr>
                    <w:t>办公室</w:t>
                  </w:r>
                </w:p>
              </w:tc>
              <w:tc>
                <w:tcPr>
                  <w:tcW w:w="865" w:type="dxa"/>
                  <w:vAlign w:val="center"/>
                </w:tcPr>
                <w:p>
                  <w:pPr>
                    <w:spacing w:line="270" w:lineRule="exact"/>
                    <w:jc w:val="center"/>
                    <w:rPr>
                      <w:rFonts w:hint="eastAsia" w:eastAsiaTheme="minorEastAsia"/>
                      <w:lang w:eastAsia="zh-CN"/>
                    </w:rPr>
                  </w:pPr>
                  <w:r>
                    <w:rPr>
                      <w:rFonts w:hint="eastAsia"/>
                      <w:lang w:eastAsia="zh-CN"/>
                    </w:rPr>
                    <w:t>持续执行</w:t>
                  </w:r>
                </w:p>
              </w:tc>
              <w:tc>
                <w:tcPr>
                  <w:tcW w:w="539" w:type="dxa"/>
                  <w:vAlign w:val="center"/>
                </w:tcPr>
                <w:p>
                  <w:pPr>
                    <w:spacing w:line="270" w:lineRule="exact"/>
                    <w:jc w:val="center"/>
                  </w:pPr>
                  <w:r>
                    <w:rPr>
                      <w:rFonts w:hint="eastAsia"/>
                    </w:rPr>
                    <w:t>有效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814" w:hRule="atLeast"/>
              </w:trPr>
              <w:tc>
                <w:tcPr>
                  <w:tcW w:w="359" w:type="dxa"/>
                  <w:vAlign w:val="center"/>
                </w:tcPr>
                <w:p>
                  <w:pPr>
                    <w:spacing w:line="270" w:lineRule="exact"/>
                    <w:jc w:val="center"/>
                  </w:pPr>
                  <w:r>
                    <w:rPr>
                      <w:rFonts w:hint="eastAsia"/>
                    </w:rPr>
                    <w:t>03</w:t>
                  </w:r>
                </w:p>
              </w:tc>
              <w:tc>
                <w:tcPr>
                  <w:tcW w:w="511" w:type="dxa"/>
                  <w:vAlign w:val="center"/>
                </w:tcPr>
                <w:p>
                  <w:pPr>
                    <w:spacing w:line="270" w:lineRule="exact"/>
                    <w:jc w:val="center"/>
                  </w:pPr>
                  <w:r>
                    <w:rPr>
                      <w:rFonts w:hint="eastAsia"/>
                    </w:rPr>
                    <w:t>COP03</w:t>
                  </w:r>
                </w:p>
              </w:tc>
              <w:tc>
                <w:tcPr>
                  <w:tcW w:w="725" w:type="dxa"/>
                  <w:vAlign w:val="center"/>
                </w:tcPr>
                <w:p>
                  <w:pPr>
                    <w:spacing w:line="270" w:lineRule="exact"/>
                    <w:jc w:val="center"/>
                  </w:pPr>
                  <w:r>
                    <w:rPr>
                      <w:rFonts w:hint="eastAsia"/>
                    </w:rPr>
                    <w:t>采购过程</w:t>
                  </w:r>
                </w:p>
              </w:tc>
              <w:tc>
                <w:tcPr>
                  <w:tcW w:w="1546" w:type="dxa"/>
                  <w:vAlign w:val="center"/>
                </w:tcPr>
                <w:p>
                  <w:pPr>
                    <w:spacing w:line="270" w:lineRule="exact"/>
                  </w:pPr>
                  <w:r>
                    <w:rPr>
                      <w:rFonts w:hint="eastAsia"/>
                    </w:rPr>
                    <w:t>1.才哦故不能准时完成计划。2.不良率过高。3.效率太低。</w:t>
                  </w:r>
                </w:p>
                <w:p>
                  <w:pPr>
                    <w:spacing w:line="270" w:lineRule="exact"/>
                  </w:pPr>
                  <w:r>
                    <w:rPr>
                      <w:rFonts w:hint="eastAsia"/>
                    </w:rPr>
                    <w:t>4.产品标识不清、混料。</w:t>
                  </w:r>
                </w:p>
              </w:tc>
              <w:tc>
                <w:tcPr>
                  <w:tcW w:w="446" w:type="dxa"/>
                  <w:vAlign w:val="center"/>
                </w:tcPr>
                <w:p>
                  <w:pPr>
                    <w:spacing w:line="270" w:lineRule="exact"/>
                    <w:jc w:val="center"/>
                  </w:pPr>
                  <w:r>
                    <w:rPr>
                      <w:rFonts w:hint="eastAsia"/>
                    </w:rPr>
                    <w:t>7</w:t>
                  </w:r>
                </w:p>
              </w:tc>
              <w:tc>
                <w:tcPr>
                  <w:tcW w:w="418" w:type="dxa"/>
                  <w:vAlign w:val="center"/>
                </w:tcPr>
                <w:p>
                  <w:pPr>
                    <w:spacing w:line="270" w:lineRule="exact"/>
                    <w:jc w:val="center"/>
                  </w:pPr>
                  <w:r>
                    <w:rPr>
                      <w:rFonts w:hint="eastAsia"/>
                    </w:rPr>
                    <w:t>2</w:t>
                  </w:r>
                </w:p>
              </w:tc>
              <w:tc>
                <w:tcPr>
                  <w:tcW w:w="455" w:type="dxa"/>
                  <w:vAlign w:val="center"/>
                </w:tcPr>
                <w:p>
                  <w:pPr>
                    <w:spacing w:line="270" w:lineRule="exact"/>
                    <w:jc w:val="center"/>
                  </w:pPr>
                  <w:r>
                    <w:rPr>
                      <w:rFonts w:hint="eastAsia"/>
                    </w:rPr>
                    <w:t>2</w:t>
                  </w:r>
                </w:p>
              </w:tc>
              <w:tc>
                <w:tcPr>
                  <w:tcW w:w="400" w:type="dxa"/>
                  <w:vAlign w:val="center"/>
                </w:tcPr>
                <w:p>
                  <w:pPr>
                    <w:spacing w:line="270" w:lineRule="exact"/>
                    <w:jc w:val="center"/>
                  </w:pPr>
                  <w:r>
                    <w:rPr>
                      <w:rFonts w:hint="eastAsia"/>
                    </w:rPr>
                    <w:t>28</w:t>
                  </w:r>
                </w:p>
              </w:tc>
              <w:tc>
                <w:tcPr>
                  <w:tcW w:w="464" w:type="dxa"/>
                  <w:vAlign w:val="center"/>
                </w:tcPr>
                <w:p>
                  <w:pPr>
                    <w:spacing w:line="270" w:lineRule="exact"/>
                    <w:jc w:val="center"/>
                  </w:pPr>
                  <w:bookmarkStart w:id="2" w:name="OLE_LINK38"/>
                  <w:r>
                    <w:rPr>
                      <w:rFonts w:hint="eastAsia" w:ascii="宋体" w:hAnsi="宋体" w:eastAsia="宋体" w:cs="宋体"/>
                      <w:color w:val="000000"/>
                      <w:szCs w:val="21"/>
                      <w:shd w:val="clear" w:color="auto" w:fill="FFFFFF"/>
                    </w:rPr>
                    <w:t>高风险</w:t>
                  </w:r>
                  <w:bookmarkEnd w:id="2"/>
                </w:p>
              </w:tc>
              <w:tc>
                <w:tcPr>
                  <w:tcW w:w="2233" w:type="dxa"/>
                  <w:vAlign w:val="center"/>
                </w:tcPr>
                <w:p>
                  <w:pPr>
                    <w:spacing w:line="270" w:lineRule="exact"/>
                  </w:pPr>
                  <w:r>
                    <w:rPr>
                      <w:rFonts w:hint="eastAsia"/>
                    </w:rPr>
                    <w:t>1.采购计划管制。</w:t>
                  </w:r>
                </w:p>
                <w:p>
                  <w:pPr>
                    <w:spacing w:line="270" w:lineRule="exact"/>
                  </w:pPr>
                  <w:r>
                    <w:rPr>
                      <w:rFonts w:hint="eastAsia"/>
                    </w:rPr>
                    <w:t>2.过程能力提前策划。</w:t>
                  </w:r>
                </w:p>
                <w:p>
                  <w:pPr>
                    <w:spacing w:line="270" w:lineRule="exact"/>
                  </w:pPr>
                  <w:r>
                    <w:rPr>
                      <w:rFonts w:hint="eastAsia"/>
                    </w:rPr>
                    <w:t>3.不良率前期策划。</w:t>
                  </w:r>
                </w:p>
                <w:p>
                  <w:pPr>
                    <w:spacing w:line="270" w:lineRule="exact"/>
                  </w:pPr>
                  <w:r>
                    <w:rPr>
                      <w:rFonts w:hint="eastAsia"/>
                    </w:rPr>
                    <w:t>4.标识管理要求。</w:t>
                  </w:r>
                </w:p>
                <w:p>
                  <w:pPr>
                    <w:spacing w:line="270" w:lineRule="exact"/>
                  </w:pPr>
                  <w:r>
                    <w:rPr>
                      <w:rFonts w:hint="eastAsia"/>
                    </w:rPr>
                    <w:t>相关文件：</w:t>
                  </w:r>
                </w:p>
                <w:p>
                  <w:pPr>
                    <w:spacing w:line="270" w:lineRule="exact"/>
                  </w:pPr>
                  <w:r>
                    <w:rPr>
                      <w:rFonts w:hint="eastAsia"/>
                    </w:rPr>
                    <w:t>1.《产品标识和可追溯性控制程序》</w:t>
                  </w:r>
                </w:p>
                <w:p>
                  <w:pPr>
                    <w:spacing w:line="270" w:lineRule="exact"/>
                  </w:pPr>
                  <w:r>
                    <w:rPr>
                      <w:rFonts w:hint="eastAsia"/>
                    </w:rPr>
                    <w:t>2.《产品搬运包装防护与交付控制程序》</w:t>
                  </w:r>
                </w:p>
              </w:tc>
              <w:tc>
                <w:tcPr>
                  <w:tcW w:w="572" w:type="dxa"/>
                  <w:vAlign w:val="center"/>
                </w:tcPr>
                <w:p>
                  <w:pPr>
                    <w:spacing w:line="270" w:lineRule="exact"/>
                    <w:jc w:val="center"/>
                    <w:rPr>
                      <w:rFonts w:hint="eastAsia" w:eastAsiaTheme="minorEastAsia"/>
                      <w:lang w:eastAsia="zh-CN"/>
                    </w:rPr>
                  </w:pPr>
                  <w:r>
                    <w:rPr>
                      <w:rFonts w:hint="eastAsia"/>
                      <w:lang w:eastAsia="zh-CN"/>
                    </w:rPr>
                    <w:t>办公室</w:t>
                  </w:r>
                </w:p>
              </w:tc>
              <w:tc>
                <w:tcPr>
                  <w:tcW w:w="865" w:type="dxa"/>
                  <w:vAlign w:val="center"/>
                </w:tcPr>
                <w:p>
                  <w:pPr>
                    <w:spacing w:line="270" w:lineRule="exact"/>
                    <w:jc w:val="center"/>
                    <w:rPr>
                      <w:rFonts w:hint="eastAsia" w:eastAsiaTheme="minorEastAsia"/>
                      <w:lang w:eastAsia="zh-CN"/>
                    </w:rPr>
                  </w:pPr>
                  <w:r>
                    <w:rPr>
                      <w:rFonts w:hint="eastAsia"/>
                      <w:lang w:eastAsia="zh-CN"/>
                    </w:rPr>
                    <w:t>持续执行</w:t>
                  </w:r>
                </w:p>
              </w:tc>
              <w:tc>
                <w:tcPr>
                  <w:tcW w:w="539" w:type="dxa"/>
                  <w:vAlign w:val="center"/>
                </w:tcPr>
                <w:p>
                  <w:pPr>
                    <w:spacing w:line="270" w:lineRule="exact"/>
                    <w:jc w:val="center"/>
                  </w:pPr>
                  <w:r>
                    <w:rPr>
                      <w:rFonts w:hint="eastAsia"/>
                    </w:rPr>
                    <w:t>有效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359" w:type="dxa"/>
                  <w:vAlign w:val="center"/>
                </w:tcPr>
                <w:p>
                  <w:pPr>
                    <w:spacing w:line="270" w:lineRule="exact"/>
                    <w:jc w:val="center"/>
                  </w:pPr>
                  <w:r>
                    <w:rPr>
                      <w:rFonts w:hint="eastAsia"/>
                    </w:rPr>
                    <w:t>04</w:t>
                  </w:r>
                </w:p>
              </w:tc>
              <w:tc>
                <w:tcPr>
                  <w:tcW w:w="511" w:type="dxa"/>
                  <w:vAlign w:val="center"/>
                </w:tcPr>
                <w:p>
                  <w:pPr>
                    <w:spacing w:line="270" w:lineRule="exact"/>
                    <w:jc w:val="center"/>
                  </w:pPr>
                  <w:r>
                    <w:rPr>
                      <w:rFonts w:hint="eastAsia"/>
                    </w:rPr>
                    <w:t>COP04</w:t>
                  </w:r>
                </w:p>
              </w:tc>
              <w:tc>
                <w:tcPr>
                  <w:tcW w:w="725" w:type="dxa"/>
                  <w:vAlign w:val="center"/>
                </w:tcPr>
                <w:p>
                  <w:pPr>
                    <w:spacing w:line="270" w:lineRule="exact"/>
                    <w:jc w:val="center"/>
                  </w:pPr>
                  <w:r>
                    <w:rPr>
                      <w:rFonts w:hint="eastAsia"/>
                    </w:rPr>
                    <w:t>产品交付</w:t>
                  </w:r>
                </w:p>
              </w:tc>
              <w:tc>
                <w:tcPr>
                  <w:tcW w:w="1546" w:type="dxa"/>
                  <w:vAlign w:val="center"/>
                </w:tcPr>
                <w:p>
                  <w:pPr>
                    <w:spacing w:line="270" w:lineRule="exact"/>
                  </w:pPr>
                  <w:r>
                    <w:rPr>
                      <w:rFonts w:hint="eastAsia"/>
                    </w:rPr>
                    <w:t>1.不能按时交付。</w:t>
                  </w:r>
                </w:p>
                <w:p>
                  <w:pPr>
                    <w:spacing w:line="270" w:lineRule="exact"/>
                  </w:pPr>
                  <w:r>
                    <w:rPr>
                      <w:rFonts w:hint="eastAsia"/>
                    </w:rPr>
                    <w:t>2.交付的产品不符合客户的要求。</w:t>
                  </w:r>
                </w:p>
              </w:tc>
              <w:tc>
                <w:tcPr>
                  <w:tcW w:w="446" w:type="dxa"/>
                  <w:vAlign w:val="center"/>
                </w:tcPr>
                <w:p>
                  <w:pPr>
                    <w:spacing w:line="270" w:lineRule="exact"/>
                    <w:jc w:val="center"/>
                  </w:pPr>
                  <w:r>
                    <w:rPr>
                      <w:rFonts w:hint="eastAsia"/>
                    </w:rPr>
                    <w:t>5</w:t>
                  </w:r>
                </w:p>
              </w:tc>
              <w:tc>
                <w:tcPr>
                  <w:tcW w:w="418" w:type="dxa"/>
                  <w:vAlign w:val="center"/>
                </w:tcPr>
                <w:p>
                  <w:pPr>
                    <w:spacing w:line="270" w:lineRule="exact"/>
                    <w:jc w:val="center"/>
                  </w:pPr>
                  <w:r>
                    <w:rPr>
                      <w:rFonts w:hint="eastAsia"/>
                    </w:rPr>
                    <w:t>2</w:t>
                  </w:r>
                </w:p>
              </w:tc>
              <w:tc>
                <w:tcPr>
                  <w:tcW w:w="455" w:type="dxa"/>
                  <w:vAlign w:val="center"/>
                </w:tcPr>
                <w:p>
                  <w:pPr>
                    <w:spacing w:line="270" w:lineRule="exact"/>
                    <w:jc w:val="center"/>
                  </w:pPr>
                  <w:r>
                    <w:rPr>
                      <w:rFonts w:hint="eastAsia"/>
                    </w:rPr>
                    <w:t>2</w:t>
                  </w:r>
                </w:p>
              </w:tc>
              <w:tc>
                <w:tcPr>
                  <w:tcW w:w="400" w:type="dxa"/>
                  <w:vAlign w:val="center"/>
                </w:tcPr>
                <w:p>
                  <w:pPr>
                    <w:spacing w:line="270" w:lineRule="exact"/>
                    <w:jc w:val="center"/>
                  </w:pPr>
                  <w:r>
                    <w:rPr>
                      <w:rFonts w:hint="eastAsia"/>
                    </w:rPr>
                    <w:t>20</w:t>
                  </w:r>
                </w:p>
              </w:tc>
              <w:tc>
                <w:tcPr>
                  <w:tcW w:w="464" w:type="dxa"/>
                  <w:vAlign w:val="center"/>
                </w:tcPr>
                <w:p>
                  <w:pPr>
                    <w:spacing w:line="270" w:lineRule="exact"/>
                    <w:jc w:val="center"/>
                  </w:pPr>
                  <w:r>
                    <w:rPr>
                      <w:rFonts w:hint="eastAsia" w:ascii="宋体" w:hAnsi="宋体" w:eastAsia="宋体" w:cs="宋体"/>
                      <w:color w:val="000000"/>
                      <w:szCs w:val="21"/>
                      <w:shd w:val="clear" w:color="auto" w:fill="FFFFFF"/>
                    </w:rPr>
                    <w:t>高风险</w:t>
                  </w:r>
                </w:p>
              </w:tc>
              <w:tc>
                <w:tcPr>
                  <w:tcW w:w="2233" w:type="dxa"/>
                  <w:vAlign w:val="center"/>
                </w:tcPr>
                <w:p>
                  <w:pPr>
                    <w:spacing w:line="270" w:lineRule="exact"/>
                  </w:pPr>
                  <w:r>
                    <w:rPr>
                      <w:rFonts w:hint="eastAsia"/>
                    </w:rPr>
                    <w:t>1.营销计划管制。</w:t>
                  </w:r>
                </w:p>
                <w:p>
                  <w:pPr>
                    <w:spacing w:line="270" w:lineRule="exact"/>
                  </w:pPr>
                  <w:r>
                    <w:rPr>
                      <w:rFonts w:hint="eastAsia"/>
                    </w:rPr>
                    <w:t>2.过程的品质控制。</w:t>
                  </w:r>
                </w:p>
                <w:p>
                  <w:pPr>
                    <w:spacing w:line="270" w:lineRule="exact"/>
                  </w:pPr>
                  <w:r>
                    <w:rPr>
                      <w:rFonts w:hint="eastAsia"/>
                    </w:rPr>
                    <w:t>3.成品的品质检验。</w:t>
                  </w:r>
                </w:p>
                <w:p>
                  <w:pPr>
                    <w:spacing w:line="270" w:lineRule="exact"/>
                  </w:pPr>
                  <w:r>
                    <w:rPr>
                      <w:rFonts w:hint="eastAsia"/>
                    </w:rPr>
                    <w:t>4.出货前的品质检验。</w:t>
                  </w:r>
                </w:p>
                <w:p>
                  <w:pPr>
                    <w:spacing w:line="270" w:lineRule="exact"/>
                  </w:pPr>
                  <w:r>
                    <w:rPr>
                      <w:rFonts w:hint="eastAsia"/>
                    </w:rPr>
                    <w:t>相关文件：</w:t>
                  </w:r>
                </w:p>
                <w:p>
                  <w:pPr>
                    <w:numPr>
                      <w:ilvl w:val="0"/>
                      <w:numId w:val="2"/>
                    </w:numPr>
                    <w:spacing w:line="270" w:lineRule="exact"/>
                    <w:rPr>
                      <w:rFonts w:hint="eastAsia"/>
                    </w:rPr>
                  </w:pPr>
                  <w:r>
                    <w:rPr>
                      <w:rFonts w:hint="eastAsia"/>
                    </w:rPr>
                    <w:t>《产品和</w:t>
                  </w:r>
                  <w:r>
                    <w:rPr>
                      <w:rFonts w:hint="eastAsia"/>
                      <w:lang w:val="en-US" w:eastAsia="zh-CN"/>
                    </w:rPr>
                    <w:t>服务</w:t>
                  </w:r>
                  <w:r>
                    <w:rPr>
                      <w:rFonts w:hint="eastAsia"/>
                    </w:rPr>
                    <w:t>过程管理控制程序》2.《产品监视和测量控制程序》</w:t>
                  </w:r>
                </w:p>
                <w:p>
                  <w:pPr>
                    <w:numPr>
                      <w:ilvl w:val="0"/>
                      <w:numId w:val="2"/>
                    </w:numPr>
                    <w:spacing w:line="270" w:lineRule="exact"/>
                  </w:pPr>
                  <w:r>
                    <w:rPr>
                      <w:rFonts w:hint="eastAsia"/>
                    </w:rPr>
                    <w:t>3.《不合格品控制程序》</w:t>
                  </w:r>
                </w:p>
              </w:tc>
              <w:tc>
                <w:tcPr>
                  <w:tcW w:w="572" w:type="dxa"/>
                  <w:vAlign w:val="center"/>
                </w:tcPr>
                <w:p>
                  <w:pPr>
                    <w:spacing w:line="270" w:lineRule="exact"/>
                    <w:jc w:val="center"/>
                    <w:rPr>
                      <w:rFonts w:hint="eastAsia" w:eastAsiaTheme="minorEastAsia"/>
                      <w:lang w:eastAsia="zh-CN"/>
                    </w:rPr>
                  </w:pPr>
                  <w:r>
                    <w:rPr>
                      <w:rFonts w:hint="eastAsia"/>
                      <w:lang w:val="en-US" w:eastAsia="zh-CN"/>
                    </w:rPr>
                    <w:t>生技部</w:t>
                  </w:r>
                </w:p>
              </w:tc>
              <w:tc>
                <w:tcPr>
                  <w:tcW w:w="865" w:type="dxa"/>
                  <w:vAlign w:val="center"/>
                </w:tcPr>
                <w:p>
                  <w:pPr>
                    <w:spacing w:line="270" w:lineRule="exact"/>
                    <w:jc w:val="center"/>
                    <w:rPr>
                      <w:rFonts w:hint="eastAsia" w:eastAsiaTheme="minorEastAsia"/>
                      <w:lang w:eastAsia="zh-CN"/>
                    </w:rPr>
                  </w:pPr>
                  <w:r>
                    <w:rPr>
                      <w:rFonts w:hint="eastAsia"/>
                      <w:lang w:eastAsia="zh-CN"/>
                    </w:rPr>
                    <w:t>持续执行</w:t>
                  </w:r>
                </w:p>
              </w:tc>
              <w:tc>
                <w:tcPr>
                  <w:tcW w:w="539" w:type="dxa"/>
                  <w:vAlign w:val="center"/>
                </w:tcPr>
                <w:p>
                  <w:pPr>
                    <w:spacing w:line="270" w:lineRule="exact"/>
                    <w:jc w:val="center"/>
                  </w:pPr>
                  <w:r>
                    <w:rPr>
                      <w:rFonts w:hint="eastAsia"/>
                    </w:rPr>
                    <w:t>有效</w:t>
                  </w:r>
                </w:p>
              </w:tc>
            </w:tr>
          </w:tbl>
          <w:p>
            <w:pPr>
              <w:pStyle w:val="15"/>
              <w:spacing w:line="240" w:lineRule="auto"/>
              <w:rPr>
                <w:rFonts w:hint="eastAsia"/>
                <w:sz w:val="21"/>
                <w:szCs w:val="21"/>
                <w:lang w:val="en-US" w:eastAsia="zh-CN"/>
              </w:rPr>
            </w:pPr>
          </w:p>
          <w:p>
            <w:r>
              <w:rPr>
                <w:rFonts w:hint="eastAsia"/>
                <w:sz w:val="21"/>
                <w:szCs w:val="21"/>
              </w:rPr>
              <w:t>——基本满足要求。</w:t>
            </w:r>
          </w:p>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240" w:lineRule="auto"/>
              <w:rPr>
                <w:rFonts w:hint="eastAsia" w:ascii="宋体"/>
                <w:sz w:val="21"/>
                <w:szCs w:val="21"/>
              </w:rPr>
            </w:pPr>
            <w:r>
              <w:rPr>
                <w:rFonts w:hint="eastAsia" w:ascii="宋体"/>
                <w:sz w:val="21"/>
                <w:szCs w:val="21"/>
              </w:rPr>
              <w:t>管理体系范围确定的适宜性和充分性</w:t>
            </w:r>
          </w:p>
          <w:p>
            <w:pPr>
              <w:spacing w:line="240" w:lineRule="auto"/>
              <w:rPr>
                <w:rFonts w:hint="eastAsia" w:ascii="宋体"/>
                <w:sz w:val="21"/>
                <w:szCs w:val="21"/>
              </w:rPr>
            </w:pPr>
            <w:r>
              <w:rPr>
                <w:rFonts w:hint="eastAsia" w:ascii="宋体"/>
                <w:sz w:val="21"/>
                <w:szCs w:val="21"/>
              </w:rPr>
              <w:t>管理体系策划、建立、</w:t>
            </w:r>
          </w:p>
          <w:p>
            <w:pPr>
              <w:spacing w:line="240" w:lineRule="auto"/>
              <w:rPr>
                <w:rFonts w:hint="eastAsia" w:ascii="宋体"/>
                <w:sz w:val="21"/>
                <w:szCs w:val="21"/>
              </w:rPr>
            </w:pPr>
            <w:r>
              <w:rPr>
                <w:rFonts w:hint="eastAsia" w:ascii="宋体"/>
                <w:sz w:val="21"/>
                <w:szCs w:val="21"/>
              </w:rPr>
              <w:t>变更的策划</w:t>
            </w:r>
          </w:p>
          <w:p/>
        </w:tc>
        <w:tc>
          <w:tcPr>
            <w:tcW w:w="960" w:type="dxa"/>
          </w:tcPr>
          <w:p>
            <w:pPr>
              <w:spacing w:line="240" w:lineRule="auto"/>
              <w:rPr>
                <w:rFonts w:hint="eastAsia"/>
                <w:lang w:val="en-US" w:eastAsia="zh-CN"/>
              </w:rPr>
            </w:pPr>
            <w:r>
              <w:rPr>
                <w:rFonts w:hint="eastAsia"/>
                <w:lang w:val="en-US" w:eastAsia="zh-CN"/>
              </w:rPr>
              <w:t>QES4.3/4.4;</w:t>
            </w:r>
          </w:p>
          <w:p>
            <w:r>
              <w:rPr>
                <w:rFonts w:hint="eastAsia"/>
                <w:sz w:val="21"/>
                <w:szCs w:val="21"/>
                <w:lang w:val="en-US" w:eastAsia="zh-CN"/>
              </w:rPr>
              <w:t>Q6.3</w:t>
            </w:r>
          </w:p>
        </w:tc>
        <w:tc>
          <w:tcPr>
            <w:tcW w:w="10004" w:type="dxa"/>
          </w:tcPr>
          <w:p>
            <w:pPr>
              <w:rPr>
                <w:rFonts w:hint="eastAsia"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---查管理手册</w:t>
            </w:r>
            <w:bookmarkStart w:id="3" w:name="_Toc58352200"/>
            <w:r>
              <w:rPr>
                <w:rFonts w:hint="eastAsia" w:ascii="Calibri" w:hAnsi="Calibri" w:eastAsia="宋体" w:cs="Times New Roman"/>
                <w:kern w:val="2"/>
                <w:sz w:val="21"/>
                <w:szCs w:val="21"/>
                <w:lang w:val="en-US" w:eastAsia="zh-CN" w:bidi="ar-SA"/>
              </w:rPr>
              <w:t xml:space="preserve">4.3 </w:t>
            </w:r>
            <w:bookmarkEnd w:id="3"/>
            <w:r>
              <w:rPr>
                <w:rFonts w:hint="eastAsia" w:ascii="Calibri" w:hAnsi="Calibri" w:eastAsia="宋体" w:cs="Times New Roman"/>
                <w:kern w:val="2"/>
                <w:sz w:val="21"/>
                <w:szCs w:val="21"/>
                <w:lang w:val="en-US" w:eastAsia="zh-CN" w:bidi="ar-SA"/>
              </w:rPr>
              <w:t>确定公司管理体系覆盖的范围：资质范围内砌块的生产所涉及到的相关管理活动。</w:t>
            </w:r>
          </w:p>
          <w:p>
            <w:pPr>
              <w:rPr>
                <w:rFonts w:hint="eastAsia"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公司按照行业成熟标准生产，不涉及到设计开发过程，故8.3条款不适用。其余的所有条款适用于本公司的管理活动。即：</w:t>
            </w:r>
          </w:p>
          <w:p>
            <w:pPr>
              <w:pStyle w:val="15"/>
              <w:spacing w:line="240" w:lineRule="auto"/>
              <w:rPr>
                <w:rFonts w:hint="eastAsia" w:ascii="Calibri" w:hAnsi="Calibri" w:eastAsia="宋体" w:cs="Times New Roman"/>
                <w:kern w:val="2"/>
                <w:sz w:val="21"/>
                <w:szCs w:val="21"/>
                <w:lang w:val="en-US" w:eastAsia="zh-CN" w:bidi="ar-SA"/>
              </w:rPr>
            </w:pPr>
            <w:bookmarkStart w:id="4" w:name="审核范围"/>
            <w:r>
              <w:rPr>
                <w:rFonts w:hint="eastAsia" w:ascii="Calibri" w:hAnsi="Calibri" w:eastAsia="宋体" w:cs="Times New Roman"/>
                <w:kern w:val="2"/>
                <w:sz w:val="21"/>
                <w:szCs w:val="21"/>
                <w:lang w:val="en-US" w:eastAsia="zh-CN" w:bidi="ar-SA"/>
              </w:rPr>
              <w:t>Q：自保温混凝土复合砌块，混凝土小型空心砌块，混凝土多孔砖的生产</w:t>
            </w:r>
          </w:p>
          <w:p>
            <w:pPr>
              <w:pStyle w:val="15"/>
              <w:spacing w:line="240" w:lineRule="auto"/>
              <w:rPr>
                <w:rFonts w:hint="eastAsia"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E：自保温混凝土复合砌块，混凝土小型空心砌块，混凝土多孔砖的生产所涉及场所的相关环境管理活动</w:t>
            </w:r>
          </w:p>
          <w:p>
            <w:pPr>
              <w:pStyle w:val="15"/>
              <w:spacing w:line="240" w:lineRule="auto"/>
              <w:rPr>
                <w:rFonts w:hint="eastAsia"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O：自保温混凝土复合砌块，混凝土小型空心砌块，混凝土多孔砖的生产所涉及场所的相关职业健康安全管理活动</w:t>
            </w:r>
            <w:bookmarkEnd w:id="4"/>
          </w:p>
          <w:p>
            <w:pPr>
              <w:pStyle w:val="15"/>
              <w:spacing w:line="240" w:lineRule="auto"/>
              <w:rPr>
                <w:rFonts w:hint="default"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物理边界：</w:t>
            </w:r>
          </w:p>
          <w:p>
            <w:pPr>
              <w:pStyle w:val="15"/>
              <w:spacing w:line="240" w:lineRule="auto"/>
              <w:rPr>
                <w:rFonts w:hint="eastAsia"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注册地址：</w:t>
            </w:r>
            <w:bookmarkStart w:id="5" w:name="注册地址"/>
            <w:r>
              <w:rPr>
                <w:rFonts w:hint="eastAsia" w:ascii="Calibri" w:hAnsi="Calibri" w:eastAsia="宋体" w:cs="Times New Roman"/>
                <w:kern w:val="2"/>
                <w:sz w:val="21"/>
                <w:szCs w:val="21"/>
                <w:lang w:val="en-US" w:eastAsia="zh-CN" w:bidi="ar-SA"/>
              </w:rPr>
              <w:t>北川羌族自治县安昌镇群联村</w:t>
            </w:r>
            <w:bookmarkEnd w:id="5"/>
            <w:r>
              <w:rPr>
                <w:rFonts w:hint="eastAsia" w:ascii="Calibri" w:hAnsi="Calibri" w:eastAsia="宋体" w:cs="Times New Roman"/>
                <w:kern w:val="2"/>
                <w:sz w:val="21"/>
                <w:szCs w:val="21"/>
                <w:lang w:val="en-US" w:eastAsia="zh-CN" w:bidi="ar-SA"/>
              </w:rPr>
              <w:t>；</w:t>
            </w:r>
          </w:p>
          <w:p>
            <w:pPr>
              <w:pStyle w:val="15"/>
              <w:spacing w:line="240" w:lineRule="auto"/>
              <w:rPr>
                <w:rFonts w:hint="default"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办公地址：</w:t>
            </w:r>
            <w:bookmarkStart w:id="6" w:name="生产地址"/>
            <w:r>
              <w:rPr>
                <w:rFonts w:hint="eastAsia" w:ascii="Calibri" w:hAnsi="Calibri" w:eastAsia="宋体" w:cs="Times New Roman"/>
                <w:kern w:val="2"/>
                <w:sz w:val="21"/>
                <w:szCs w:val="21"/>
                <w:lang w:val="en-US" w:eastAsia="zh-CN" w:bidi="ar-SA"/>
              </w:rPr>
              <w:t>四川省绵阳市北川羌族自治县安昌镇群联村</w:t>
            </w:r>
            <w:bookmarkEnd w:id="6"/>
            <w:r>
              <w:rPr>
                <w:rFonts w:hint="eastAsia" w:ascii="Calibri" w:hAnsi="Calibri" w:eastAsia="宋体" w:cs="Times New Roman"/>
                <w:kern w:val="2"/>
                <w:sz w:val="21"/>
                <w:szCs w:val="21"/>
                <w:lang w:val="en-US" w:eastAsia="zh-CN" w:bidi="ar-SA"/>
              </w:rPr>
              <w:t>；</w:t>
            </w:r>
          </w:p>
          <w:p>
            <w:pPr>
              <w:pStyle w:val="15"/>
              <w:spacing w:line="240" w:lineRule="auto"/>
              <w:rPr>
                <w:rFonts w:hint="default"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--查组织机构图：覆盖的部门为总经理领导下的</w:t>
            </w:r>
            <w:r>
              <w:rPr>
                <w:rFonts w:hint="eastAsia" w:cs="Times New Roman"/>
                <w:kern w:val="2"/>
                <w:sz w:val="21"/>
                <w:szCs w:val="21"/>
                <w:lang w:val="en-US" w:eastAsia="zh-CN" w:bidi="ar-SA"/>
              </w:rPr>
              <w:t>生技部、办公室</w:t>
            </w:r>
            <w:r>
              <w:rPr>
                <w:rFonts w:hint="eastAsia" w:ascii="Calibri" w:hAnsi="Calibri" w:eastAsia="宋体" w:cs="Times New Roman"/>
                <w:kern w:val="2"/>
                <w:sz w:val="21"/>
                <w:szCs w:val="21"/>
                <w:lang w:val="en-US" w:eastAsia="zh-CN" w:bidi="ar-SA"/>
              </w:rPr>
              <w:t>组成。</w:t>
            </w:r>
          </w:p>
          <w:p>
            <w:pPr>
              <w:pStyle w:val="15"/>
              <w:spacing w:line="240" w:lineRule="auto"/>
              <w:rPr>
                <w:rFonts w:hint="eastAsia"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——针对上述范围再一次与管代进行了确认。</w:t>
            </w:r>
          </w:p>
          <w:p>
            <w:pPr>
              <w:pStyle w:val="15"/>
              <w:spacing w:line="240" w:lineRule="auto"/>
              <w:rPr>
                <w:rFonts w:hint="eastAsia" w:ascii="Times New Roman" w:hAnsi="Times New Roman" w:eastAsia="宋体" w:cs="Times New Roman"/>
                <w:sz w:val="21"/>
                <w:szCs w:val="21"/>
                <w:lang w:val="en-US" w:eastAsia="zh-CN"/>
              </w:rPr>
            </w:pPr>
          </w:p>
          <w:p>
            <w:pPr>
              <w:spacing w:line="240" w:lineRule="auto"/>
              <w:jc w:val="left"/>
              <w:rPr>
                <w:sz w:val="21"/>
                <w:szCs w:val="21"/>
              </w:rPr>
            </w:pPr>
            <w:r>
              <w:rPr>
                <w:rFonts w:hint="eastAsia"/>
                <w:sz w:val="21"/>
                <w:szCs w:val="21"/>
                <w:lang w:val="en-US" w:eastAsia="zh-CN"/>
              </w:rPr>
              <w:t>--</w:t>
            </w:r>
            <w:r>
              <w:rPr>
                <w:rFonts w:hint="eastAsia"/>
                <w:sz w:val="21"/>
                <w:szCs w:val="21"/>
              </w:rPr>
              <w:t>建立管理体系的目的：</w:t>
            </w:r>
          </w:p>
          <w:p>
            <w:pPr>
              <w:spacing w:line="240" w:lineRule="auto"/>
              <w:jc w:val="left"/>
              <w:rPr>
                <w:rFonts w:hint="eastAsia" w:eastAsia="宋体"/>
                <w:sz w:val="21"/>
                <w:szCs w:val="21"/>
                <w:lang w:eastAsia="zh-CN"/>
              </w:rPr>
            </w:pPr>
            <w:r>
              <w:rPr>
                <w:rFonts w:hint="eastAsia"/>
                <w:sz w:val="21"/>
                <w:szCs w:val="21"/>
              </w:rPr>
              <w:t>公司领导说明根据行业招投标要求建立管理体系，也是为了进一步规范企业的管理</w:t>
            </w:r>
            <w:r>
              <w:rPr>
                <w:rFonts w:hint="eastAsia"/>
                <w:sz w:val="21"/>
                <w:szCs w:val="21"/>
                <w:lang w:eastAsia="zh-CN"/>
              </w:rPr>
              <w:t>。</w:t>
            </w:r>
          </w:p>
          <w:p>
            <w:pPr>
              <w:pStyle w:val="15"/>
              <w:spacing w:line="240" w:lineRule="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--建立了管理体系文件，包括：管理手册、程序文件</w:t>
            </w:r>
            <w:r>
              <w:rPr>
                <w:rFonts w:hint="eastAsia" w:ascii="Times New Roman" w:hAnsi="Times New Roman" w:cs="Times New Roman"/>
                <w:sz w:val="21"/>
                <w:szCs w:val="21"/>
                <w:lang w:val="en-US" w:eastAsia="zh-CN"/>
              </w:rPr>
              <w:t>汇编</w:t>
            </w:r>
            <w:r>
              <w:rPr>
                <w:rFonts w:hint="eastAsia" w:ascii="Times New Roman" w:hAnsi="Times New Roman" w:eastAsia="宋体" w:cs="Times New Roman"/>
                <w:sz w:val="21"/>
                <w:szCs w:val="21"/>
                <w:lang w:val="en-US" w:eastAsia="zh-CN"/>
              </w:rPr>
              <w:t>、管理</w:t>
            </w:r>
            <w:r>
              <w:rPr>
                <w:rFonts w:hint="eastAsia" w:ascii="Times New Roman" w:hAnsi="Times New Roman" w:cs="Times New Roman"/>
                <w:sz w:val="21"/>
                <w:szCs w:val="21"/>
                <w:lang w:val="en-US" w:eastAsia="zh-CN"/>
              </w:rPr>
              <w:t>文件</w:t>
            </w:r>
            <w:r>
              <w:rPr>
                <w:rFonts w:hint="eastAsia" w:ascii="Times New Roman" w:hAnsi="Times New Roman" w:eastAsia="宋体" w:cs="Times New Roman"/>
                <w:sz w:val="21"/>
                <w:szCs w:val="21"/>
                <w:lang w:val="en-US" w:eastAsia="zh-CN"/>
              </w:rPr>
              <w:t>汇编--等。</w:t>
            </w:r>
          </w:p>
          <w:p>
            <w:pPr>
              <w:pStyle w:val="15"/>
              <w:spacing w:line="240" w:lineRule="auto"/>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w:t>
            </w:r>
            <w:r>
              <w:rPr>
                <w:rFonts w:hint="eastAsia" w:ascii="Times New Roman" w:hAnsi="Times New Roman" w:eastAsia="宋体" w:cs="Times New Roman"/>
                <w:sz w:val="21"/>
                <w:szCs w:val="21"/>
                <w:lang w:val="en-US" w:eastAsia="zh-CN"/>
              </w:rPr>
              <w:t>在管理手册中包括QES整合的方针和目标、组织机构、职能分配表、各部门职责、流程图、管理体系要求等。</w:t>
            </w:r>
          </w:p>
          <w:p>
            <w:pPr>
              <w:spacing w:line="240" w:lineRule="auto"/>
              <w:jc w:val="left"/>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sz w:val="21"/>
                <w:szCs w:val="21"/>
                <w:lang w:val="en-US" w:eastAsia="zh-CN"/>
              </w:rPr>
              <w:t>--主要产品实现过程为：</w:t>
            </w:r>
            <w:r>
              <w:rPr>
                <w:rFonts w:hint="eastAsia" w:ascii="Times New Roman" w:hAnsi="Times New Roman" w:eastAsia="宋体" w:cs="Times New Roman"/>
                <w:bCs w:val="0"/>
                <w:spacing w:val="0"/>
                <w:kern w:val="2"/>
                <w:sz w:val="21"/>
                <w:lang w:val="en-US" w:eastAsia="zh-CN" w:bidi="ar-SA"/>
              </w:rPr>
              <w:t>原材料的采购---配料---混合、搅拌--成型---自然晾干---检验---成品、外售。</w:t>
            </w:r>
          </w:p>
          <w:p>
            <w:pPr>
              <w:spacing w:line="240" w:lineRule="auto"/>
              <w:jc w:val="left"/>
              <w:rPr>
                <w:rFonts w:hint="eastAsia"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---经识别的外包过程：</w:t>
            </w:r>
            <w:r>
              <w:rPr>
                <w:rFonts w:hint="eastAsia" w:ascii="Calibri" w:hAnsi="Calibri" w:cs="Times New Roman"/>
                <w:kern w:val="2"/>
                <w:sz w:val="21"/>
                <w:szCs w:val="21"/>
                <w:lang w:val="en-US" w:eastAsia="zh-CN" w:bidi="ar-SA"/>
              </w:rPr>
              <w:t>产品运输</w:t>
            </w:r>
            <w:r>
              <w:rPr>
                <w:rFonts w:hint="eastAsia" w:ascii="Calibri" w:hAnsi="Calibri" w:eastAsia="宋体" w:cs="Times New Roman"/>
                <w:kern w:val="2"/>
                <w:sz w:val="21"/>
                <w:szCs w:val="21"/>
                <w:lang w:val="en-US" w:eastAsia="zh-CN" w:bidi="ar-SA"/>
              </w:rPr>
              <w:t>。</w:t>
            </w:r>
          </w:p>
          <w:p>
            <w:pPr>
              <w:pStyle w:val="13"/>
              <w:rPr>
                <w:rFonts w:hint="eastAsia"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---经识别的关键过程：</w:t>
            </w:r>
            <w:r>
              <w:rPr>
                <w:rFonts w:hint="eastAsia" w:ascii="Calibri" w:hAnsi="Calibri" w:cs="Times New Roman"/>
                <w:kern w:val="2"/>
                <w:sz w:val="21"/>
                <w:szCs w:val="21"/>
                <w:lang w:val="en-US" w:eastAsia="zh-CN" w:bidi="ar-SA"/>
              </w:rPr>
              <w:t>配料</w:t>
            </w:r>
            <w:r>
              <w:rPr>
                <w:rFonts w:hint="eastAsia" w:ascii="Calibri" w:hAnsi="Calibri" w:eastAsia="宋体" w:cs="Times New Roman"/>
                <w:kern w:val="2"/>
                <w:sz w:val="21"/>
                <w:szCs w:val="21"/>
                <w:lang w:val="en-US" w:eastAsia="zh-CN" w:bidi="ar-SA"/>
              </w:rPr>
              <w:t>。</w:t>
            </w:r>
          </w:p>
          <w:p>
            <w:pPr>
              <w:pStyle w:val="13"/>
              <w:rPr>
                <w:rFonts w:hint="default" w:ascii="Calibri" w:hAnsi="Calibri" w:eastAsia="宋体" w:cs="Times New Roman"/>
                <w:kern w:val="2"/>
                <w:sz w:val="21"/>
                <w:szCs w:val="21"/>
                <w:lang w:val="en-US" w:eastAsia="zh-CN" w:bidi="ar-SA"/>
              </w:rPr>
            </w:pPr>
            <w:r>
              <w:rPr>
                <w:rFonts w:hint="eastAsia" w:ascii="Calibri" w:hAnsi="Calibri" w:cs="Times New Roman"/>
                <w:kern w:val="2"/>
                <w:sz w:val="21"/>
                <w:szCs w:val="21"/>
                <w:lang w:val="en-US" w:eastAsia="zh-CN" w:bidi="ar-SA"/>
              </w:rPr>
              <w:t>---</w:t>
            </w:r>
            <w:r>
              <w:rPr>
                <w:rFonts w:hint="eastAsia" w:ascii="Calibri" w:hAnsi="Calibri" w:eastAsia="宋体" w:cs="Times New Roman"/>
                <w:kern w:val="2"/>
                <w:sz w:val="21"/>
                <w:szCs w:val="21"/>
                <w:lang w:val="en-US" w:eastAsia="zh-CN" w:bidi="ar-SA"/>
              </w:rPr>
              <w:t>经识别的</w:t>
            </w:r>
            <w:r>
              <w:rPr>
                <w:rFonts w:hint="eastAsia" w:ascii="Calibri" w:hAnsi="Calibri" w:cs="Times New Roman"/>
                <w:kern w:val="2"/>
                <w:sz w:val="21"/>
                <w:szCs w:val="21"/>
                <w:lang w:val="en-US" w:eastAsia="zh-CN" w:bidi="ar-SA"/>
              </w:rPr>
              <w:t>特殊</w:t>
            </w:r>
            <w:r>
              <w:rPr>
                <w:rFonts w:hint="eastAsia" w:ascii="Calibri" w:hAnsi="Calibri" w:eastAsia="宋体" w:cs="Times New Roman"/>
                <w:kern w:val="2"/>
                <w:sz w:val="21"/>
                <w:szCs w:val="21"/>
                <w:lang w:val="en-US" w:eastAsia="zh-CN" w:bidi="ar-SA"/>
              </w:rPr>
              <w:t>过程：</w:t>
            </w:r>
            <w:bookmarkStart w:id="7" w:name="_GoBack"/>
            <w:bookmarkEnd w:id="7"/>
            <w:r>
              <w:rPr>
                <w:rFonts w:hint="eastAsia" w:ascii="Calibri" w:hAnsi="Calibri" w:cs="Times New Roman"/>
                <w:kern w:val="2"/>
                <w:sz w:val="21"/>
                <w:szCs w:val="21"/>
                <w:lang w:val="en-US" w:eastAsia="zh-CN" w:bidi="ar-SA"/>
              </w:rPr>
              <w:t>成型过程。</w:t>
            </w:r>
          </w:p>
          <w:p>
            <w:pPr>
              <w:pStyle w:val="15"/>
              <w:spacing w:line="240" w:lineRule="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---变更的策划：管代说明建立管理体系至今无变化。</w:t>
            </w:r>
          </w:p>
          <w:p>
            <w:pPr>
              <w:pStyle w:val="15"/>
              <w:spacing w:line="240" w:lineRule="auto"/>
              <w:rPr>
                <w:rFonts w:hint="default" w:ascii="Times New Roman" w:hAnsi="Times New Roman" w:cs="Times New Roman"/>
                <w:sz w:val="21"/>
                <w:szCs w:val="21"/>
                <w:lang w:val="en-US" w:eastAsia="zh-CN"/>
              </w:rPr>
            </w:pPr>
          </w:p>
          <w:p>
            <w:r>
              <w:rPr>
                <w:rFonts w:hint="eastAsia" w:ascii="Times New Roman" w:hAnsi="Times New Roman" w:eastAsia="宋体" w:cs="Times New Roman"/>
                <w:sz w:val="21"/>
                <w:szCs w:val="21"/>
                <w:lang w:val="en-US" w:eastAsia="zh-CN"/>
              </w:rPr>
              <w:t>——上述经本次</w:t>
            </w:r>
            <w:r>
              <w:rPr>
                <w:rFonts w:hint="eastAsia" w:cs="Times New Roman"/>
                <w:sz w:val="21"/>
                <w:szCs w:val="21"/>
                <w:lang w:val="en-US" w:eastAsia="zh-CN"/>
              </w:rPr>
              <w:t>现场</w:t>
            </w:r>
            <w:r>
              <w:rPr>
                <w:rFonts w:hint="eastAsia" w:ascii="Times New Roman" w:hAnsi="Times New Roman" w:eastAsia="宋体" w:cs="Times New Roman"/>
                <w:sz w:val="21"/>
                <w:szCs w:val="21"/>
                <w:lang w:val="en-US" w:eastAsia="zh-CN"/>
              </w:rPr>
              <w:t>审核确认有效</w:t>
            </w:r>
            <w:r>
              <w:rPr>
                <w:rFonts w:hint="eastAsia" w:ascii="Times New Roman" w:hAnsi="Times New Roman" w:cs="Times New Roman"/>
                <w:sz w:val="21"/>
                <w:szCs w:val="21"/>
                <w:lang w:val="en-US" w:eastAsia="zh-CN"/>
              </w:rPr>
              <w:t>。</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40" w:lineRule="auto"/>
              <w:rPr>
                <w:rFonts w:hint="eastAsia"/>
              </w:rPr>
            </w:pPr>
            <w:r>
              <w:rPr>
                <w:rFonts w:hint="eastAsia"/>
              </w:rPr>
              <w:t>领导作用和承诺</w:t>
            </w:r>
          </w:p>
          <w:p>
            <w:pPr>
              <w:spacing w:line="240" w:lineRule="auto"/>
              <w:rPr>
                <w:rFonts w:hint="eastAsia"/>
              </w:rPr>
            </w:pPr>
            <w:r>
              <w:rPr>
                <w:rFonts w:hint="eastAsia"/>
              </w:rPr>
              <w:t>岗位、职责、责任和权限</w:t>
            </w:r>
          </w:p>
          <w:p>
            <w:pPr>
              <w:pStyle w:val="2"/>
              <w:rPr>
                <w:rFonts w:hint="default" w:eastAsia="宋体"/>
                <w:lang w:val="en-US" w:eastAsia="zh-CN"/>
              </w:rPr>
            </w:pPr>
            <w:r>
              <w:rPr>
                <w:rFonts w:hint="eastAsia"/>
                <w:lang w:val="en-US" w:eastAsia="zh-CN"/>
              </w:rPr>
              <w:t>员工代表</w:t>
            </w:r>
          </w:p>
          <w:p/>
        </w:tc>
        <w:tc>
          <w:tcPr>
            <w:tcW w:w="960" w:type="dxa"/>
            <w:vAlign w:val="top"/>
          </w:tcPr>
          <w:p>
            <w:pPr>
              <w:spacing w:line="240" w:lineRule="auto"/>
              <w:rPr>
                <w:rFonts w:hint="default"/>
                <w:lang w:val="en-US" w:eastAsia="zh-CN"/>
              </w:rPr>
            </w:pPr>
            <w:r>
              <w:rPr>
                <w:rFonts w:hint="eastAsia"/>
                <w:lang w:val="en-US" w:eastAsia="zh-CN"/>
              </w:rPr>
              <w:t>QES5.1/5.3/S5.4</w:t>
            </w:r>
          </w:p>
          <w:p/>
        </w:tc>
        <w:tc>
          <w:tcPr>
            <w:tcW w:w="10004" w:type="dxa"/>
          </w:tcPr>
          <w:p>
            <w:pPr>
              <w:spacing w:line="240" w:lineRule="auto"/>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―查“质量/环境/职业健安全管理手册”中包括管理体系标准要求的领导作用和承诺内容</w:t>
            </w:r>
            <w:r>
              <w:rPr>
                <w:rFonts w:hint="eastAsia" w:ascii="Times New Roman" w:hAnsi="Times New Roman" w:eastAsia="宋体" w:cs="Times New Roman"/>
                <w:sz w:val="21"/>
                <w:szCs w:val="21"/>
                <w:lang w:eastAsia="zh-CN"/>
              </w:rPr>
              <w:t>。</w:t>
            </w:r>
          </w:p>
          <w:p>
            <w:pPr>
              <w:spacing w:line="240" w:lineRule="auto"/>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rPr>
              <w:t>查管理手册中包括管理者代表任命书，并规定了其职责，管代口述职责，正确</w:t>
            </w:r>
            <w:r>
              <w:rPr>
                <w:rFonts w:hint="eastAsia" w:ascii="Times New Roman" w:hAnsi="Times New Roman" w:eastAsia="宋体" w:cs="Times New Roman"/>
                <w:sz w:val="21"/>
                <w:szCs w:val="21"/>
                <w:lang w:eastAsia="zh-CN"/>
              </w:rPr>
              <w:t>。</w:t>
            </w:r>
          </w:p>
          <w:p>
            <w:pPr>
              <w:spacing w:line="240" w:lineRule="auto"/>
              <w:jc w:val="left"/>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rPr>
              <w:t>查管理手册中包括员工代表任命书，并规定了其职责，员工代表李红梅口述职责，正确</w:t>
            </w:r>
            <w:r>
              <w:rPr>
                <w:rFonts w:hint="eastAsia" w:ascii="Times New Roman" w:hAnsi="Times New Roman" w:eastAsia="宋体" w:cs="Times New Roman"/>
                <w:sz w:val="21"/>
                <w:szCs w:val="21"/>
                <w:lang w:eastAsia="zh-CN"/>
              </w:rPr>
              <w:t>。</w:t>
            </w:r>
          </w:p>
          <w:p>
            <w:pPr>
              <w:spacing w:line="240" w:lineRule="auto"/>
              <w:jc w:val="left"/>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rPr>
              <w:t>查管理手册中包括ＱＥＳ方针、目标、组织机构、职责等</w:t>
            </w:r>
            <w:r>
              <w:rPr>
                <w:rFonts w:hint="eastAsia" w:ascii="Times New Roman" w:hAnsi="Times New Roman" w:eastAsia="宋体" w:cs="Times New Roman"/>
                <w:sz w:val="21"/>
                <w:szCs w:val="21"/>
                <w:lang w:eastAsia="zh-CN"/>
              </w:rPr>
              <w:t>。</w:t>
            </w:r>
          </w:p>
          <w:p>
            <w:pPr>
              <w:spacing w:line="240" w:lineRule="auto"/>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---查顾客满意度统计及分析报告，调查与分析结果，实现预期。</w:t>
            </w:r>
          </w:p>
          <w:p>
            <w:pPr>
              <w:spacing w:line="240" w:lineRule="auto"/>
              <w:jc w:val="lef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能够提供管理体系建立、运行的资源；实施内审、管理评审等。</w:t>
            </w:r>
          </w:p>
          <w:p>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符合</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r>
              <w:rPr>
                <w:rFonts w:hint="eastAsia" w:ascii="宋体" w:hAnsi="宋体"/>
              </w:rPr>
              <w:t>管理方针、目标</w:t>
            </w:r>
          </w:p>
        </w:tc>
        <w:tc>
          <w:tcPr>
            <w:tcW w:w="960" w:type="dxa"/>
            <w:vAlign w:val="top"/>
          </w:tcPr>
          <w:p>
            <w:pPr>
              <w:spacing w:line="240" w:lineRule="auto"/>
              <w:rPr>
                <w:rFonts w:hint="default"/>
                <w:lang w:val="en-US" w:eastAsia="zh-CN"/>
              </w:rPr>
            </w:pPr>
            <w:r>
              <w:rPr>
                <w:rFonts w:hint="eastAsia"/>
                <w:lang w:val="en-US" w:eastAsia="zh-CN"/>
              </w:rPr>
              <w:t>QES5.2/6.2</w:t>
            </w:r>
          </w:p>
          <w:p/>
        </w:tc>
        <w:tc>
          <w:tcPr>
            <w:tcW w:w="10004" w:type="dxa"/>
          </w:tcPr>
          <w:p>
            <w:pPr>
              <w:spacing w:line="240" w:lineRule="auto"/>
              <w:jc w:val="left"/>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rPr>
              <w:t>在管理手册中建立公司的质量、环境和职业健康安全管理方针和目标，基本适宜</w:t>
            </w:r>
            <w:r>
              <w:rPr>
                <w:rFonts w:hint="eastAsia" w:ascii="Times New Roman" w:hAnsi="Times New Roman" w:eastAsia="宋体" w:cs="Times New Roman"/>
                <w:sz w:val="21"/>
                <w:szCs w:val="21"/>
                <w:lang w:eastAsia="zh-CN"/>
              </w:rPr>
              <w:t>。</w:t>
            </w:r>
          </w:p>
          <w:p>
            <w:pPr>
              <w:spacing w:line="400" w:lineRule="exact"/>
              <w:jc w:val="center"/>
              <w:rPr>
                <w:rFonts w:hint="eastAsia" w:ascii="宋体" w:hAnsi="宋体"/>
                <w:sz w:val="24"/>
                <w:lang w:val="en-US" w:eastAsia="zh-CN"/>
              </w:rPr>
            </w:pPr>
            <w:r>
              <w:rPr>
                <w:rFonts w:hint="eastAsia" w:ascii="宋体" w:hAnsi="宋体"/>
                <w:sz w:val="24"/>
                <w:lang w:val="en-US" w:eastAsia="zh-CN"/>
              </w:rPr>
              <w:t>通过持续改进，确保顾客始终满意是我们永恒的追求；</w:t>
            </w:r>
          </w:p>
          <w:p>
            <w:pPr>
              <w:spacing w:line="400" w:lineRule="exact"/>
              <w:jc w:val="center"/>
              <w:rPr>
                <w:rFonts w:hint="eastAsia" w:ascii="宋体" w:hAnsi="宋体"/>
                <w:sz w:val="24"/>
              </w:rPr>
            </w:pPr>
            <w:r>
              <w:rPr>
                <w:rFonts w:hint="eastAsia" w:ascii="宋体" w:hAnsi="宋体"/>
                <w:sz w:val="24"/>
              </w:rPr>
              <w:t>预防污染，达标排放，节能降耗，建设绿色环保型企业；</w:t>
            </w:r>
          </w:p>
          <w:p>
            <w:pPr>
              <w:spacing w:line="400" w:lineRule="exact"/>
              <w:jc w:val="center"/>
              <w:rPr>
                <w:rFonts w:hint="default" w:ascii="宋体" w:hAnsi="宋体" w:eastAsia="宋体"/>
                <w:sz w:val="24"/>
                <w:lang w:val="en-US" w:eastAsia="zh-CN"/>
              </w:rPr>
            </w:pPr>
            <w:r>
              <w:rPr>
                <w:rFonts w:hint="eastAsia" w:ascii="宋体" w:hAnsi="宋体"/>
                <w:sz w:val="24"/>
              </w:rPr>
              <w:t>安全第一，预防为主，有法可依，员工的安全</w:t>
            </w:r>
            <w:r>
              <w:rPr>
                <w:rFonts w:hint="eastAsia" w:ascii="宋体" w:hAnsi="宋体"/>
                <w:sz w:val="24"/>
                <w:lang w:val="en-US" w:eastAsia="zh-CN"/>
              </w:rPr>
              <w:t>健康至上。</w:t>
            </w:r>
          </w:p>
          <w:p>
            <w:pPr>
              <w:spacing w:line="240" w:lineRule="auto"/>
              <w:jc w:val="left"/>
              <w:rPr>
                <w:rFonts w:hint="eastAsia" w:ascii="Times New Roman" w:hAnsi="Times New Roman" w:eastAsia="宋体" w:cs="Times New Roman"/>
                <w:sz w:val="21"/>
                <w:szCs w:val="21"/>
              </w:rPr>
            </w:pPr>
            <w:r>
              <w:rPr>
                <w:rFonts w:hint="eastAsia" w:cs="Times New Roman"/>
                <w:sz w:val="21"/>
                <w:szCs w:val="21"/>
                <w:lang w:val="en-US" w:eastAsia="zh-CN"/>
              </w:rPr>
              <w:t>——</w:t>
            </w:r>
            <w:r>
              <w:rPr>
                <w:rFonts w:hint="eastAsia" w:ascii="Times New Roman" w:hAnsi="Times New Roman" w:eastAsia="宋体" w:cs="Times New Roman"/>
                <w:sz w:val="21"/>
                <w:szCs w:val="21"/>
              </w:rPr>
              <w:t>ＱＥＳ方针与公司战略相适宜</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 xml:space="preserve"> </w:t>
            </w:r>
          </w:p>
          <w:p>
            <w:pPr>
              <w:spacing w:line="240" w:lineRule="auto"/>
              <w:jc w:val="left"/>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rPr>
              <w:t>管理目标</w:t>
            </w:r>
            <w:r>
              <w:rPr>
                <w:rFonts w:hint="eastAsia" w:ascii="Times New Roman" w:hAnsi="Times New Roman" w:eastAsia="宋体" w:cs="Times New Roman"/>
                <w:sz w:val="21"/>
                <w:szCs w:val="21"/>
                <w:lang w:eastAsia="zh-CN"/>
              </w:rPr>
              <w:t>：</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1"/>
              <w:gridCol w:w="3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6480" w:type="dxa"/>
                  <w:gridSpan w:val="2"/>
                  <w:noWrap w:val="0"/>
                  <w:vAlign w:val="center"/>
                </w:tcPr>
                <w:p>
                  <w:pPr>
                    <w:tabs>
                      <w:tab w:val="left" w:pos="1800"/>
                    </w:tabs>
                    <w:spacing w:line="360" w:lineRule="auto"/>
                    <w:jc w:val="center"/>
                    <w:rPr>
                      <w:rFonts w:hint="eastAsia" w:ascii="宋体" w:hAnsi="宋体" w:cs="宋体"/>
                      <w:b/>
                      <w:bCs/>
                      <w:color w:val="000000"/>
                      <w:sz w:val="24"/>
                    </w:rPr>
                  </w:pPr>
                  <w:r>
                    <w:rPr>
                      <w:rFonts w:hint="eastAsia" w:ascii="宋体" w:hAnsi="宋体" w:cs="宋体"/>
                      <w:b/>
                      <w:bCs/>
                      <w:color w:val="000000"/>
                      <w:sz w:val="24"/>
                      <w:lang w:val="en-US" w:eastAsia="zh-CN"/>
                    </w:rPr>
                    <w:t>管理</w:t>
                  </w:r>
                  <w:r>
                    <w:rPr>
                      <w:rFonts w:hint="eastAsia" w:ascii="宋体" w:hAnsi="宋体" w:cs="宋体"/>
                      <w:b/>
                      <w:bCs/>
                      <w:color w:val="000000"/>
                      <w:sz w:val="24"/>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981" w:type="dxa"/>
                  <w:vMerge w:val="restart"/>
                  <w:noWrap w:val="0"/>
                  <w:vAlign w:val="center"/>
                </w:tcPr>
                <w:p>
                  <w:pPr>
                    <w:tabs>
                      <w:tab w:val="left" w:pos="1800"/>
                    </w:tabs>
                    <w:spacing w:line="360" w:lineRule="auto"/>
                    <w:jc w:val="center"/>
                    <w:rPr>
                      <w:rFonts w:hint="eastAsia" w:ascii="宋体" w:hAnsi="宋体" w:cs="宋体"/>
                      <w:bCs/>
                      <w:color w:val="000000"/>
                      <w:sz w:val="24"/>
                    </w:rPr>
                  </w:pPr>
                  <w:r>
                    <w:rPr>
                      <w:rFonts w:hint="eastAsia" w:ascii="宋体" w:hAnsi="宋体" w:cs="宋体"/>
                      <w:bCs/>
                      <w:color w:val="000000"/>
                      <w:sz w:val="24"/>
                    </w:rPr>
                    <w:t>质量目标</w:t>
                  </w:r>
                </w:p>
              </w:tc>
              <w:tc>
                <w:tcPr>
                  <w:tcW w:w="3499" w:type="dxa"/>
                  <w:noWrap w:val="0"/>
                  <w:vAlign w:val="center"/>
                </w:tcPr>
                <w:p>
                  <w:pPr>
                    <w:tabs>
                      <w:tab w:val="left" w:pos="1800"/>
                    </w:tabs>
                    <w:spacing w:line="360" w:lineRule="auto"/>
                    <w:rPr>
                      <w:rFonts w:hint="eastAsia" w:ascii="宋体" w:hAnsi="宋体" w:eastAsia="宋体" w:cs="宋体"/>
                      <w:sz w:val="24"/>
                    </w:rPr>
                  </w:pPr>
                  <w:r>
                    <w:rPr>
                      <w:rFonts w:hint="eastAsia" w:ascii="宋体" w:hAnsi="宋体" w:eastAsia="宋体" w:cs="宋体"/>
                      <w:sz w:val="24"/>
                      <w:lang w:eastAsia="zh-CN"/>
                    </w:rPr>
                    <w:t>一次交付合格率100%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981" w:type="dxa"/>
                  <w:vMerge w:val="continue"/>
                  <w:noWrap w:val="0"/>
                  <w:vAlign w:val="center"/>
                </w:tcPr>
                <w:p>
                  <w:pPr>
                    <w:tabs>
                      <w:tab w:val="left" w:pos="1800"/>
                    </w:tabs>
                    <w:spacing w:line="360" w:lineRule="auto"/>
                    <w:rPr>
                      <w:rFonts w:hint="eastAsia" w:ascii="宋体" w:hAnsi="宋体" w:cs="宋体"/>
                      <w:b/>
                      <w:bCs/>
                      <w:color w:val="000000"/>
                      <w:sz w:val="24"/>
                    </w:rPr>
                  </w:pPr>
                </w:p>
              </w:tc>
              <w:tc>
                <w:tcPr>
                  <w:tcW w:w="3499" w:type="dxa"/>
                  <w:noWrap w:val="0"/>
                  <w:vAlign w:val="center"/>
                </w:tcPr>
                <w:p>
                  <w:pPr>
                    <w:tabs>
                      <w:tab w:val="left" w:pos="1800"/>
                    </w:tabs>
                    <w:spacing w:line="360" w:lineRule="auto"/>
                    <w:rPr>
                      <w:rFonts w:hint="eastAsia" w:ascii="宋体" w:hAnsi="宋体" w:eastAsia="宋体" w:cs="宋体"/>
                      <w:sz w:val="24"/>
                    </w:rPr>
                  </w:pPr>
                  <w:r>
                    <w:rPr>
                      <w:rFonts w:hint="eastAsia" w:ascii="宋体" w:hAnsi="宋体" w:eastAsia="宋体" w:cs="宋体"/>
                      <w:sz w:val="24"/>
                    </w:rPr>
                    <w:t>客户满意率≥9</w:t>
                  </w:r>
                  <w:r>
                    <w:rPr>
                      <w:rFonts w:hint="eastAsia" w:ascii="宋体" w:hAnsi="宋体" w:eastAsia="宋体" w:cs="宋体"/>
                      <w:sz w:val="24"/>
                      <w:lang w:val="en-US" w:eastAsia="zh-CN"/>
                    </w:rPr>
                    <w:t>5</w:t>
                  </w:r>
                  <w:r>
                    <w:rPr>
                      <w:rFonts w:hint="eastAsia" w:ascii="宋体"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981" w:type="dxa"/>
                  <w:vMerge w:val="restart"/>
                  <w:noWrap w:val="0"/>
                  <w:vAlign w:val="center"/>
                </w:tcPr>
                <w:p>
                  <w:pPr>
                    <w:tabs>
                      <w:tab w:val="left" w:pos="1800"/>
                    </w:tabs>
                    <w:spacing w:line="360" w:lineRule="auto"/>
                    <w:jc w:val="center"/>
                    <w:rPr>
                      <w:rFonts w:hint="eastAsia" w:ascii="宋体" w:hAnsi="宋体" w:cs="宋体"/>
                      <w:bCs/>
                      <w:color w:val="000000"/>
                      <w:sz w:val="24"/>
                    </w:rPr>
                  </w:pPr>
                  <w:r>
                    <w:rPr>
                      <w:rFonts w:hint="eastAsia" w:ascii="宋体" w:hAnsi="宋体" w:cs="宋体"/>
                      <w:bCs/>
                      <w:color w:val="000000"/>
                      <w:sz w:val="24"/>
                    </w:rPr>
                    <w:t>环境目标、指标</w:t>
                  </w:r>
                </w:p>
              </w:tc>
              <w:tc>
                <w:tcPr>
                  <w:tcW w:w="3499" w:type="dxa"/>
                  <w:noWrap w:val="0"/>
                  <w:vAlign w:val="center"/>
                </w:tcPr>
                <w:p>
                  <w:pPr>
                    <w:tabs>
                      <w:tab w:val="left" w:pos="1800"/>
                    </w:tabs>
                    <w:spacing w:line="360" w:lineRule="auto"/>
                    <w:rPr>
                      <w:rFonts w:hint="eastAsia" w:ascii="宋体" w:hAnsi="宋体" w:eastAsia="宋体" w:cs="宋体"/>
                      <w:sz w:val="24"/>
                    </w:rPr>
                  </w:pPr>
                  <w:r>
                    <w:rPr>
                      <w:rFonts w:hint="eastAsia" w:ascii="宋体" w:hAnsi="宋体" w:eastAsia="宋体" w:cs="宋体"/>
                      <w:sz w:val="24"/>
                    </w:rPr>
                    <w:t>固废处理达标排放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981" w:type="dxa"/>
                  <w:vMerge w:val="continue"/>
                  <w:noWrap w:val="0"/>
                  <w:vAlign w:val="center"/>
                </w:tcPr>
                <w:p>
                  <w:pPr>
                    <w:tabs>
                      <w:tab w:val="left" w:pos="1800"/>
                    </w:tabs>
                    <w:spacing w:line="360" w:lineRule="auto"/>
                    <w:jc w:val="center"/>
                    <w:rPr>
                      <w:rFonts w:hint="eastAsia" w:ascii="宋体" w:hAnsi="宋体" w:cs="宋体"/>
                      <w:bCs/>
                      <w:color w:val="000000"/>
                      <w:sz w:val="24"/>
                    </w:rPr>
                  </w:pPr>
                </w:p>
              </w:tc>
              <w:tc>
                <w:tcPr>
                  <w:tcW w:w="3499" w:type="dxa"/>
                  <w:noWrap w:val="0"/>
                  <w:vAlign w:val="center"/>
                </w:tcPr>
                <w:p>
                  <w:pPr>
                    <w:tabs>
                      <w:tab w:val="left" w:pos="1800"/>
                    </w:tabs>
                    <w:spacing w:line="360" w:lineRule="auto"/>
                    <w:rPr>
                      <w:rFonts w:hint="default" w:ascii="宋体" w:hAnsi="宋体" w:eastAsia="宋体" w:cs="宋体"/>
                      <w:sz w:val="24"/>
                      <w:lang w:val="en-US" w:eastAsia="zh-CN"/>
                    </w:rPr>
                  </w:pPr>
                  <w:r>
                    <w:rPr>
                      <w:rFonts w:hint="eastAsia" w:ascii="宋体" w:hAnsi="宋体" w:eastAsia="宋体" w:cs="宋体"/>
                      <w:sz w:val="24"/>
                      <w:lang w:val="en-US" w:eastAsia="zh-CN"/>
                    </w:rPr>
                    <w:t>噪声、废气达标排放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2981" w:type="dxa"/>
                  <w:vMerge w:val="continue"/>
                  <w:noWrap w:val="0"/>
                  <w:vAlign w:val="center"/>
                </w:tcPr>
                <w:p>
                  <w:pPr>
                    <w:tabs>
                      <w:tab w:val="left" w:pos="1800"/>
                    </w:tabs>
                    <w:spacing w:line="360" w:lineRule="auto"/>
                    <w:jc w:val="center"/>
                    <w:rPr>
                      <w:rFonts w:hint="eastAsia" w:ascii="宋体" w:hAnsi="宋体" w:cs="宋体"/>
                      <w:b/>
                      <w:bCs/>
                      <w:color w:val="000000"/>
                      <w:sz w:val="24"/>
                    </w:rPr>
                  </w:pPr>
                </w:p>
              </w:tc>
              <w:tc>
                <w:tcPr>
                  <w:tcW w:w="3499" w:type="dxa"/>
                  <w:noWrap w:val="0"/>
                  <w:vAlign w:val="center"/>
                </w:tcPr>
                <w:p>
                  <w:pPr>
                    <w:tabs>
                      <w:tab w:val="left" w:pos="1800"/>
                    </w:tabs>
                    <w:spacing w:line="360" w:lineRule="auto"/>
                    <w:rPr>
                      <w:rFonts w:hint="default" w:ascii="宋体" w:hAnsi="宋体" w:eastAsia="宋体" w:cs="宋体"/>
                      <w:sz w:val="24"/>
                      <w:lang w:val="en-US" w:eastAsia="zh-CN"/>
                    </w:rPr>
                  </w:pPr>
                  <w:r>
                    <w:rPr>
                      <w:rFonts w:hint="eastAsia" w:ascii="宋体" w:hAnsi="宋体" w:eastAsia="宋体" w:cs="宋体"/>
                      <w:sz w:val="24"/>
                    </w:rPr>
                    <w:t>火灾事故发生率为0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981" w:type="dxa"/>
                  <w:vMerge w:val="restart"/>
                  <w:noWrap w:val="0"/>
                  <w:vAlign w:val="center"/>
                </w:tcPr>
                <w:p>
                  <w:pPr>
                    <w:tabs>
                      <w:tab w:val="left" w:pos="1800"/>
                    </w:tabs>
                    <w:spacing w:line="360" w:lineRule="auto"/>
                    <w:rPr>
                      <w:rFonts w:hint="eastAsia" w:ascii="宋体" w:hAnsi="宋体" w:cs="宋体"/>
                      <w:b/>
                      <w:bCs/>
                      <w:color w:val="000000"/>
                      <w:sz w:val="24"/>
                    </w:rPr>
                  </w:pPr>
                  <w:r>
                    <w:rPr>
                      <w:rFonts w:hint="eastAsia" w:ascii="宋体" w:hAnsi="宋体" w:cs="宋体"/>
                      <w:color w:val="000000"/>
                      <w:sz w:val="24"/>
                    </w:rPr>
                    <w:t>职业健康安全</w:t>
                  </w:r>
                  <w:r>
                    <w:rPr>
                      <w:rFonts w:hint="eastAsia" w:ascii="宋体" w:hAnsi="宋体" w:cs="宋体"/>
                      <w:bCs/>
                      <w:color w:val="000000"/>
                      <w:sz w:val="24"/>
                    </w:rPr>
                    <w:t>目标</w:t>
                  </w:r>
                </w:p>
              </w:tc>
              <w:tc>
                <w:tcPr>
                  <w:tcW w:w="3499" w:type="dxa"/>
                  <w:tcBorders>
                    <w:bottom w:val="single" w:color="000000" w:sz="4" w:space="0"/>
                  </w:tcBorders>
                  <w:noWrap w:val="0"/>
                  <w:vAlign w:val="center"/>
                </w:tcPr>
                <w:p>
                  <w:pPr>
                    <w:tabs>
                      <w:tab w:val="left" w:pos="1800"/>
                    </w:tabs>
                    <w:spacing w:line="360" w:lineRule="auto"/>
                    <w:rPr>
                      <w:rFonts w:hint="eastAsia" w:ascii="宋体" w:hAnsi="宋体" w:eastAsia="宋体" w:cs="宋体"/>
                      <w:sz w:val="24"/>
                    </w:rPr>
                  </w:pPr>
                  <w:r>
                    <w:rPr>
                      <w:rFonts w:hint="eastAsia" w:ascii="宋体" w:hAnsi="宋体" w:eastAsia="宋体" w:cs="宋体"/>
                      <w:sz w:val="24"/>
                      <w:lang w:val="en-US" w:eastAsia="zh-CN"/>
                    </w:rPr>
                    <w:t>重大安全事故为0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981" w:type="dxa"/>
                  <w:vMerge w:val="continue"/>
                  <w:noWrap w:val="0"/>
                  <w:vAlign w:val="center"/>
                </w:tcPr>
                <w:p>
                  <w:pPr>
                    <w:tabs>
                      <w:tab w:val="left" w:pos="1800"/>
                    </w:tabs>
                    <w:spacing w:line="360" w:lineRule="auto"/>
                    <w:rPr>
                      <w:rFonts w:hint="eastAsia" w:ascii="宋体" w:hAnsi="宋体" w:cs="宋体"/>
                      <w:color w:val="000000"/>
                      <w:sz w:val="24"/>
                    </w:rPr>
                  </w:pPr>
                </w:p>
              </w:tc>
              <w:tc>
                <w:tcPr>
                  <w:tcW w:w="3499" w:type="dxa"/>
                  <w:tcBorders>
                    <w:top w:val="single" w:color="000000" w:sz="4" w:space="0"/>
                  </w:tcBorders>
                  <w:noWrap w:val="0"/>
                  <w:vAlign w:val="center"/>
                </w:tcPr>
                <w:p>
                  <w:pPr>
                    <w:tabs>
                      <w:tab w:val="left" w:pos="1800"/>
                    </w:tabs>
                    <w:spacing w:line="360" w:lineRule="auto"/>
                    <w:rPr>
                      <w:rFonts w:hint="default" w:ascii="宋体" w:hAnsi="宋体" w:eastAsia="宋体" w:cs="宋体"/>
                      <w:sz w:val="24"/>
                      <w:lang w:val="en-US"/>
                    </w:rPr>
                  </w:pPr>
                  <w:r>
                    <w:rPr>
                      <w:rFonts w:hint="eastAsia" w:ascii="宋体" w:hAnsi="宋体" w:eastAsia="宋体" w:cs="宋体"/>
                      <w:sz w:val="24"/>
                      <w:lang w:val="en-US" w:eastAsia="zh-CN"/>
                    </w:rPr>
                    <w:t>火灾事故发生率为0</w:t>
                  </w:r>
                </w:p>
              </w:tc>
            </w:tr>
          </w:tbl>
          <w:p>
            <w:pPr>
              <w:spacing w:line="240" w:lineRule="auto"/>
              <w:jc w:val="left"/>
              <w:rPr>
                <w:rFonts w:hint="eastAsia" w:cs="Times New Roman"/>
                <w:sz w:val="21"/>
                <w:szCs w:val="21"/>
                <w:lang w:val="en-US" w:eastAsia="zh-CN"/>
              </w:rPr>
            </w:pPr>
          </w:p>
          <w:p>
            <w:pPr>
              <w:spacing w:line="240" w:lineRule="auto"/>
              <w:jc w:val="left"/>
              <w:rPr>
                <w:rFonts w:hint="eastAsia" w:eastAsia="宋体"/>
                <w:lang w:eastAsia="zh-CN"/>
              </w:rPr>
            </w:pPr>
            <w:r>
              <w:rPr>
                <w:rFonts w:hint="eastAsia" w:cs="Times New Roman"/>
                <w:sz w:val="21"/>
                <w:szCs w:val="21"/>
                <w:lang w:val="en-US" w:eastAsia="zh-CN"/>
              </w:rPr>
              <w:t>——</w:t>
            </w:r>
            <w:r>
              <w:rPr>
                <w:rFonts w:hint="eastAsia" w:ascii="Times New Roman" w:hAnsi="Times New Roman" w:eastAsia="宋体" w:cs="Times New Roman"/>
                <w:sz w:val="21"/>
                <w:szCs w:val="21"/>
              </w:rPr>
              <w:t>目标可测量</w:t>
            </w:r>
            <w:r>
              <w:rPr>
                <w:rFonts w:hint="eastAsia" w:cs="Times New Roman"/>
                <w:sz w:val="21"/>
                <w:szCs w:val="21"/>
                <w:lang w:eastAsia="zh-CN"/>
              </w:rPr>
              <w:t>。</w:t>
            </w:r>
          </w:p>
          <w:p>
            <w:pPr>
              <w:spacing w:line="240" w:lineRule="auto"/>
              <w:jc w:val="left"/>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rPr>
              <w:t>通过发放文件、会议（每周部门会议，每月公司会议）、培训等方式向员工传达，使得员工理解和应用</w:t>
            </w:r>
            <w:r>
              <w:rPr>
                <w:rFonts w:hint="eastAsia" w:ascii="Times New Roman" w:hAnsi="Times New Roman" w:eastAsia="宋体" w:cs="Times New Roman"/>
                <w:sz w:val="21"/>
                <w:szCs w:val="21"/>
                <w:lang w:eastAsia="zh-CN"/>
              </w:rPr>
              <w:t>。</w:t>
            </w:r>
          </w:p>
          <w:p>
            <w:pPr>
              <w:spacing w:line="240" w:lineRule="auto"/>
              <w:jc w:val="left"/>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rPr>
              <w:t>建立管理体系，以实现公司的目标</w:t>
            </w:r>
            <w:r>
              <w:rPr>
                <w:rFonts w:hint="eastAsia" w:ascii="Times New Roman" w:hAnsi="Times New Roman" w:eastAsia="宋体" w:cs="Times New Roman"/>
                <w:sz w:val="21"/>
                <w:szCs w:val="21"/>
                <w:lang w:eastAsia="zh-CN"/>
              </w:rPr>
              <w:t>。</w:t>
            </w:r>
          </w:p>
          <w:p>
            <w:pPr>
              <w:spacing w:line="240" w:lineRule="auto"/>
              <w:jc w:val="left"/>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rPr>
              <w:t>管理评审中对适宜性进行评审</w:t>
            </w:r>
            <w:r>
              <w:rPr>
                <w:rFonts w:hint="eastAsia" w:ascii="Times New Roman" w:hAnsi="Times New Roman" w:eastAsia="宋体" w:cs="Times New Roman"/>
                <w:sz w:val="21"/>
                <w:szCs w:val="21"/>
                <w:lang w:eastAsia="zh-CN"/>
              </w:rPr>
              <w:t>。</w:t>
            </w:r>
          </w:p>
          <w:p>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管理方针、目标</w:t>
            </w:r>
            <w:r>
              <w:rPr>
                <w:rFonts w:hint="eastAsia" w:ascii="Times New Roman" w:hAnsi="Times New Roman" w:eastAsia="宋体" w:cs="Times New Roman"/>
                <w:sz w:val="21"/>
                <w:szCs w:val="21"/>
                <w:lang w:val="en-US" w:eastAsia="zh-CN"/>
              </w:rPr>
              <w:t>及其实现的策划基本有效。</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ascii="宋体" w:hAnsi="宋体"/>
              </w:rPr>
            </w:pPr>
            <w:r>
              <w:rPr>
                <w:rFonts w:hint="eastAsia" w:ascii="宋体" w:hAnsi="宋体"/>
                <w:highlight w:val="none"/>
                <w:lang w:val="en-US" w:eastAsia="zh-CN"/>
              </w:rPr>
              <w:t>资源</w:t>
            </w:r>
          </w:p>
        </w:tc>
        <w:tc>
          <w:tcPr>
            <w:tcW w:w="960" w:type="dxa"/>
            <w:vAlign w:val="top"/>
          </w:tcPr>
          <w:p>
            <w:pPr>
              <w:spacing w:line="240" w:lineRule="auto"/>
              <w:rPr>
                <w:rFonts w:hint="eastAsia"/>
                <w:highlight w:val="none"/>
                <w:lang w:val="en-US" w:eastAsia="zh-CN"/>
              </w:rPr>
            </w:pPr>
            <w:r>
              <w:rPr>
                <w:rFonts w:hint="eastAsia"/>
                <w:highlight w:val="none"/>
                <w:lang w:val="en-US" w:eastAsia="zh-CN"/>
              </w:rPr>
              <w:t>Q7.1</w:t>
            </w:r>
          </w:p>
          <w:p>
            <w:pPr>
              <w:pStyle w:val="2"/>
              <w:rPr>
                <w:rFonts w:hint="default"/>
                <w:highlight w:val="none"/>
                <w:lang w:val="en-US" w:eastAsia="zh-CN"/>
              </w:rPr>
            </w:pPr>
            <w:r>
              <w:rPr>
                <w:rFonts w:hint="eastAsia"/>
                <w:highlight w:val="none"/>
                <w:lang w:val="en-US" w:eastAsia="zh-CN"/>
              </w:rPr>
              <w:t>ES7.1.1</w:t>
            </w:r>
          </w:p>
          <w:p/>
        </w:tc>
        <w:tc>
          <w:tcPr>
            <w:tcW w:w="10004" w:type="dxa"/>
          </w:tcPr>
          <w:p>
            <w:pPr>
              <w:pStyle w:val="13"/>
              <w:rPr>
                <w:rFonts w:hint="eastAsia" w:ascii="Times New Roman" w:hAnsi="Times New Roman" w:eastAsia="宋体" w:cs="Times New Roman"/>
                <w:bCs w:val="0"/>
                <w:spacing w:val="0"/>
                <w:kern w:val="2"/>
                <w:sz w:val="21"/>
                <w:lang w:val="en-US" w:eastAsia="zh-CN" w:bidi="ar-SA"/>
              </w:rPr>
            </w:pPr>
            <w:r>
              <w:rPr>
                <w:rFonts w:hint="eastAsia" w:cs="Times New Roman"/>
                <w:bCs w:val="0"/>
                <w:spacing w:val="0"/>
                <w:kern w:val="2"/>
                <w:sz w:val="21"/>
                <w:lang w:val="en-US" w:eastAsia="zh-CN" w:bidi="ar-SA"/>
              </w:rPr>
              <w:t>主厂房1150</w:t>
            </w:r>
            <w:r>
              <w:rPr>
                <w:rFonts w:hint="eastAsia" w:ascii="Times New Roman" w:hAnsi="Times New Roman" w:eastAsia="宋体" w:cs="Times New Roman"/>
                <w:bCs w:val="0"/>
                <w:spacing w:val="0"/>
                <w:kern w:val="2"/>
                <w:sz w:val="21"/>
                <w:lang w:val="en-US" w:eastAsia="zh-CN" w:bidi="ar-SA"/>
              </w:rPr>
              <w:t>平，综合楼340平；配备了生产所需的主要设备有：搅拌机、变压器、5#砖机（群峰）、中联叉车、装载机、洗轮机、雾炮降尘机等；配备了生产所需的主要计量器具：地磅、直角尺、卷尺、温湿度计、天平等。</w:t>
            </w:r>
          </w:p>
          <w:p>
            <w:pPr>
              <w:pStyle w:val="13"/>
              <w:rPr>
                <w:rFonts w:hint="default" w:ascii="Times New Roman" w:hAnsi="Times New Roman" w:eastAsia="宋体" w:cs="Times New Roman"/>
                <w:bCs w:val="0"/>
                <w:spacing w:val="0"/>
                <w:kern w:val="2"/>
                <w:sz w:val="21"/>
                <w:lang w:val="en-US" w:eastAsia="zh-CN" w:bidi="ar-SA"/>
              </w:rPr>
            </w:pPr>
            <w:r>
              <w:rPr>
                <w:rFonts w:hint="eastAsia" w:cs="Times New Roman"/>
                <w:bCs w:val="0"/>
                <w:spacing w:val="0"/>
                <w:kern w:val="2"/>
                <w:sz w:val="21"/>
                <w:lang w:val="en-US" w:eastAsia="zh-CN" w:bidi="ar-SA"/>
              </w:rPr>
              <w:t>——经专业审核员确认，满足企业现阶段生产经营需求。</w:t>
            </w:r>
          </w:p>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ascii="宋体" w:hAnsi="宋体"/>
                <w:highlight w:val="none"/>
                <w:lang w:val="en-US" w:eastAsia="zh-CN"/>
              </w:rPr>
            </w:pPr>
            <w:r>
              <w:rPr>
                <w:rFonts w:hint="eastAsia" w:ascii="宋体" w:hAnsi="宋体"/>
                <w:lang w:val="en-US" w:eastAsia="zh-CN"/>
              </w:rPr>
              <w:t>管理评审的策划及实施情况</w:t>
            </w:r>
          </w:p>
        </w:tc>
        <w:tc>
          <w:tcPr>
            <w:tcW w:w="960" w:type="dxa"/>
            <w:vAlign w:val="top"/>
          </w:tcPr>
          <w:p>
            <w:r>
              <w:rPr>
                <w:rFonts w:hint="eastAsia"/>
                <w:lang w:val="en-US" w:eastAsia="zh-CN"/>
              </w:rPr>
              <w:t>QES9.3</w:t>
            </w:r>
          </w:p>
        </w:tc>
        <w:tc>
          <w:tcPr>
            <w:tcW w:w="10004" w:type="dxa"/>
          </w:tcPr>
          <w:p>
            <w:pPr>
              <w:spacing w:line="240" w:lineRule="auto"/>
              <w:jc w:val="left"/>
              <w:rPr>
                <w:rFonts w:hint="eastAsia"/>
                <w:lang w:val="en-US" w:eastAsia="zh-CN"/>
              </w:rPr>
            </w:pPr>
            <w:r>
              <w:rPr>
                <w:rFonts w:hint="eastAsia"/>
                <w:lang w:val="en-US" w:eastAsia="zh-CN"/>
              </w:rPr>
              <w:t>---查公司策划了：管理评审程序。</w:t>
            </w:r>
          </w:p>
          <w:p>
            <w:pPr>
              <w:spacing w:line="240" w:lineRule="auto"/>
              <w:jc w:val="left"/>
              <w:rPr>
                <w:rFonts w:hint="eastAsia"/>
                <w:lang w:val="en-US" w:eastAsia="zh-CN"/>
              </w:rPr>
            </w:pPr>
            <w:r>
              <w:rPr>
                <w:rFonts w:hint="eastAsia"/>
                <w:lang w:val="en-US" w:eastAsia="zh-CN"/>
              </w:rPr>
              <w:t>---管理评审的实施情况：建立管理体系至今进行管评一次，提供了相应的记录，如下：</w:t>
            </w:r>
          </w:p>
          <w:p>
            <w:pPr>
              <w:spacing w:line="240" w:lineRule="auto"/>
              <w:jc w:val="left"/>
              <w:rPr>
                <w:rFonts w:hint="default"/>
                <w:lang w:val="en-US" w:eastAsia="zh-CN"/>
              </w:rPr>
            </w:pPr>
            <w:r>
              <w:rPr>
                <w:rFonts w:hint="default"/>
                <w:lang w:val="en-US" w:eastAsia="zh-CN"/>
              </w:rPr>
              <w:t>公司在</w:t>
            </w:r>
            <w:r>
              <w:rPr>
                <w:rFonts w:hint="eastAsia"/>
                <w:lang w:val="en-US" w:eastAsia="zh-CN"/>
              </w:rPr>
              <w:t>2022.10.25.实施</w:t>
            </w:r>
            <w:r>
              <w:rPr>
                <w:rFonts w:hint="default"/>
                <w:lang w:val="en-US" w:eastAsia="zh-CN"/>
              </w:rPr>
              <w:t>了管理评审活动，所有职能部门参与，提供了手写的签到表；主要的输入：</w:t>
            </w:r>
          </w:p>
          <w:p>
            <w:pPr>
              <w:pStyle w:val="2"/>
              <w:rPr>
                <w:rFonts w:hint="default"/>
                <w:lang w:val="en-US" w:eastAsia="zh-CN"/>
              </w:rPr>
            </w:pPr>
            <w:r>
              <w:rPr>
                <w:rFonts w:hint="default"/>
                <w:lang w:val="en-US" w:eastAsia="zh-CN"/>
              </w:rPr>
              <w:t>评审会议议程</w:t>
            </w:r>
          </w:p>
          <w:p>
            <w:pPr>
              <w:pStyle w:val="2"/>
              <w:rPr>
                <w:rFonts w:hint="default"/>
                <w:lang w:val="en-US" w:eastAsia="zh-CN"/>
              </w:rPr>
            </w:pPr>
            <w:r>
              <w:rPr>
                <w:rFonts w:hint="default"/>
                <w:lang w:val="en-US" w:eastAsia="zh-CN"/>
              </w:rPr>
              <w:t>时间（8：30—11：30）</w:t>
            </w:r>
          </w:p>
          <w:p>
            <w:pPr>
              <w:pStyle w:val="2"/>
              <w:rPr>
                <w:rFonts w:hint="default"/>
                <w:lang w:val="en-US" w:eastAsia="zh-CN"/>
              </w:rPr>
            </w:pPr>
            <w:r>
              <w:rPr>
                <w:rFonts w:hint="default"/>
                <w:lang w:val="en-US" w:eastAsia="zh-CN"/>
              </w:rPr>
              <w:t>1．总经理主持会议，简要的说明本次会议的主要目的及时间安排等情况。</w:t>
            </w:r>
          </w:p>
          <w:p>
            <w:pPr>
              <w:pStyle w:val="2"/>
              <w:rPr>
                <w:rFonts w:hint="default"/>
                <w:lang w:val="en-US" w:eastAsia="zh-CN"/>
              </w:rPr>
            </w:pPr>
            <w:r>
              <w:rPr>
                <w:rFonts w:hint="default"/>
                <w:lang w:val="en-US" w:eastAsia="zh-CN"/>
              </w:rPr>
              <w:t>2．办公室负责汇报内部审核结果、环境因素/危险源、环境/职业健康安全运行控制及本部门体系运行情况(包括目标、指标和管理方案的完成情况)及企业风险分析及应对措施。</w:t>
            </w:r>
          </w:p>
          <w:p>
            <w:pPr>
              <w:pStyle w:val="2"/>
              <w:rPr>
                <w:rFonts w:hint="default"/>
                <w:lang w:val="en-US" w:eastAsia="zh-CN"/>
              </w:rPr>
            </w:pPr>
            <w:r>
              <w:rPr>
                <w:rFonts w:hint="default"/>
                <w:lang w:val="en-US" w:eastAsia="zh-CN"/>
              </w:rPr>
              <w:t>3. 办公室汇报法律法规的遵循情况及合规性评价、环境/职业健康安全绩效的监视和测量及本部门体系运行情况(包括目标、指标和管理方案的完成情况) 、相关方的意见反馈情况，包括抱怨、投诉。</w:t>
            </w:r>
          </w:p>
          <w:p>
            <w:pPr>
              <w:pStyle w:val="2"/>
              <w:rPr>
                <w:rFonts w:hint="default"/>
                <w:lang w:val="en-US" w:eastAsia="zh-CN"/>
              </w:rPr>
            </w:pPr>
            <w:r>
              <w:rPr>
                <w:rFonts w:hint="default"/>
                <w:lang w:val="en-US" w:eastAsia="zh-CN"/>
              </w:rPr>
              <w:t>4.生技部汇报产品和服务符合性报告、环境/职业健康安全运行控制的监控制及应急准备和响应的控制，本部门体系运行情况(包括目标、指标和管理方案的完成情况)；</w:t>
            </w:r>
          </w:p>
          <w:p>
            <w:pPr>
              <w:pStyle w:val="2"/>
              <w:rPr>
                <w:rFonts w:hint="default"/>
                <w:lang w:val="en-US" w:eastAsia="zh-CN"/>
              </w:rPr>
            </w:pPr>
            <w:r>
              <w:rPr>
                <w:rFonts w:hint="default"/>
                <w:lang w:val="en-US" w:eastAsia="zh-CN"/>
              </w:rPr>
              <w:t>5.办公室（业务）汇报产品和服务符合性报告、顾客的意见及要求反馈情况、顾客满意度调查及本部门体系运行情况(包括目标、指标和管理方案的完成情况)。</w:t>
            </w:r>
          </w:p>
          <w:p>
            <w:pPr>
              <w:pStyle w:val="2"/>
              <w:rPr>
                <w:rFonts w:hint="default"/>
                <w:lang w:val="en-US" w:eastAsia="zh-CN"/>
              </w:rPr>
            </w:pPr>
            <w:r>
              <w:rPr>
                <w:rFonts w:hint="default"/>
                <w:lang w:val="en-US" w:eastAsia="zh-CN"/>
              </w:rPr>
              <w:t>6.办公室负责汇报合格供方的绩效及本部门体系运行情况(包括目标、指标和管理方案的完成情况)。</w:t>
            </w:r>
          </w:p>
          <w:p>
            <w:pPr>
              <w:pStyle w:val="2"/>
              <w:rPr>
                <w:rFonts w:hint="default"/>
                <w:lang w:val="en-US" w:eastAsia="zh-CN"/>
              </w:rPr>
            </w:pPr>
            <w:r>
              <w:rPr>
                <w:rFonts w:hint="default"/>
                <w:lang w:val="en-US" w:eastAsia="zh-CN"/>
              </w:rPr>
              <w:t>7.各部门分别汇报本部门体系运行情况(包括目标、指标和管理方案的完成情况)。</w:t>
            </w:r>
          </w:p>
          <w:p>
            <w:pPr>
              <w:pStyle w:val="2"/>
              <w:rPr>
                <w:rFonts w:hint="default"/>
                <w:lang w:val="en-US" w:eastAsia="zh-CN"/>
              </w:rPr>
            </w:pPr>
            <w:r>
              <w:rPr>
                <w:rFonts w:hint="default"/>
                <w:lang w:val="en-US" w:eastAsia="zh-CN"/>
              </w:rPr>
              <w:t>8. 与会人员对目前存在的问题、公司管理方针和目标和管理方案的适宜性展开讨论。</w:t>
            </w:r>
          </w:p>
          <w:p>
            <w:pPr>
              <w:pStyle w:val="2"/>
              <w:rPr>
                <w:rFonts w:hint="default"/>
                <w:lang w:val="en-US" w:eastAsia="zh-CN"/>
              </w:rPr>
            </w:pPr>
            <w:r>
              <w:rPr>
                <w:rFonts w:hint="default"/>
                <w:lang w:val="en-US" w:eastAsia="zh-CN"/>
              </w:rPr>
              <w:t xml:space="preserve">9. 总经理做总结，对提出的纠正预防措施进行了确认，责成相关部门具体实施纠正预防措施并由办公室（财务）进行验证。管理者代表就体系运行以来的情况做总结（包括取得的成绩和不足之处）。      </w:t>
            </w:r>
          </w:p>
          <w:p>
            <w:pPr>
              <w:pStyle w:val="2"/>
              <w:rPr>
                <w:rFonts w:hint="default"/>
                <w:lang w:val="en-US" w:eastAsia="zh-CN"/>
              </w:rPr>
            </w:pPr>
            <w:r>
              <w:rPr>
                <w:rFonts w:hint="default"/>
                <w:lang w:val="en-US" w:eastAsia="zh-CN"/>
              </w:rPr>
              <w:t>总经理希望各部门、人员继续努力，持续改进公司的管理体系，以实现公司的长远发展，并祝贺本次会议取得圆满的成功。</w:t>
            </w:r>
          </w:p>
          <w:p>
            <w:pPr>
              <w:pStyle w:val="2"/>
              <w:rPr>
                <w:rFonts w:hint="default"/>
                <w:lang w:val="en-US" w:eastAsia="zh-CN"/>
              </w:rPr>
            </w:pPr>
            <w:r>
              <w:rPr>
                <w:rFonts w:hint="default"/>
                <w:lang w:val="en-US" w:eastAsia="zh-CN"/>
              </w:rPr>
              <w:t>10. 评审采取逐项评审方法，与会人员积极发言，就上述发言逐项评议，对照GB/T19001-2016、GB/T24001-2016、GB/T45001-2020标准和体系文件的规定，结合本公司实际，就存在问题认真分析原因，制定纠正预防措施，真正把标准要求落实到个部门工作实际中。</w:t>
            </w:r>
          </w:p>
          <w:p>
            <w:pPr>
              <w:pStyle w:val="2"/>
              <w:rPr>
                <w:rFonts w:hint="default"/>
                <w:lang w:val="en-US" w:eastAsia="zh-CN"/>
              </w:rPr>
            </w:pPr>
            <w:r>
              <w:rPr>
                <w:rFonts w:hint="default"/>
                <w:lang w:val="en-US" w:eastAsia="zh-CN"/>
              </w:rPr>
              <w:t>13. 11：30大会结束。</w:t>
            </w:r>
          </w:p>
          <w:p>
            <w:pPr>
              <w:pStyle w:val="2"/>
              <w:rPr>
                <w:rFonts w:hint="default"/>
                <w:lang w:val="en-US" w:eastAsia="zh-CN"/>
              </w:rPr>
            </w:pPr>
            <w:r>
              <w:rPr>
                <w:rFonts w:hint="default"/>
                <w:lang w:val="en-US" w:eastAsia="zh-CN"/>
              </w:rPr>
              <w:t>评审结论：</w:t>
            </w:r>
          </w:p>
          <w:p>
            <w:pPr>
              <w:pStyle w:val="2"/>
              <w:rPr>
                <w:rFonts w:hint="default"/>
                <w:lang w:val="en-US" w:eastAsia="zh-CN"/>
              </w:rPr>
            </w:pPr>
            <w:r>
              <w:rPr>
                <w:rFonts w:hint="default"/>
                <w:lang w:val="en-US" w:eastAsia="zh-CN"/>
              </w:rPr>
              <w:t>公司已按照GB/T19001-2016、GB/T24001-2016、GB/T45001-2020标准建立了符合本公司实际的管理体系，体系是持续适宜的、充分的和有效的。基本能够得到实施和保持。方针、目标和指标是适应的，正在通过体系的运行不断实现。</w:t>
            </w:r>
          </w:p>
          <w:p>
            <w:pPr>
              <w:pStyle w:val="2"/>
              <w:rPr>
                <w:rFonts w:hint="default"/>
                <w:lang w:val="en-US" w:eastAsia="zh-CN"/>
              </w:rPr>
            </w:pPr>
            <w:r>
              <w:rPr>
                <w:rFonts w:hint="default"/>
                <w:lang w:val="en-US" w:eastAsia="zh-CN"/>
              </w:rPr>
              <w:t>通过本次管理评审，确保了质量、环境和职业健康安全方针、目标和管理体系持续的适宜性、充分性和有效性，达到了持续改进的目的，为下一步外审工作奠定了良好的基础。</w:t>
            </w:r>
          </w:p>
          <w:p>
            <w:pPr>
              <w:pStyle w:val="2"/>
              <w:rPr>
                <w:rFonts w:hint="default"/>
                <w:lang w:val="en-US" w:eastAsia="zh-CN"/>
              </w:rPr>
            </w:pPr>
            <w:r>
              <w:rPr>
                <w:rFonts w:hint="default"/>
                <w:lang w:val="en-US" w:eastAsia="zh-CN"/>
              </w:rPr>
              <w:t>改进、纠正和预防措施摘要及责任部门：</w:t>
            </w:r>
          </w:p>
          <w:p>
            <w:pPr>
              <w:pStyle w:val="2"/>
              <w:rPr>
                <w:rFonts w:hint="default"/>
                <w:lang w:val="en-US" w:eastAsia="zh-CN"/>
              </w:rPr>
            </w:pPr>
            <w:r>
              <w:rPr>
                <w:rFonts w:hint="default"/>
                <w:lang w:val="en-US" w:eastAsia="zh-CN"/>
              </w:rPr>
              <w:t>1.为解决监管力度不够的情况，要求办公室今后每季度至少组织一次对体系运行情况的监督检查；</w:t>
            </w:r>
          </w:p>
          <w:p>
            <w:pPr>
              <w:pStyle w:val="2"/>
              <w:rPr>
                <w:rFonts w:hint="default"/>
                <w:lang w:val="en-US" w:eastAsia="zh-CN"/>
              </w:rPr>
            </w:pPr>
            <w:r>
              <w:rPr>
                <w:rFonts w:hint="default"/>
                <w:lang w:val="en-US" w:eastAsia="zh-CN"/>
              </w:rPr>
              <w:t>2.办公室继续抓好对员工的质量、环境、职业健康安全意识教育。</w:t>
            </w:r>
          </w:p>
          <w:p>
            <w:pPr>
              <w:pStyle w:val="2"/>
              <w:rPr>
                <w:rFonts w:hint="default"/>
                <w:lang w:val="en-US" w:eastAsia="zh-CN"/>
              </w:rPr>
            </w:pPr>
            <w:r>
              <w:rPr>
                <w:rFonts w:hint="eastAsia"/>
                <w:lang w:val="en-US" w:eastAsia="zh-CN"/>
              </w:rPr>
              <w:t>---管评已发放相关职能部门。</w:t>
            </w:r>
          </w:p>
          <w:p>
            <w:pPr>
              <w:rPr>
                <w:rFonts w:hint="eastAsia"/>
                <w:lang w:val="en-US" w:eastAsia="zh-CN"/>
              </w:rPr>
            </w:pPr>
            <w:r>
              <w:rPr>
                <w:rFonts w:hint="eastAsia"/>
                <w:lang w:val="en-US" w:eastAsia="zh-CN"/>
              </w:rPr>
              <w:t>——基本符合</w:t>
            </w:r>
          </w:p>
          <w:p>
            <w:pPr>
              <w:pStyle w:val="2"/>
            </w:pPr>
            <w:r>
              <w:drawing>
                <wp:inline distT="0" distB="0" distL="114300" distR="114300">
                  <wp:extent cx="2768600" cy="2526665"/>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2768600" cy="2526665"/>
                          </a:xfrm>
                          <a:prstGeom prst="rect">
                            <a:avLst/>
                          </a:prstGeom>
                          <a:noFill/>
                          <a:ln>
                            <a:noFill/>
                          </a:ln>
                        </pic:spPr>
                      </pic:pic>
                    </a:graphicData>
                  </a:graphic>
                </wp:inline>
              </w:drawing>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00" w:lineRule="exact"/>
              <w:rPr>
                <w:rFonts w:ascii="宋体" w:hAnsi="宋体" w:cs="新宋体"/>
                <w:sz w:val="21"/>
                <w:szCs w:val="21"/>
              </w:rPr>
            </w:pPr>
            <w:r>
              <w:rPr>
                <w:rFonts w:hint="eastAsia" w:ascii="宋体" w:hAnsi="宋体" w:cs="新宋体"/>
                <w:sz w:val="21"/>
                <w:szCs w:val="21"/>
              </w:rPr>
              <w:t>监测、分析和评价总则；改进 总则；持续改进；</w:t>
            </w:r>
          </w:p>
          <w:p>
            <w:pPr>
              <w:rPr>
                <w:rFonts w:hint="eastAsia" w:ascii="宋体" w:hAnsi="宋体"/>
                <w:lang w:val="en-US" w:eastAsia="zh-CN"/>
              </w:rPr>
            </w:pPr>
          </w:p>
        </w:tc>
        <w:tc>
          <w:tcPr>
            <w:tcW w:w="960" w:type="dxa"/>
            <w:vAlign w:val="top"/>
          </w:tcPr>
          <w:p>
            <w:pPr>
              <w:rPr>
                <w:rFonts w:hint="default"/>
                <w:lang w:val="en-US" w:eastAsia="zh-CN"/>
              </w:rPr>
            </w:pPr>
            <w:r>
              <w:rPr>
                <w:rFonts w:hint="eastAsia"/>
                <w:lang w:val="en-US" w:eastAsia="zh-CN"/>
              </w:rPr>
              <w:t>QES9.1.1/10.1/10.3</w:t>
            </w:r>
          </w:p>
        </w:tc>
        <w:tc>
          <w:tcPr>
            <w:tcW w:w="10004" w:type="dxa"/>
          </w:tcPr>
          <w:p>
            <w:pPr>
              <w:rPr>
                <w:rFonts w:hint="eastAsia"/>
              </w:rPr>
            </w:pPr>
            <w:r>
              <w:rPr>
                <w:rFonts w:hint="eastAsia"/>
                <w:lang w:val="en-US" w:eastAsia="zh-CN"/>
              </w:rPr>
              <w:t>---负责人表述，公司</w:t>
            </w:r>
            <w:r>
              <w:rPr>
                <w:rFonts w:hint="eastAsia"/>
              </w:rPr>
              <w:t>通过管理评审、内审、目标指标考核、过程控制、纠正措施和预防措施等方式，进行质量和环境</w:t>
            </w:r>
            <w:r>
              <w:rPr>
                <w:rFonts w:hint="eastAsia"/>
                <w:lang w:eastAsia="zh-CN"/>
              </w:rPr>
              <w:t>、</w:t>
            </w:r>
            <w:r>
              <w:rPr>
                <w:rFonts w:hint="eastAsia"/>
                <w:lang w:val="en-US" w:eastAsia="zh-CN"/>
              </w:rPr>
              <w:t>安全</w:t>
            </w:r>
            <w:r>
              <w:rPr>
                <w:rFonts w:hint="eastAsia"/>
              </w:rPr>
              <w:t>管理体系过程的监视和测量，找出改进点，持续改进质量、环境和健康安全管理体系的运行有效性。</w:t>
            </w:r>
          </w:p>
          <w:p>
            <w:pPr>
              <w:rPr>
                <w:rFonts w:hint="eastAsia"/>
              </w:rPr>
            </w:pPr>
            <w:r>
              <w:rPr>
                <w:rFonts w:hint="eastAsia"/>
                <w:lang w:val="en-US" w:eastAsia="zh-CN"/>
              </w:rPr>
              <w:t>---</w:t>
            </w:r>
            <w:r>
              <w:rPr>
                <w:rFonts w:hint="eastAsia"/>
              </w:rPr>
              <w:t>过程的监视、测量、分析、评价主要表现在以下几个方面</w:t>
            </w:r>
          </w:p>
          <w:p>
            <w:pPr>
              <w:rPr>
                <w:rFonts w:hint="eastAsia"/>
              </w:rPr>
            </w:pPr>
            <w:r>
              <w:rPr>
                <w:rFonts w:hint="eastAsia"/>
              </w:rPr>
              <w:t>1.目标指标考评：其</w:t>
            </w:r>
            <w:r>
              <w:rPr>
                <w:rFonts w:hint="eastAsia"/>
                <w:lang w:val="en-US" w:eastAsia="zh-CN"/>
              </w:rPr>
              <w:t>贯标期内</w:t>
            </w:r>
            <w:r>
              <w:rPr>
                <w:rFonts w:hint="eastAsia"/>
              </w:rPr>
              <w:t>目标指标</w:t>
            </w:r>
            <w:r>
              <w:rPr>
                <w:rFonts w:hint="eastAsia"/>
                <w:lang w:val="en-US" w:eastAsia="zh-CN"/>
              </w:rPr>
              <w:t>均已</w:t>
            </w:r>
            <w:r>
              <w:rPr>
                <w:rFonts w:hint="eastAsia"/>
              </w:rPr>
              <w:t>达成，有效证实体系过程具备目标指标的实现能力。</w:t>
            </w:r>
          </w:p>
          <w:p>
            <w:pPr>
              <w:rPr>
                <w:rFonts w:hint="eastAsia"/>
              </w:rPr>
            </w:pPr>
            <w:r>
              <w:rPr>
                <w:rFonts w:hint="eastAsia"/>
              </w:rPr>
              <w:t>2. 日常监测包括自查、接受检查，目前未发现</w:t>
            </w:r>
            <w:r>
              <w:rPr>
                <w:rFonts w:hint="eastAsia"/>
                <w:lang w:val="en-US" w:eastAsia="zh-CN"/>
              </w:rPr>
              <w:t>严重影响体系运行</w:t>
            </w:r>
            <w:r>
              <w:rPr>
                <w:rFonts w:hint="eastAsia"/>
              </w:rPr>
              <w:t>的问题。对目标进行考核，目标经考核能完成。对完成情况进行分析，在工作报告中，整体认为</w:t>
            </w:r>
            <w:r>
              <w:rPr>
                <w:rFonts w:hint="eastAsia"/>
                <w:lang w:val="en-US" w:eastAsia="zh-CN"/>
              </w:rPr>
              <w:t>公司</w:t>
            </w:r>
            <w:r>
              <w:rPr>
                <w:rFonts w:hint="eastAsia"/>
              </w:rPr>
              <w:t>的监测分析工作基本有效。本年度内审中发现的不符合</w:t>
            </w:r>
            <w:r>
              <w:rPr>
                <w:rFonts w:hint="eastAsia"/>
                <w:lang w:val="en-US" w:eastAsia="zh-CN"/>
              </w:rPr>
              <w:t>已整改验证关闭</w:t>
            </w:r>
            <w:r>
              <w:rPr>
                <w:rFonts w:hint="eastAsia"/>
              </w:rPr>
              <w:t>。管评的改进措施正在实施中。</w:t>
            </w:r>
            <w:r>
              <w:rPr>
                <w:rFonts w:hint="eastAsia"/>
                <w:lang w:val="en-US" w:eastAsia="zh-CN"/>
              </w:rPr>
              <w:t>公司</w:t>
            </w:r>
            <w:r>
              <w:rPr>
                <w:rFonts w:hint="eastAsia"/>
              </w:rPr>
              <w:t>执行质量、环境、职业健康安全手册相关内容，明确公司收集分析信息数据的内容、责任部门及方法等内容。分析和评价机制</w:t>
            </w:r>
            <w:r>
              <w:rPr>
                <w:rFonts w:hint="eastAsia"/>
                <w:lang w:val="en-US" w:eastAsia="zh-CN"/>
              </w:rPr>
              <w:t>运行有效</w:t>
            </w:r>
            <w:r>
              <w:rPr>
                <w:rFonts w:hint="eastAsia"/>
              </w:rPr>
              <w:t>。基本符合要求。</w:t>
            </w:r>
          </w:p>
          <w:p>
            <w:pPr>
              <w:rPr>
                <w:rFonts w:hint="eastAsia"/>
              </w:rPr>
            </w:pPr>
            <w:r>
              <w:rPr>
                <w:rFonts w:hint="eastAsia"/>
              </w:rPr>
              <w:t>3.过程控制：出示有“</w:t>
            </w:r>
            <w:r>
              <w:rPr>
                <w:rFonts w:hint="eastAsia"/>
                <w:lang w:val="en-US" w:eastAsia="zh-CN"/>
              </w:rPr>
              <w:t>目标、指标完成情况监控记录2022</w:t>
            </w:r>
            <w:r>
              <w:rPr>
                <w:rFonts w:hint="eastAsia"/>
              </w:rPr>
              <w:t>”，“</w:t>
            </w:r>
            <w:r>
              <w:rPr>
                <w:rFonts w:hint="eastAsia"/>
                <w:lang w:val="en-US" w:eastAsia="zh-CN"/>
              </w:rPr>
              <w:t>内审检查表</w:t>
            </w:r>
            <w:r>
              <w:rPr>
                <w:rFonts w:hint="eastAsia"/>
              </w:rPr>
              <w:t>”等。</w:t>
            </w:r>
          </w:p>
          <w:p>
            <w:r>
              <w:rPr>
                <w:rFonts w:hint="eastAsia"/>
              </w:rPr>
              <w:t>——上述描述基本有效证实了体系过程监视、测量、分析和评价</w:t>
            </w:r>
            <w:r>
              <w:rPr>
                <w:rFonts w:hint="eastAsia"/>
                <w:lang w:val="en-US" w:eastAsia="zh-CN"/>
              </w:rPr>
              <w:t>及改进过程</w:t>
            </w:r>
            <w:r>
              <w:rPr>
                <w:rFonts w:hint="eastAsia"/>
              </w:rPr>
              <w:t>符合要求。</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ascii="宋体" w:hAnsi="宋体"/>
                <w:lang w:val="en-US" w:eastAsia="zh-CN"/>
              </w:rPr>
            </w:pPr>
            <w:r>
              <w:rPr>
                <w:rFonts w:hint="eastAsia" w:ascii="宋体" w:hAnsi="宋体"/>
              </w:rPr>
              <w:t>产品质量状况(包括质量/环境/安全事故、顾客投诉、监督部门抽查/监测等</w:t>
            </w:r>
          </w:p>
        </w:tc>
        <w:tc>
          <w:tcPr>
            <w:tcW w:w="960" w:type="dxa"/>
            <w:vAlign w:val="top"/>
          </w:tcPr>
          <w:p>
            <w:pPr>
              <w:rPr>
                <w:rFonts w:hint="eastAsia"/>
                <w:lang w:val="en-US" w:eastAsia="zh-CN"/>
              </w:rPr>
            </w:pPr>
          </w:p>
        </w:tc>
        <w:tc>
          <w:tcPr>
            <w:tcW w:w="10004" w:type="dxa"/>
          </w:tcPr>
          <w:p>
            <w:pPr>
              <w:pStyle w:val="15"/>
              <w:rPr>
                <w:rFonts w:hint="eastAsia"/>
              </w:rPr>
            </w:pPr>
            <w:r>
              <w:rPr>
                <w:rFonts w:hint="eastAsia"/>
              </w:rPr>
              <w:t>公司领导介绍，公司在年度</w:t>
            </w:r>
            <w:r>
              <w:rPr>
                <w:rFonts w:hint="eastAsia"/>
                <w:lang w:val="en-US" w:eastAsia="zh-CN"/>
              </w:rPr>
              <w:t>顾客</w:t>
            </w:r>
            <w:r>
              <w:rPr>
                <w:rFonts w:hint="eastAsia"/>
              </w:rPr>
              <w:t>满意程度调查中，得分较高。同时，至今无重大投诉、媒体曝光、人员伤亡及重大事故（质量/职业健康安全/环境事故）发生。</w:t>
            </w:r>
          </w:p>
          <w:p>
            <w:pPr>
              <w:pStyle w:val="15"/>
              <w:rPr>
                <w:rFonts w:hint="eastAsia"/>
                <w:lang w:val="en-US" w:eastAsia="zh-CN"/>
              </w:rPr>
            </w:pPr>
            <w:r>
              <w:rPr>
                <w:rFonts w:hint="eastAsia"/>
                <w:lang w:val="en-US" w:eastAsia="zh-CN"/>
              </w:rPr>
              <w:t>通过信用中国等公开渠道查询，未发现行政处罚及异常经营信息。</w:t>
            </w:r>
          </w:p>
          <w:p>
            <w:pPr>
              <w:pStyle w:val="15"/>
              <w:rPr>
                <w:rFonts w:hint="eastAsia"/>
                <w:lang w:val="en-US" w:eastAsia="zh-CN"/>
              </w:rPr>
            </w:pPr>
            <w:r>
              <w:rPr>
                <w:rFonts w:hint="eastAsia"/>
                <w:lang w:val="en-US" w:eastAsia="zh-CN"/>
              </w:rPr>
              <w:t>复查营业执照范围及期限，完全覆盖本次审核范围。</w:t>
            </w:r>
          </w:p>
          <w:p>
            <w:r>
              <w:drawing>
                <wp:inline distT="0" distB="0" distL="114300" distR="114300">
                  <wp:extent cx="6215380" cy="3154680"/>
                  <wp:effectExtent l="0" t="0" r="762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6215380" cy="3154680"/>
                          </a:xfrm>
                          <a:prstGeom prst="rect">
                            <a:avLst/>
                          </a:prstGeom>
                          <a:noFill/>
                          <a:ln>
                            <a:noFill/>
                          </a:ln>
                        </pic:spPr>
                      </pic:pic>
                    </a:graphicData>
                  </a:graphic>
                </wp:inline>
              </w:drawing>
            </w:r>
          </w:p>
        </w:tc>
        <w:tc>
          <w:tcPr>
            <w:tcW w:w="1585" w:type="dxa"/>
          </w:tcPr>
          <w:p>
            <w:pPr>
              <w:rPr>
                <w:rFonts w:hint="eastAsia" w:eastAsia="宋体"/>
                <w:lang w:val="en-US" w:eastAsia="zh-CN"/>
              </w:rPr>
            </w:pPr>
            <w:r>
              <w:rPr>
                <w:rFonts w:hint="eastAsia"/>
                <w:lang w:val="en-US" w:eastAsia="zh-CN"/>
              </w:rPr>
              <w:t>Y</w:t>
            </w: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FFFF7D"/>
    <w:multiLevelType w:val="singleLevel"/>
    <w:tmpl w:val="0FFFFF7D"/>
    <w:lvl w:ilvl="0" w:tentative="0">
      <w:start w:val="1"/>
      <w:numFmt w:val="decimal"/>
      <w:pStyle w:val="17"/>
      <w:lvlText w:val="%1."/>
      <w:lvlJc w:val="left"/>
      <w:pPr>
        <w:tabs>
          <w:tab w:val="left" w:pos="1620"/>
        </w:tabs>
        <w:ind w:left="1620" w:hanging="360"/>
      </w:pPr>
    </w:lvl>
  </w:abstractNum>
  <w:abstractNum w:abstractNumId="1">
    <w:nsid w:val="511A9B0E"/>
    <w:multiLevelType w:val="singleLevel"/>
    <w:tmpl w:val="511A9B0E"/>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NkY2MxNWJjNGRmNzZlOGE1ZDgyZDcwMDg5YTkyNGEifQ=="/>
  </w:docVars>
  <w:rsids>
    <w:rsidRoot w:val="00000000"/>
    <w:rsid w:val="0501669A"/>
    <w:rsid w:val="05790131"/>
    <w:rsid w:val="08E43B13"/>
    <w:rsid w:val="09093579"/>
    <w:rsid w:val="093A7BD7"/>
    <w:rsid w:val="0C601702"/>
    <w:rsid w:val="115824DF"/>
    <w:rsid w:val="11ED1C8A"/>
    <w:rsid w:val="12CA3D79"/>
    <w:rsid w:val="130C4392"/>
    <w:rsid w:val="13747D1E"/>
    <w:rsid w:val="13A4281C"/>
    <w:rsid w:val="13B80076"/>
    <w:rsid w:val="143F0797"/>
    <w:rsid w:val="148D1503"/>
    <w:rsid w:val="184B6451"/>
    <w:rsid w:val="192A5572"/>
    <w:rsid w:val="1B916EAC"/>
    <w:rsid w:val="1CDD4EBE"/>
    <w:rsid w:val="1CE302D5"/>
    <w:rsid w:val="1E2F6661"/>
    <w:rsid w:val="1E6546E3"/>
    <w:rsid w:val="21A25EC1"/>
    <w:rsid w:val="22F24C9B"/>
    <w:rsid w:val="235F22BC"/>
    <w:rsid w:val="24221E6A"/>
    <w:rsid w:val="24625F84"/>
    <w:rsid w:val="289A5B44"/>
    <w:rsid w:val="2A0F0B1F"/>
    <w:rsid w:val="2A1B5CE4"/>
    <w:rsid w:val="2B1C518D"/>
    <w:rsid w:val="2C055EF2"/>
    <w:rsid w:val="2F9038A7"/>
    <w:rsid w:val="2FAB4E43"/>
    <w:rsid w:val="309154C9"/>
    <w:rsid w:val="31394CFC"/>
    <w:rsid w:val="33323549"/>
    <w:rsid w:val="34AC10D9"/>
    <w:rsid w:val="38E057F5"/>
    <w:rsid w:val="39143A09"/>
    <w:rsid w:val="39CE38A0"/>
    <w:rsid w:val="3A013C75"/>
    <w:rsid w:val="3A6B0DE0"/>
    <w:rsid w:val="3CA64660"/>
    <w:rsid w:val="3D915310"/>
    <w:rsid w:val="43301127"/>
    <w:rsid w:val="45905EAD"/>
    <w:rsid w:val="45CC523B"/>
    <w:rsid w:val="460C19D8"/>
    <w:rsid w:val="469F0A9E"/>
    <w:rsid w:val="46DD15C6"/>
    <w:rsid w:val="493E3092"/>
    <w:rsid w:val="4A0D5D1E"/>
    <w:rsid w:val="4B1B26BD"/>
    <w:rsid w:val="4BCE3AD9"/>
    <w:rsid w:val="4DC1579E"/>
    <w:rsid w:val="4EB72586"/>
    <w:rsid w:val="4EBB48DA"/>
    <w:rsid w:val="50354B30"/>
    <w:rsid w:val="51491D32"/>
    <w:rsid w:val="541A3918"/>
    <w:rsid w:val="54A0299D"/>
    <w:rsid w:val="58E80863"/>
    <w:rsid w:val="5A333595"/>
    <w:rsid w:val="5A5F4374"/>
    <w:rsid w:val="5AA212D4"/>
    <w:rsid w:val="5C556A5F"/>
    <w:rsid w:val="5CCF29EE"/>
    <w:rsid w:val="5FD014DB"/>
    <w:rsid w:val="6C465394"/>
    <w:rsid w:val="71E05943"/>
    <w:rsid w:val="723F4D5F"/>
    <w:rsid w:val="72536115"/>
    <w:rsid w:val="77E12415"/>
    <w:rsid w:val="7A764603"/>
    <w:rsid w:val="7CE81B50"/>
    <w:rsid w:val="7F741DC0"/>
    <w:rsid w:val="7F8D08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next w:val="2"/>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character" w:customStyle="1" w:styleId="11">
    <w:name w:val="批注框文本 Char"/>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表格文字"/>
    <w:basedOn w:val="1"/>
    <w:qFormat/>
    <w:uiPriority w:val="0"/>
    <w:pPr>
      <w:spacing w:before="25" w:after="25"/>
    </w:pPr>
    <w:rPr>
      <w:bCs/>
      <w:spacing w:val="10"/>
    </w:rPr>
  </w:style>
  <w:style w:type="paragraph" w:customStyle="1" w:styleId="14">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15">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7">
    <w:name w:val="正文表标题"/>
    <w:next w:val="1"/>
    <w:qFormat/>
    <w:uiPriority w:val="0"/>
    <w:pPr>
      <w:numPr>
        <w:ilvl w:val="0"/>
        <w:numId w:val="1"/>
      </w:numPr>
      <w:jc w:val="center"/>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4708</Words>
  <Characters>5278</Characters>
  <Lines>1</Lines>
  <Paragraphs>1</Paragraphs>
  <TotalTime>0</TotalTime>
  <ScaleCrop>false</ScaleCrop>
  <LinksUpToDate>false</LinksUpToDate>
  <CharactersWithSpaces>5342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mlh52058</cp:lastModifiedBy>
  <dcterms:modified xsi:type="dcterms:W3CDTF">2023-01-03T03:26:23Z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7DFCEC2663F8433AAB0395BE4DD38EEB</vt:lpwstr>
  </property>
  <property fmtid="{D5CDD505-2E9C-101B-9397-08002B2CF9AE}" pid="3" name="KSOProductBuildVer">
    <vt:lpwstr>2052-11.1.0.12980</vt:lpwstr>
  </property>
</Properties>
</file>