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河北默澈高深信息技术咨询有限公司</w:t>
            </w:r>
            <w:bookmarkEnd w:id="0"/>
            <w:r>
              <w:rPr>
                <w:rFonts w:hint="eastAsia"/>
                <w:color w:val="000000"/>
                <w:sz w:val="24"/>
                <w:szCs w:val="24"/>
              </w:rPr>
              <w:t xml:space="preserve">                 陪同人员：</w:t>
            </w:r>
            <w:r>
              <w:rPr>
                <w:rFonts w:hint="eastAsia"/>
                <w:color w:val="000000"/>
                <w:sz w:val="24"/>
                <w:szCs w:val="24"/>
                <w:lang w:val="en-US" w:eastAsia="zh-CN"/>
              </w:rPr>
              <w:t>郑珊</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lang w:val="en-US" w:eastAsia="zh-CN"/>
              </w:rPr>
              <w:t>吉洁</w:t>
            </w:r>
            <w:r>
              <w:rPr>
                <w:rFonts w:hint="eastAsia"/>
                <w:color w:val="000000"/>
                <w:sz w:val="24"/>
                <w:szCs w:val="24"/>
              </w:rPr>
              <w:t xml:space="preserve">                    审核时间：</w:t>
            </w:r>
            <w:bookmarkStart w:id="2" w:name="审核日期"/>
            <w:r>
              <w:rPr>
                <w:color w:val="000000"/>
              </w:rPr>
              <w:t>2022年12月27日 上午至2022年12月27日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hint="eastAsia"/>
                <w:color w:val="000000"/>
                <w:szCs w:val="21"/>
                <w:lang w:eastAsia="zh-CN"/>
              </w:rPr>
              <w:t>☑</w:t>
            </w:r>
            <w:r>
              <w:rPr>
                <w:rFonts w:hint="eastAsia"/>
                <w:color w:val="000000"/>
                <w:szCs w:val="21"/>
              </w:rPr>
              <w:t xml:space="preserve">副本； </w:t>
            </w:r>
            <w:r>
              <w:rPr>
                <w:rFonts w:hint="eastAsia"/>
                <w:color w:val="000000"/>
                <w:szCs w:val="21"/>
                <w:lang w:eastAsia="zh-CN"/>
              </w:rPr>
              <w:t>☑</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1-1</w:t>
            </w:r>
            <w:r>
              <w:rPr>
                <w:rFonts w:hint="eastAsia"/>
                <w:color w:val="000000"/>
                <w:szCs w:val="21"/>
                <w:u w:val="single"/>
              </w:rPr>
              <w:t xml:space="preserve"> </w:t>
            </w:r>
            <w:r>
              <w:rPr>
                <w:rFonts w:hint="eastAsia"/>
                <w:color w:val="000000"/>
                <w:szCs w:val="21"/>
              </w:rPr>
              <w:t>； 有效期：</w:t>
            </w:r>
            <w:r>
              <w:rPr>
                <w:rFonts w:hint="eastAsia"/>
                <w:color w:val="000000"/>
                <w:szCs w:val="21"/>
                <w:lang w:val="en-US" w:eastAsia="zh-CN"/>
              </w:rPr>
              <w:t>2021.10.8-长期</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信息技术咨询服务;测试评估服务;信息安全软件、电子产品、通信产品的技术推广，技术开发、技术服务、技术咨询及销售;计算机及外围设备的销售;计算机系统集成服务;数据处理服务:信息系统工程监理服务:网络安全服务。(依法须经批准的项目，经相关部门批准后方可开展经营活动)；</w:t>
            </w:r>
          </w:p>
          <w:p>
            <w:pPr>
              <w:spacing w:line="440" w:lineRule="exact"/>
              <w:ind w:firstLine="420" w:firstLineChars="200"/>
              <w:rPr>
                <w:color w:val="000000"/>
                <w:szCs w:val="21"/>
              </w:rPr>
            </w:pPr>
            <w:r>
              <w:rPr>
                <w:rFonts w:hint="eastAsia"/>
                <w:color w:val="000000"/>
              </w:rPr>
              <w:t>认证申请范围：</w:t>
            </w:r>
            <w:bookmarkStart w:id="3" w:name="审核范围"/>
            <w:r>
              <w:rPr>
                <w:b w:val="0"/>
                <w:bCs w:val="0"/>
                <w:sz w:val="21"/>
                <w:szCs w:val="21"/>
              </w:rPr>
              <w:t>信息安全软件开发、数据处理服务、网络安全系统运维服务</w:t>
            </w:r>
            <w:bookmarkEnd w:id="3"/>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lang w:eastAsia="zh-CN"/>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rPr>
            </w:pPr>
            <w:r>
              <w:rPr>
                <w:rFonts w:hint="eastAsia"/>
                <w:color w:val="000000"/>
              </w:rPr>
              <w:t>注册地址：河北石家庄循环化工园区阿里山大街与信工路交叉口西北角行政服务中心7楼</w:t>
            </w:r>
          </w:p>
          <w:p>
            <w:pPr>
              <w:rPr>
                <w:color w:val="000000"/>
              </w:rPr>
            </w:pPr>
            <w:r>
              <w:rPr>
                <w:rFonts w:hint="eastAsia"/>
                <w:color w:val="000000"/>
              </w:rPr>
              <w:t>与《营业执照》内容一致。</w:t>
            </w:r>
          </w:p>
          <w:p>
            <w:pPr>
              <w:rPr>
                <w:color w:val="000000"/>
              </w:rPr>
            </w:pPr>
          </w:p>
          <w:p>
            <w:pPr>
              <w:rPr>
                <w:color w:val="000000"/>
              </w:rPr>
            </w:pPr>
            <w:r>
              <w:rPr>
                <w:rFonts w:hint="eastAsia"/>
                <w:color w:val="000000"/>
              </w:rPr>
              <w:t>经营地址：石家庄市桥西区中山西路558号</w:t>
            </w:r>
          </w:p>
          <w:p>
            <w:pPr>
              <w:rPr>
                <w:color w:val="000000"/>
              </w:rPr>
            </w:pP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rPr>
            </w:pPr>
            <w:r>
              <w:rPr>
                <w:rFonts w:hint="eastAsia"/>
                <w:color w:val="000000"/>
              </w:rPr>
              <w:t>生产/服务流程图：</w:t>
            </w:r>
          </w:p>
          <w:p>
            <w:pPr>
              <w:jc w:val="both"/>
              <w:rPr>
                <w:rFonts w:hint="eastAsia" w:ascii="Times New Roman" w:hAnsi="Times New Roman" w:eastAsia="宋体" w:cs="Times New Roman"/>
                <w:sz w:val="24"/>
                <w:szCs w:val="18"/>
              </w:rPr>
            </w:pPr>
            <w:r>
              <w:rPr>
                <w:rFonts w:hint="eastAsia" w:ascii="Times New Roman" w:hAnsi="Times New Roman" w:eastAsia="宋体" w:cs="Times New Roman"/>
                <w:sz w:val="24"/>
                <w:szCs w:val="18"/>
              </w:rPr>
              <w:t>软件开发流程：</w:t>
            </w:r>
          </w:p>
          <w:p>
            <w:pPr>
              <w:jc w:val="both"/>
              <w:rPr>
                <w:rFonts w:hint="eastAsia" w:ascii="Times New Roman" w:hAnsi="Times New Roman" w:eastAsia="宋体" w:cs="Times New Roman"/>
                <w:sz w:val="24"/>
                <w:szCs w:val="18"/>
              </w:rPr>
            </w:pPr>
            <w:r>
              <w:rPr>
                <w:rFonts w:hint="eastAsia" w:ascii="Times New Roman" w:hAnsi="Times New Roman" w:eastAsia="宋体" w:cs="Times New Roman"/>
                <w:sz w:val="24"/>
                <w:szCs w:val="18"/>
              </w:rPr>
              <w:t>项目立项-计划-需求分析-设计开发-代码编写-系统测试-试运行-验收</w:t>
            </w:r>
          </w:p>
          <w:p>
            <w:pPr>
              <w:adjustRightInd w:val="0"/>
              <w:snapToGrid w:val="0"/>
              <w:spacing w:line="360" w:lineRule="auto"/>
              <w:rPr>
                <w:rFonts w:hint="eastAsia"/>
                <w:sz w:val="24"/>
                <w:szCs w:val="24"/>
                <w:lang w:eastAsia="zh-CN"/>
              </w:rPr>
            </w:pPr>
          </w:p>
          <w:p>
            <w:pPr>
              <w:adjustRightInd w:val="0"/>
              <w:snapToGrid w:val="0"/>
              <w:spacing w:line="360" w:lineRule="auto"/>
              <w:rPr>
                <w:rFonts w:hint="eastAsia"/>
                <w:sz w:val="24"/>
                <w:szCs w:val="24"/>
                <w:lang w:eastAsia="zh-CN"/>
              </w:rPr>
            </w:pPr>
            <w:r>
              <w:rPr>
                <w:rFonts w:hint="eastAsia"/>
                <w:sz w:val="24"/>
                <w:szCs w:val="24"/>
                <w:lang w:eastAsia="zh-CN"/>
              </w:rPr>
              <w:t>数据处理服务工作流程：</w:t>
            </w:r>
          </w:p>
          <w:p>
            <w:pPr>
              <w:adjustRightInd w:val="0"/>
              <w:snapToGrid w:val="0"/>
              <w:spacing w:line="360" w:lineRule="auto"/>
              <w:rPr>
                <w:rFonts w:hint="default" w:eastAsia="宋体"/>
                <w:sz w:val="24"/>
                <w:szCs w:val="24"/>
                <w:lang w:val="en-US" w:eastAsia="zh-CN"/>
              </w:rPr>
            </w:pPr>
            <w:r>
              <w:rPr>
                <w:rFonts w:hint="eastAsia" w:ascii="Times New Roman" w:hAnsi="Times New Roman" w:eastAsia="宋体" w:cs="Times New Roman"/>
                <w:sz w:val="24"/>
                <w:szCs w:val="18"/>
                <w:lang w:eastAsia="zh-CN"/>
              </w:rPr>
              <w:t>业务洽谈</w:t>
            </w:r>
            <w:r>
              <w:rPr>
                <w:rFonts w:hint="eastAsia" w:ascii="Times New Roman" w:hAnsi="Times New Roman" w:eastAsia="宋体" w:cs="Times New Roman"/>
                <w:sz w:val="24"/>
                <w:szCs w:val="18"/>
                <w:lang w:val="en-US" w:eastAsia="zh-CN"/>
              </w:rPr>
              <w:t>-签订合同-</w:t>
            </w:r>
            <w:r>
              <w:rPr>
                <w:rFonts w:hint="eastAsia" w:ascii="Times New Roman" w:hAnsi="Times New Roman" w:eastAsia="宋体" w:cs="Times New Roman"/>
                <w:sz w:val="24"/>
                <w:szCs w:val="18"/>
              </w:rPr>
              <w:t>业务对接</w:t>
            </w:r>
            <w:r>
              <w:rPr>
                <w:rFonts w:hint="eastAsia" w:ascii="Times New Roman" w:hAnsi="Times New Roman" w:eastAsia="宋体" w:cs="Times New Roman"/>
                <w:sz w:val="24"/>
                <w:szCs w:val="18"/>
                <w:lang w:val="en-US" w:eastAsia="zh-CN"/>
              </w:rPr>
              <w:t>-数据处理</w:t>
            </w:r>
            <w:r>
              <w:rPr>
                <w:rFonts w:hint="eastAsia" w:ascii="Times New Roman" w:hAnsi="Times New Roman" w:eastAsia="宋体" w:cs="Times New Roman"/>
                <w:sz w:val="24"/>
                <w:szCs w:val="18"/>
              </w:rPr>
              <w:t>方案</w:t>
            </w:r>
            <w:r>
              <w:rPr>
                <w:rFonts w:hint="eastAsia" w:ascii="Times New Roman" w:hAnsi="Times New Roman" w:eastAsia="宋体" w:cs="Times New Roman"/>
                <w:sz w:val="24"/>
                <w:szCs w:val="18"/>
                <w:lang w:val="en-US" w:eastAsia="zh-CN"/>
              </w:rPr>
              <w:t>--数据处理--项目结算</w:t>
            </w:r>
          </w:p>
          <w:p>
            <w:pPr>
              <w:adjustRightInd w:val="0"/>
              <w:snapToGrid w:val="0"/>
              <w:spacing w:line="360" w:lineRule="auto"/>
              <w:rPr>
                <w:rFonts w:hint="eastAsia"/>
                <w:sz w:val="24"/>
                <w:szCs w:val="24"/>
                <w:lang w:eastAsia="zh-CN"/>
              </w:rPr>
            </w:pPr>
          </w:p>
          <w:p>
            <w:pPr>
              <w:adjustRightInd w:val="0"/>
              <w:snapToGrid w:val="0"/>
              <w:spacing w:line="360" w:lineRule="auto"/>
              <w:rPr>
                <w:rFonts w:hint="eastAsia"/>
                <w:sz w:val="24"/>
                <w:szCs w:val="24"/>
                <w:lang w:eastAsia="zh-CN"/>
              </w:rPr>
            </w:pPr>
            <w:r>
              <w:rPr>
                <w:rFonts w:hint="eastAsia"/>
                <w:sz w:val="24"/>
                <w:szCs w:val="24"/>
                <w:lang w:eastAsia="zh-CN"/>
              </w:rPr>
              <w:t>网络安全运维服务工作流程：</w:t>
            </w:r>
          </w:p>
          <w:p>
            <w:pPr>
              <w:rPr>
                <w:rFonts w:hint="eastAsia"/>
                <w:color w:val="000000"/>
              </w:rPr>
            </w:pPr>
            <w:r>
              <w:rPr>
                <w:rFonts w:hint="eastAsia" w:ascii="Times New Roman" w:hAnsi="Times New Roman" w:eastAsia="宋体" w:cs="Times New Roman"/>
                <w:sz w:val="24"/>
                <w:szCs w:val="18"/>
                <w:lang w:eastAsia="zh-CN"/>
              </w:rPr>
              <w:t>业务洽谈</w:t>
            </w:r>
            <w:r>
              <w:rPr>
                <w:rFonts w:hint="eastAsia" w:ascii="Times New Roman" w:hAnsi="Times New Roman" w:eastAsia="宋体" w:cs="Times New Roman"/>
                <w:sz w:val="24"/>
                <w:szCs w:val="18"/>
                <w:lang w:val="en-US" w:eastAsia="zh-CN"/>
              </w:rPr>
              <w:t>-签订合同-</w:t>
            </w:r>
            <w:r>
              <w:rPr>
                <w:rFonts w:hint="eastAsia" w:ascii="Times New Roman" w:hAnsi="Times New Roman" w:eastAsia="宋体" w:cs="Times New Roman"/>
                <w:sz w:val="24"/>
                <w:szCs w:val="18"/>
              </w:rPr>
              <w:t>业务对接</w:t>
            </w:r>
            <w:r>
              <w:rPr>
                <w:rFonts w:hint="eastAsia" w:ascii="Times New Roman" w:hAnsi="Times New Roman" w:eastAsia="宋体" w:cs="Times New Roman"/>
                <w:sz w:val="24"/>
                <w:szCs w:val="18"/>
                <w:lang w:val="en-US" w:eastAsia="zh-CN"/>
              </w:rPr>
              <w:t>-安全服务咨询、渗透测试、安全性维护等安全服务--项目结算</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15</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4</w:t>
            </w:r>
            <w:r>
              <w:rPr>
                <w:rFonts w:hint="eastAsia"/>
                <w:color w:val="000000"/>
                <w:szCs w:val="21"/>
              </w:rPr>
              <w:t>人</w:t>
            </w:r>
            <w:r>
              <w:rPr>
                <w:rFonts w:hint="eastAsia"/>
                <w:color w:val="000000"/>
                <w:szCs w:val="18"/>
              </w:rPr>
              <w:t>；操作人员</w:t>
            </w:r>
            <w:r>
              <w:rPr>
                <w:rFonts w:hint="eastAsia"/>
                <w:color w:val="000000"/>
                <w:szCs w:val="18"/>
                <w:lang w:val="en-US" w:eastAsia="zh-CN"/>
              </w:rPr>
              <w:t>11</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lang w:eastAsia="zh-CN"/>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7</w:t>
            </w:r>
            <w:r>
              <w:rPr>
                <w:rFonts w:hint="eastAsia"/>
                <w:color w:val="000000"/>
                <w:szCs w:val="18"/>
              </w:rPr>
              <w:t>月</w:t>
            </w:r>
            <w:r>
              <w:rPr>
                <w:rFonts w:hint="eastAsia"/>
                <w:color w:val="000000"/>
                <w:szCs w:val="18"/>
                <w:lang w:val="en-US" w:eastAsia="zh-CN"/>
              </w:rPr>
              <w:t>1</w:t>
            </w:r>
            <w:r>
              <w:rPr>
                <w:rFonts w:hint="eastAsia"/>
                <w:color w:val="000000"/>
                <w:szCs w:val="18"/>
              </w:rPr>
              <w:t>日</w:t>
            </w:r>
          </w:p>
          <w:p>
            <w:pPr>
              <w:rPr>
                <w:color w:val="000000"/>
              </w:rPr>
            </w:pPr>
            <w:r>
              <w:rPr>
                <w:rFonts w:hint="eastAsia"/>
                <w:color w:val="000000"/>
                <w:szCs w:val="21"/>
                <w:lang w:eastAsia="zh-CN"/>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6</w:t>
            </w:r>
            <w:r>
              <w:rPr>
                <w:rFonts w:hint="eastAsia"/>
                <w:color w:val="000000"/>
                <w:szCs w:val="18"/>
              </w:rPr>
              <w:t>月</w:t>
            </w:r>
            <w:r>
              <w:rPr>
                <w:rFonts w:hint="eastAsia"/>
                <w:color w:val="000000"/>
                <w:szCs w:val="18"/>
                <w:lang w:val="en-US" w:eastAsia="zh-CN"/>
              </w:rPr>
              <w:t>20</w:t>
            </w:r>
            <w:r>
              <w:rPr>
                <w:rFonts w:hint="eastAsia"/>
                <w:color w:val="000000"/>
                <w:szCs w:val="18"/>
              </w:rPr>
              <w:t>日</w:t>
            </w:r>
          </w:p>
          <w:p>
            <w:pPr>
              <w:rPr>
                <w:color w:val="000000"/>
                <w:szCs w:val="21"/>
              </w:rPr>
            </w:pPr>
            <w:r>
              <w:rPr>
                <w:rFonts w:hint="eastAsia"/>
                <w:color w:val="000000"/>
                <w:szCs w:val="21"/>
                <w:lang w:eastAsia="zh-CN"/>
              </w:rPr>
              <w:t>☑</w:t>
            </w: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color w:val="000000"/>
                <w:szCs w:val="21"/>
                <w:lang w:eastAsia="zh-CN"/>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lang w:eastAsia="zh-CN"/>
              </w:rPr>
              <w:t>☑</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eastAsia" w:eastAsia="宋体"/>
                <w:color w:val="000000"/>
                <w:szCs w:val="18"/>
                <w:lang w:val="en-US" w:eastAsia="zh-CN"/>
              </w:rPr>
            </w:pPr>
            <w:r>
              <w:rPr>
                <w:rFonts w:hint="eastAsia"/>
                <w:color w:val="000000"/>
                <w:szCs w:val="18"/>
              </w:rPr>
              <w:t>- 确定外部提供过程、产品和服务（外包过程）：</w:t>
            </w:r>
            <w:r>
              <w:rPr>
                <w:rFonts w:hint="eastAsia"/>
                <w:color w:val="000000"/>
                <w:szCs w:val="18"/>
                <w:lang w:val="en-US" w:eastAsia="zh-CN"/>
              </w:rPr>
              <w:t>无</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r>
              <w:rPr>
                <w:sz w:val="24"/>
                <w:szCs w:val="24"/>
              </w:rPr>
              <w:t>严谨、求实、敬业，诚信，持续改进</w:t>
            </w:r>
          </w:p>
          <w:p>
            <w:pPr>
              <w:widowControl/>
              <w:spacing w:before="40"/>
              <w:jc w:val="left"/>
              <w:rPr>
                <w:color w:val="000000"/>
                <w:spacing w:val="-2"/>
                <w:szCs w:val="21"/>
              </w:rPr>
            </w:pPr>
            <w:r>
              <w:rPr>
                <w:rFonts w:hint="eastAsia"/>
                <w:color w:val="000000"/>
                <w:szCs w:val="18"/>
              </w:rPr>
              <w:t>贯彻情况：</w:t>
            </w:r>
            <w:r>
              <w:rPr>
                <w:rFonts w:hint="eastAsia"/>
                <w:color w:val="000000"/>
                <w:szCs w:val="21"/>
                <w:lang w:eastAsia="zh-CN"/>
              </w:rPr>
              <w:t>☑</w:t>
            </w:r>
            <w:r>
              <w:rPr>
                <w:rFonts w:hint="eastAsia"/>
                <w:color w:val="000000"/>
                <w:spacing w:val="-2"/>
                <w:szCs w:val="21"/>
              </w:rPr>
              <w:t>文件发放</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9"/>
              <w:gridCol w:w="1118"/>
              <w:gridCol w:w="3372"/>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tcPr>
                <w:p>
                  <w:pPr>
                    <w:widowControl/>
                    <w:spacing w:before="40"/>
                    <w:jc w:val="left"/>
                    <w:rPr>
                      <w:color w:val="000000"/>
                      <w:sz w:val="21"/>
                      <w:szCs w:val="21"/>
                    </w:rPr>
                  </w:pPr>
                  <w:r>
                    <w:rPr>
                      <w:rFonts w:hint="eastAsia"/>
                      <w:color w:val="000000"/>
                      <w:sz w:val="21"/>
                      <w:szCs w:val="21"/>
                    </w:rPr>
                    <w:t>目标</w:t>
                  </w:r>
                </w:p>
              </w:tc>
              <w:tc>
                <w:tcPr>
                  <w:tcW w:w="1118" w:type="dxa"/>
                </w:tcPr>
                <w:p>
                  <w:pPr>
                    <w:widowControl/>
                    <w:spacing w:before="40"/>
                    <w:jc w:val="left"/>
                    <w:rPr>
                      <w:color w:val="000000"/>
                      <w:sz w:val="21"/>
                      <w:szCs w:val="21"/>
                    </w:rPr>
                  </w:pPr>
                  <w:r>
                    <w:rPr>
                      <w:rFonts w:hint="eastAsia"/>
                      <w:color w:val="000000"/>
                      <w:sz w:val="21"/>
                      <w:szCs w:val="21"/>
                    </w:rPr>
                    <w:t>考核频次</w:t>
                  </w:r>
                </w:p>
              </w:tc>
              <w:tc>
                <w:tcPr>
                  <w:tcW w:w="3372" w:type="dxa"/>
                </w:tcPr>
                <w:p>
                  <w:pPr>
                    <w:widowControl/>
                    <w:spacing w:before="40"/>
                    <w:jc w:val="left"/>
                    <w:rPr>
                      <w:color w:val="000000"/>
                      <w:sz w:val="21"/>
                      <w:szCs w:val="21"/>
                    </w:rPr>
                  </w:pPr>
                  <w:r>
                    <w:rPr>
                      <w:rFonts w:hint="eastAsia"/>
                      <w:color w:val="000000"/>
                      <w:sz w:val="21"/>
                      <w:szCs w:val="21"/>
                    </w:rPr>
                    <w:t>计算方法</w:t>
                  </w:r>
                </w:p>
              </w:tc>
              <w:tc>
                <w:tcPr>
                  <w:tcW w:w="2444" w:type="dxa"/>
                </w:tcPr>
                <w:p>
                  <w:pPr>
                    <w:widowControl/>
                    <w:spacing w:before="40"/>
                    <w:jc w:val="left"/>
                    <w:rPr>
                      <w:color w:val="000000"/>
                      <w:sz w:val="21"/>
                      <w:szCs w:val="21"/>
                    </w:rPr>
                  </w:pPr>
                  <w:r>
                    <w:rPr>
                      <w:rFonts w:hint="eastAsia"/>
                      <w:color w:val="000000"/>
                      <w:sz w:val="21"/>
                      <w:szCs w:val="21"/>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tcPr>
                <w:p>
                  <w:pPr>
                    <w:adjustRightInd w:val="0"/>
                    <w:snapToGrid w:val="0"/>
                    <w:spacing w:line="360" w:lineRule="auto"/>
                    <w:rPr>
                      <w:color w:val="000000"/>
                      <w:sz w:val="21"/>
                      <w:szCs w:val="21"/>
                      <w:highlight w:val="cyan"/>
                    </w:rPr>
                  </w:pPr>
                  <w:r>
                    <w:rPr>
                      <w:rFonts w:hint="eastAsia" w:ascii="Times New Roman" w:hAnsi="Times New Roman" w:eastAsia="宋体" w:cs="Times New Roman"/>
                      <w:sz w:val="21"/>
                      <w:szCs w:val="21"/>
                      <w:lang w:eastAsia="zh-CN"/>
                    </w:rPr>
                    <w:t>软件研发按时完成率</w:t>
                  </w:r>
                  <w:r>
                    <w:rPr>
                      <w:sz w:val="21"/>
                      <w:szCs w:val="21"/>
                    </w:rPr>
                    <w:t>≥</w:t>
                  </w:r>
                  <w:r>
                    <w:rPr>
                      <w:color w:val="000000"/>
                      <w:sz w:val="21"/>
                      <w:szCs w:val="21"/>
                    </w:rPr>
                    <w:t>90%</w:t>
                  </w:r>
                </w:p>
              </w:tc>
              <w:tc>
                <w:tcPr>
                  <w:tcW w:w="1118" w:type="dxa"/>
                </w:tcPr>
                <w:p>
                  <w:pPr>
                    <w:widowControl/>
                    <w:spacing w:before="40"/>
                    <w:jc w:val="left"/>
                    <w:rPr>
                      <w:rFonts w:hint="eastAsia" w:eastAsia="宋体"/>
                      <w:color w:val="000000"/>
                      <w:sz w:val="21"/>
                      <w:szCs w:val="21"/>
                      <w:highlight w:val="cyan"/>
                      <w:lang w:val="en-US" w:eastAsia="zh-CN"/>
                    </w:rPr>
                  </w:pPr>
                  <w:r>
                    <w:rPr>
                      <w:rFonts w:hint="eastAsia"/>
                      <w:color w:val="000000"/>
                      <w:sz w:val="21"/>
                      <w:szCs w:val="21"/>
                      <w:highlight w:val="cyan"/>
                      <w:lang w:val="en-US" w:eastAsia="zh-CN"/>
                    </w:rPr>
                    <w:t>季度</w:t>
                  </w:r>
                </w:p>
              </w:tc>
              <w:tc>
                <w:tcPr>
                  <w:tcW w:w="3372" w:type="dxa"/>
                </w:tcPr>
                <w:p>
                  <w:pPr>
                    <w:widowControl/>
                    <w:spacing w:before="40"/>
                    <w:jc w:val="left"/>
                    <w:rPr>
                      <w:color w:val="000000"/>
                      <w:sz w:val="21"/>
                      <w:szCs w:val="21"/>
                      <w:highlight w:val="cyan"/>
                    </w:rPr>
                  </w:pPr>
                  <w:r>
                    <w:rPr>
                      <w:rFonts w:hint="eastAsia" w:cs="Times New Roman"/>
                      <w:sz w:val="21"/>
                      <w:szCs w:val="21"/>
                      <w:lang w:val="en-US" w:eastAsia="zh-CN"/>
                    </w:rPr>
                    <w:t>软件按时研发</w:t>
                  </w:r>
                  <w:r>
                    <w:rPr>
                      <w:rFonts w:hint="default" w:ascii="Times New Roman" w:hAnsi="Times New Roman" w:eastAsia="宋体" w:cs="Times New Roman"/>
                      <w:sz w:val="21"/>
                      <w:szCs w:val="21"/>
                    </w:rPr>
                    <w:t>合格数量/</w:t>
                  </w:r>
                  <w:r>
                    <w:rPr>
                      <w:rFonts w:hint="eastAsia" w:cs="Times New Roman"/>
                      <w:sz w:val="21"/>
                      <w:szCs w:val="21"/>
                      <w:lang w:val="en-US" w:eastAsia="zh-CN"/>
                    </w:rPr>
                    <w:t>软件开发</w:t>
                  </w:r>
                  <w:r>
                    <w:rPr>
                      <w:rFonts w:hint="default" w:ascii="Times New Roman" w:hAnsi="Times New Roman" w:eastAsia="宋体" w:cs="Times New Roman"/>
                      <w:sz w:val="21"/>
                      <w:szCs w:val="21"/>
                    </w:rPr>
                    <w:t>数量*100%</w:t>
                  </w:r>
                </w:p>
              </w:tc>
              <w:tc>
                <w:tcPr>
                  <w:tcW w:w="2444" w:type="dxa"/>
                </w:tcPr>
                <w:p>
                  <w:pPr>
                    <w:widowControl/>
                    <w:spacing w:before="40"/>
                    <w:jc w:val="left"/>
                    <w:rPr>
                      <w:rFonts w:hint="default" w:eastAsia="宋体"/>
                      <w:color w:val="000000"/>
                      <w:sz w:val="21"/>
                      <w:szCs w:val="21"/>
                      <w:highlight w:val="cyan"/>
                      <w:lang w:val="en-US" w:eastAsia="zh-CN"/>
                    </w:rPr>
                  </w:pPr>
                  <w:r>
                    <w:rPr>
                      <w:rFonts w:hint="eastAsia"/>
                      <w:color w:val="000000"/>
                      <w:sz w:val="21"/>
                      <w:szCs w:val="21"/>
                      <w:highlight w:val="cy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tcPr>
                <w:p>
                  <w:pPr>
                    <w:widowControl/>
                    <w:spacing w:before="40"/>
                    <w:jc w:val="left"/>
                    <w:rPr>
                      <w:color w:val="000000"/>
                      <w:sz w:val="21"/>
                      <w:szCs w:val="21"/>
                      <w:highlight w:val="cyan"/>
                    </w:rPr>
                  </w:pPr>
                  <w:r>
                    <w:rPr>
                      <w:color w:val="000000"/>
                      <w:sz w:val="21"/>
                      <w:szCs w:val="21"/>
                    </w:rPr>
                    <w:t>合同履约率100%</w:t>
                  </w:r>
                </w:p>
              </w:tc>
              <w:tc>
                <w:tcPr>
                  <w:tcW w:w="1118" w:type="dxa"/>
                </w:tcPr>
                <w:p>
                  <w:pPr>
                    <w:widowControl/>
                    <w:spacing w:before="40"/>
                    <w:jc w:val="left"/>
                    <w:rPr>
                      <w:color w:val="000000"/>
                      <w:sz w:val="21"/>
                      <w:szCs w:val="21"/>
                      <w:highlight w:val="cyan"/>
                    </w:rPr>
                  </w:pPr>
                  <w:r>
                    <w:rPr>
                      <w:rFonts w:hint="eastAsia"/>
                      <w:color w:val="000000"/>
                      <w:sz w:val="21"/>
                      <w:szCs w:val="21"/>
                      <w:highlight w:val="cyan"/>
                      <w:lang w:val="en-US" w:eastAsia="zh-CN"/>
                    </w:rPr>
                    <w:t>季度</w:t>
                  </w:r>
                </w:p>
              </w:tc>
              <w:tc>
                <w:tcPr>
                  <w:tcW w:w="3372" w:type="dxa"/>
                </w:tcPr>
                <w:p>
                  <w:pPr>
                    <w:widowControl/>
                    <w:spacing w:before="40"/>
                    <w:jc w:val="left"/>
                    <w:rPr>
                      <w:color w:val="000000"/>
                      <w:sz w:val="21"/>
                      <w:szCs w:val="21"/>
                      <w:highlight w:val="cyan"/>
                    </w:rPr>
                  </w:pPr>
                  <w:r>
                    <w:rPr>
                      <w:rFonts w:hint="eastAsia" w:cs="Times New Roman"/>
                      <w:sz w:val="21"/>
                      <w:szCs w:val="21"/>
                      <w:lang w:val="en-US" w:eastAsia="zh-CN"/>
                    </w:rPr>
                    <w:t>履约合同</w:t>
                  </w:r>
                  <w:r>
                    <w:rPr>
                      <w:rFonts w:hint="default" w:ascii="Times New Roman" w:hAnsi="Times New Roman" w:eastAsia="宋体" w:cs="Times New Roman"/>
                      <w:sz w:val="21"/>
                      <w:szCs w:val="21"/>
                    </w:rPr>
                    <w:t>数量/</w:t>
                  </w:r>
                  <w:r>
                    <w:rPr>
                      <w:rFonts w:hint="eastAsia" w:cs="Times New Roman"/>
                      <w:sz w:val="21"/>
                      <w:szCs w:val="21"/>
                      <w:lang w:val="en-US" w:eastAsia="zh-CN"/>
                    </w:rPr>
                    <w:t>签订合同</w:t>
                  </w:r>
                  <w:r>
                    <w:rPr>
                      <w:rFonts w:hint="default" w:ascii="Times New Roman" w:hAnsi="Times New Roman" w:eastAsia="宋体" w:cs="Times New Roman"/>
                      <w:sz w:val="21"/>
                      <w:szCs w:val="21"/>
                    </w:rPr>
                    <w:t>总数量*100%</w:t>
                  </w:r>
                </w:p>
              </w:tc>
              <w:tc>
                <w:tcPr>
                  <w:tcW w:w="2444" w:type="dxa"/>
                </w:tcPr>
                <w:p>
                  <w:pPr>
                    <w:widowControl/>
                    <w:spacing w:before="40"/>
                    <w:jc w:val="left"/>
                    <w:rPr>
                      <w:color w:val="000000"/>
                      <w:sz w:val="21"/>
                      <w:szCs w:val="21"/>
                      <w:highlight w:val="cyan"/>
                    </w:rPr>
                  </w:pPr>
                  <w:r>
                    <w:rPr>
                      <w:rFonts w:hint="eastAsia"/>
                      <w:color w:val="000000"/>
                      <w:sz w:val="21"/>
                      <w:szCs w:val="21"/>
                      <w:highlight w:val="cy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tcPr>
                <w:p>
                  <w:pPr>
                    <w:widowControl/>
                    <w:spacing w:before="40"/>
                    <w:jc w:val="left"/>
                    <w:rPr>
                      <w:color w:val="000000"/>
                      <w:sz w:val="21"/>
                      <w:szCs w:val="21"/>
                      <w:highlight w:val="cyan"/>
                    </w:rPr>
                  </w:pPr>
                  <w:r>
                    <w:rPr>
                      <w:rFonts w:hint="eastAsia"/>
                      <w:color w:val="000000"/>
                      <w:sz w:val="21"/>
                      <w:szCs w:val="21"/>
                      <w:lang w:eastAsia="zh-CN"/>
                    </w:rPr>
                    <w:t>网络安全</w:t>
                  </w:r>
                  <w:r>
                    <w:rPr>
                      <w:color w:val="000000"/>
                      <w:sz w:val="21"/>
                      <w:szCs w:val="21"/>
                    </w:rPr>
                    <w:t>服务</w:t>
                  </w:r>
                  <w:r>
                    <w:rPr>
                      <w:rFonts w:hint="eastAsia"/>
                      <w:color w:val="000000"/>
                      <w:sz w:val="21"/>
                      <w:szCs w:val="21"/>
                      <w:lang w:eastAsia="zh-CN"/>
                    </w:rPr>
                    <w:t>、数据处理服务</w:t>
                  </w:r>
                  <w:r>
                    <w:rPr>
                      <w:color w:val="000000"/>
                      <w:sz w:val="21"/>
                      <w:szCs w:val="21"/>
                    </w:rPr>
                    <w:t>验收合格率</w:t>
                  </w:r>
                  <w:r>
                    <w:rPr>
                      <w:sz w:val="21"/>
                      <w:szCs w:val="21"/>
                    </w:rPr>
                    <w:t>≥</w:t>
                  </w:r>
                  <w:r>
                    <w:rPr>
                      <w:color w:val="000000"/>
                      <w:sz w:val="21"/>
                      <w:szCs w:val="21"/>
                    </w:rPr>
                    <w:t>90%</w:t>
                  </w:r>
                  <w:bookmarkStart w:id="4" w:name="_GoBack"/>
                  <w:bookmarkEnd w:id="4"/>
                </w:p>
              </w:tc>
              <w:tc>
                <w:tcPr>
                  <w:tcW w:w="1118" w:type="dxa"/>
                </w:tcPr>
                <w:p>
                  <w:pPr>
                    <w:widowControl/>
                    <w:spacing w:before="40"/>
                    <w:jc w:val="left"/>
                    <w:rPr>
                      <w:color w:val="000000"/>
                      <w:sz w:val="21"/>
                      <w:szCs w:val="21"/>
                      <w:highlight w:val="cyan"/>
                    </w:rPr>
                  </w:pPr>
                  <w:r>
                    <w:rPr>
                      <w:rFonts w:hint="eastAsia"/>
                      <w:color w:val="000000"/>
                      <w:sz w:val="21"/>
                      <w:szCs w:val="21"/>
                      <w:highlight w:val="cyan"/>
                      <w:lang w:val="en-US" w:eastAsia="zh-CN"/>
                    </w:rPr>
                    <w:t>季度</w:t>
                  </w:r>
                </w:p>
              </w:tc>
              <w:tc>
                <w:tcPr>
                  <w:tcW w:w="3372" w:type="dxa"/>
                </w:tcPr>
                <w:p>
                  <w:pPr>
                    <w:widowControl/>
                    <w:spacing w:before="40"/>
                    <w:jc w:val="left"/>
                    <w:rPr>
                      <w:color w:val="000000"/>
                      <w:sz w:val="21"/>
                      <w:szCs w:val="21"/>
                      <w:highlight w:val="cyan"/>
                    </w:rPr>
                  </w:pPr>
                  <w:r>
                    <w:rPr>
                      <w:rFonts w:hint="eastAsia" w:cs="Times New Roman"/>
                      <w:sz w:val="21"/>
                      <w:szCs w:val="21"/>
                      <w:lang w:val="en-US" w:eastAsia="zh-CN"/>
                    </w:rPr>
                    <w:t>服务验收</w:t>
                  </w:r>
                  <w:r>
                    <w:rPr>
                      <w:rFonts w:hint="default" w:ascii="Times New Roman" w:hAnsi="Times New Roman" w:eastAsia="宋体" w:cs="Times New Roman"/>
                      <w:sz w:val="21"/>
                      <w:szCs w:val="21"/>
                    </w:rPr>
                    <w:t>合格数量/</w:t>
                  </w:r>
                  <w:r>
                    <w:rPr>
                      <w:rFonts w:hint="eastAsia" w:cs="Times New Roman"/>
                      <w:sz w:val="21"/>
                      <w:szCs w:val="21"/>
                      <w:lang w:val="en-US" w:eastAsia="zh-CN"/>
                    </w:rPr>
                    <w:t>服务</w:t>
                  </w:r>
                  <w:r>
                    <w:rPr>
                      <w:rFonts w:hint="default" w:ascii="Times New Roman" w:hAnsi="Times New Roman" w:eastAsia="宋体" w:cs="Times New Roman"/>
                      <w:sz w:val="21"/>
                      <w:szCs w:val="21"/>
                    </w:rPr>
                    <w:t>项目数量*100%</w:t>
                  </w:r>
                </w:p>
              </w:tc>
              <w:tc>
                <w:tcPr>
                  <w:tcW w:w="2444" w:type="dxa"/>
                </w:tcPr>
                <w:p>
                  <w:pPr>
                    <w:widowControl/>
                    <w:spacing w:before="40"/>
                    <w:jc w:val="left"/>
                    <w:rPr>
                      <w:color w:val="000000"/>
                      <w:sz w:val="21"/>
                      <w:szCs w:val="21"/>
                      <w:highlight w:val="cyan"/>
                    </w:rPr>
                  </w:pPr>
                  <w:r>
                    <w:rPr>
                      <w:rFonts w:hint="eastAsia"/>
                      <w:color w:val="000000"/>
                      <w:sz w:val="21"/>
                      <w:szCs w:val="21"/>
                      <w:highlight w:val="cy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tcPr>
                <w:p>
                  <w:pPr>
                    <w:widowControl/>
                    <w:spacing w:before="40"/>
                    <w:jc w:val="left"/>
                    <w:rPr>
                      <w:color w:val="000000"/>
                      <w:sz w:val="21"/>
                      <w:szCs w:val="21"/>
                      <w:highlight w:val="cyan"/>
                    </w:rPr>
                  </w:pPr>
                  <w:r>
                    <w:rPr>
                      <w:sz w:val="21"/>
                      <w:szCs w:val="21"/>
                    </w:rPr>
                    <w:t>处理顾客反馈信息率和售后服务100%</w:t>
                  </w:r>
                </w:p>
              </w:tc>
              <w:tc>
                <w:tcPr>
                  <w:tcW w:w="1118" w:type="dxa"/>
                </w:tcPr>
                <w:p>
                  <w:pPr>
                    <w:widowControl/>
                    <w:spacing w:before="40"/>
                    <w:jc w:val="left"/>
                    <w:rPr>
                      <w:color w:val="000000"/>
                      <w:sz w:val="21"/>
                      <w:szCs w:val="21"/>
                      <w:highlight w:val="cyan"/>
                    </w:rPr>
                  </w:pPr>
                  <w:r>
                    <w:rPr>
                      <w:rFonts w:hint="eastAsia"/>
                      <w:color w:val="000000"/>
                      <w:sz w:val="21"/>
                      <w:szCs w:val="21"/>
                      <w:highlight w:val="cyan"/>
                      <w:lang w:val="en-US" w:eastAsia="zh-CN"/>
                    </w:rPr>
                    <w:t>季度</w:t>
                  </w:r>
                </w:p>
              </w:tc>
              <w:tc>
                <w:tcPr>
                  <w:tcW w:w="3372" w:type="dxa"/>
                </w:tcPr>
                <w:p>
                  <w:pPr>
                    <w:widowControl/>
                    <w:spacing w:before="40"/>
                    <w:jc w:val="left"/>
                    <w:rPr>
                      <w:color w:val="000000"/>
                      <w:sz w:val="21"/>
                      <w:szCs w:val="21"/>
                      <w:highlight w:val="cyan"/>
                    </w:rPr>
                  </w:pPr>
                  <w:r>
                    <w:rPr>
                      <w:rFonts w:hint="default" w:ascii="Times New Roman" w:hAnsi="Times New Roman" w:eastAsia="宋体" w:cs="Times New Roman"/>
                      <w:sz w:val="21"/>
                      <w:szCs w:val="21"/>
                    </w:rPr>
                    <w:t>及时处理信息数量/客户总反馈信息数量*100%</w:t>
                  </w:r>
                </w:p>
              </w:tc>
              <w:tc>
                <w:tcPr>
                  <w:tcW w:w="2444" w:type="dxa"/>
                </w:tcPr>
                <w:p>
                  <w:pPr>
                    <w:widowControl/>
                    <w:spacing w:before="40"/>
                    <w:jc w:val="left"/>
                    <w:rPr>
                      <w:color w:val="000000"/>
                      <w:sz w:val="21"/>
                      <w:szCs w:val="21"/>
                      <w:highlight w:val="cyan"/>
                    </w:rPr>
                  </w:pPr>
                  <w:r>
                    <w:rPr>
                      <w:rFonts w:hint="eastAsia"/>
                      <w:color w:val="000000"/>
                      <w:sz w:val="21"/>
                      <w:szCs w:val="21"/>
                      <w:highlight w:val="cy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tcPr>
                <w:p>
                  <w:pPr>
                    <w:widowControl/>
                    <w:spacing w:before="40"/>
                    <w:jc w:val="left"/>
                    <w:rPr>
                      <w:color w:val="000000"/>
                      <w:sz w:val="21"/>
                      <w:szCs w:val="21"/>
                      <w:highlight w:val="cyan"/>
                    </w:rPr>
                  </w:pPr>
                  <w:r>
                    <w:rPr>
                      <w:color w:val="000000"/>
                      <w:sz w:val="21"/>
                      <w:szCs w:val="21"/>
                    </w:rPr>
                    <w:t>顾客满意度</w:t>
                  </w:r>
                  <w:r>
                    <w:rPr>
                      <w:sz w:val="21"/>
                      <w:szCs w:val="21"/>
                    </w:rPr>
                    <w:t>≥</w:t>
                  </w:r>
                  <w:r>
                    <w:rPr>
                      <w:color w:val="000000"/>
                      <w:sz w:val="21"/>
                      <w:szCs w:val="21"/>
                    </w:rPr>
                    <w:t>90%</w:t>
                  </w:r>
                </w:p>
              </w:tc>
              <w:tc>
                <w:tcPr>
                  <w:tcW w:w="1118" w:type="dxa"/>
                </w:tcPr>
                <w:p>
                  <w:pPr>
                    <w:widowControl/>
                    <w:spacing w:before="40"/>
                    <w:jc w:val="left"/>
                    <w:rPr>
                      <w:color w:val="000000"/>
                      <w:sz w:val="21"/>
                      <w:szCs w:val="21"/>
                      <w:highlight w:val="cyan"/>
                    </w:rPr>
                  </w:pPr>
                  <w:r>
                    <w:rPr>
                      <w:rFonts w:hint="eastAsia"/>
                      <w:color w:val="000000"/>
                      <w:sz w:val="21"/>
                      <w:szCs w:val="21"/>
                      <w:highlight w:val="cyan"/>
                      <w:lang w:val="en-US" w:eastAsia="zh-CN"/>
                    </w:rPr>
                    <w:t>季度</w:t>
                  </w:r>
                </w:p>
              </w:tc>
              <w:tc>
                <w:tcPr>
                  <w:tcW w:w="3372" w:type="dxa"/>
                </w:tcPr>
                <w:p>
                  <w:pPr>
                    <w:widowControl/>
                    <w:spacing w:before="40"/>
                    <w:jc w:val="left"/>
                    <w:rPr>
                      <w:color w:val="000000"/>
                      <w:sz w:val="21"/>
                      <w:szCs w:val="21"/>
                      <w:highlight w:val="cyan"/>
                    </w:rPr>
                  </w:pPr>
                  <w:r>
                    <w:rPr>
                      <w:rFonts w:hint="default" w:ascii="Times New Roman" w:hAnsi="Times New Roman" w:eastAsia="宋体" w:cs="Times New Roman"/>
                      <w:sz w:val="21"/>
                      <w:szCs w:val="21"/>
                    </w:rPr>
                    <w:t>满意度测试分数/测试总分数*100%</w:t>
                  </w:r>
                </w:p>
              </w:tc>
              <w:tc>
                <w:tcPr>
                  <w:tcW w:w="2444" w:type="dxa"/>
                </w:tcPr>
                <w:p>
                  <w:pPr>
                    <w:widowControl/>
                    <w:spacing w:before="40"/>
                    <w:jc w:val="left"/>
                    <w:rPr>
                      <w:rFonts w:hint="default" w:eastAsia="宋体"/>
                      <w:color w:val="000000"/>
                      <w:sz w:val="21"/>
                      <w:szCs w:val="21"/>
                      <w:highlight w:val="cyan"/>
                      <w:lang w:val="en-US" w:eastAsia="zh-CN"/>
                    </w:rPr>
                  </w:pPr>
                  <w:r>
                    <w:rPr>
                      <w:rFonts w:hint="eastAsia"/>
                      <w:color w:val="000000"/>
                      <w:sz w:val="21"/>
                      <w:szCs w:val="21"/>
                      <w:highlight w:val="cyan"/>
                      <w:lang w:val="en-US" w:eastAsia="zh-CN"/>
                    </w:rPr>
                    <w:t>98%</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color w:val="000000"/>
                <w:szCs w:val="21"/>
                <w:lang w:eastAsia="zh-CN"/>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1</w:t>
            </w:r>
            <w:r>
              <w:rPr>
                <w:rFonts w:hint="eastAsia"/>
                <w:color w:val="000000"/>
                <w:szCs w:val="18"/>
              </w:rPr>
              <w:t>份</w:t>
            </w:r>
            <w:r>
              <w:rPr>
                <w:rFonts w:hint="eastAsia"/>
                <w:color w:val="000000"/>
                <w:szCs w:val="18"/>
                <w:lang w:eastAsia="zh-CN"/>
              </w:rPr>
              <w:t>，</w:t>
            </w:r>
            <w:r>
              <w:rPr>
                <w:rFonts w:hint="eastAsia"/>
                <w:color w:val="000000"/>
                <w:szCs w:val="18"/>
                <w:lang w:val="en-US" w:eastAsia="zh-CN"/>
              </w:rPr>
              <w:t>含13个程序文件</w:t>
            </w:r>
            <w:r>
              <w:rPr>
                <w:rFonts w:hint="eastAsia"/>
                <w:color w:val="000000"/>
                <w:szCs w:val="18"/>
              </w:rPr>
              <w:t>；详见《受控文件清单》</w:t>
            </w:r>
          </w:p>
          <w:p>
            <w:pPr>
              <w:rPr>
                <w:color w:val="000000"/>
                <w:szCs w:val="18"/>
              </w:rPr>
            </w:pPr>
            <w:r>
              <w:rPr>
                <w:rFonts w:hint="eastAsia"/>
                <w:color w:val="000000"/>
                <w:szCs w:val="18"/>
              </w:rPr>
              <w:t>-作业文件；</w:t>
            </w:r>
            <w:r>
              <w:rPr>
                <w:rFonts w:hint="eastAsia"/>
                <w:color w:val="000000"/>
                <w:szCs w:val="18"/>
                <w:lang w:val="en-US" w:eastAsia="zh-CN"/>
              </w:rPr>
              <w:t>1</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67</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sz w:val="24"/>
              </w:rPr>
              <w:t>202</w:t>
            </w:r>
            <w:r>
              <w:rPr>
                <w:rFonts w:hint="eastAsia"/>
                <w:sz w:val="24"/>
                <w:lang w:val="en-US" w:eastAsia="zh-CN"/>
              </w:rPr>
              <w:t>2</w:t>
            </w:r>
            <w:r>
              <w:rPr>
                <w:rFonts w:hint="eastAsia"/>
                <w:sz w:val="24"/>
              </w:rPr>
              <w:t>年</w:t>
            </w:r>
            <w:r>
              <w:rPr>
                <w:rFonts w:hint="eastAsia"/>
                <w:sz w:val="24"/>
                <w:lang w:val="en-US" w:eastAsia="zh-CN"/>
              </w:rPr>
              <w:t>10</w:t>
            </w:r>
            <w:r>
              <w:rPr>
                <w:rFonts w:hint="eastAsia"/>
                <w:sz w:val="24"/>
              </w:rPr>
              <w:t>月</w:t>
            </w:r>
            <w:r>
              <w:rPr>
                <w:rFonts w:hint="eastAsia"/>
                <w:sz w:val="24"/>
                <w:lang w:val="en-US" w:eastAsia="zh-CN"/>
              </w:rPr>
              <w:t>10</w:t>
            </w:r>
            <w:r>
              <w:rPr>
                <w:rFonts w:hint="eastAsia"/>
                <w:sz w:val="24"/>
              </w:rPr>
              <w:t>日</w:t>
            </w:r>
            <w:r>
              <w:rPr>
                <w:rFonts w:hint="eastAsia"/>
                <w:sz w:val="24"/>
                <w:lang w:eastAsia="zh-CN"/>
              </w:rPr>
              <w:t>—</w:t>
            </w:r>
            <w:r>
              <w:rPr>
                <w:rFonts w:hint="eastAsia"/>
                <w:sz w:val="24"/>
                <w:lang w:val="en-US" w:eastAsia="zh-CN"/>
              </w:rPr>
              <w:t>11日</w:t>
            </w:r>
            <w:r>
              <w:rPr>
                <w:rFonts w:hint="eastAsia"/>
                <w:color w:val="000000"/>
                <w:szCs w:val="18"/>
              </w:rPr>
              <w:t>实施了内部审核；记录包括：</w:t>
            </w:r>
          </w:p>
          <w:p>
            <w:pPr>
              <w:widowControl/>
              <w:spacing w:before="40"/>
              <w:jc w:val="left"/>
              <w:rPr>
                <w:color w:val="000000"/>
                <w:szCs w:val="18"/>
              </w:rPr>
            </w:pPr>
            <w:r>
              <w:rPr>
                <w:rFonts w:hint="eastAsia"/>
                <w:color w:val="000000"/>
                <w:szCs w:val="21"/>
                <w:lang w:eastAsia="zh-CN"/>
              </w:rPr>
              <w:t>☑</w:t>
            </w:r>
            <w:r>
              <w:rPr>
                <w:rFonts w:hint="eastAsia"/>
                <w:color w:val="000000"/>
                <w:szCs w:val="18"/>
              </w:rPr>
              <w:t>内审计划、</w:t>
            </w:r>
            <w:r>
              <w:rPr>
                <w:rFonts w:hint="eastAsia"/>
                <w:color w:val="000000"/>
                <w:szCs w:val="21"/>
                <w:lang w:eastAsia="zh-CN"/>
              </w:rPr>
              <w:t>☑</w:t>
            </w:r>
            <w:r>
              <w:rPr>
                <w:rFonts w:hint="eastAsia"/>
                <w:color w:val="000000"/>
                <w:szCs w:val="18"/>
              </w:rPr>
              <w:t>内审检查表、</w:t>
            </w:r>
            <w:r>
              <w:rPr>
                <w:rFonts w:hint="eastAsia"/>
                <w:color w:val="000000"/>
                <w:szCs w:val="21"/>
                <w:lang w:eastAsia="zh-CN"/>
              </w:rPr>
              <w:t>☑</w:t>
            </w:r>
            <w:r>
              <w:rPr>
                <w:rFonts w:hint="eastAsia"/>
                <w:color w:val="000000"/>
                <w:szCs w:val="18"/>
              </w:rPr>
              <w:t>不符合项报告份、</w:t>
            </w:r>
            <w:r>
              <w:rPr>
                <w:rFonts w:hint="eastAsia"/>
                <w:color w:val="000000"/>
                <w:szCs w:val="21"/>
                <w:lang w:eastAsia="zh-CN"/>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default" w:ascii="Times New Roman" w:hAnsi="Times New Roman" w:eastAsia="宋体" w:cs="Times New Roman"/>
                <w:sz w:val="24"/>
                <w:szCs w:val="24"/>
              </w:rPr>
              <w:t>20</w:t>
            </w:r>
            <w:r>
              <w:rPr>
                <w:rFonts w:hint="eastAsia" w:ascii="Times New Roman" w:hAnsi="Times New Roman" w:eastAsia="宋体" w:cs="Times New Roman"/>
                <w:sz w:val="24"/>
                <w:szCs w:val="24"/>
                <w:lang w:val="en-US" w:eastAsia="zh-CN"/>
              </w:rPr>
              <w:t>22</w:t>
            </w:r>
            <w:r>
              <w:rPr>
                <w:rFonts w:hint="default"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10</w:t>
            </w:r>
            <w:r>
              <w:rPr>
                <w:rFonts w:hint="default"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30</w:t>
            </w:r>
            <w:r>
              <w:rPr>
                <w:rFonts w:hint="default" w:ascii="Times New Roman" w:hAnsi="Times New Roman" w:eastAsia="宋体" w:cs="Times New Roman"/>
                <w:sz w:val="24"/>
                <w:szCs w:val="24"/>
              </w:rPr>
              <w:t>日</w:t>
            </w:r>
            <w:r>
              <w:rPr>
                <w:rFonts w:hint="eastAsia"/>
                <w:color w:val="000000"/>
                <w:szCs w:val="18"/>
              </w:rPr>
              <w:t>实施了管理评审；</w:t>
            </w:r>
          </w:p>
          <w:p>
            <w:pPr>
              <w:widowControl/>
              <w:spacing w:before="40"/>
              <w:jc w:val="left"/>
              <w:rPr>
                <w:color w:val="000000"/>
                <w:szCs w:val="18"/>
              </w:rPr>
            </w:pPr>
            <w:r>
              <w:rPr>
                <w:rFonts w:hint="eastAsia"/>
                <w:color w:val="000000"/>
                <w:szCs w:val="21"/>
                <w:lang w:eastAsia="zh-CN"/>
              </w:rPr>
              <w:t>☑</w:t>
            </w:r>
            <w:r>
              <w:rPr>
                <w:rFonts w:hint="eastAsia"/>
                <w:color w:val="000000"/>
                <w:szCs w:val="21"/>
              </w:rPr>
              <w:t>管理评审输入</w:t>
            </w:r>
            <w:r>
              <w:rPr>
                <w:rFonts w:hint="eastAsia"/>
                <w:color w:val="000000"/>
                <w:szCs w:val="18"/>
              </w:rPr>
              <w:t>、</w:t>
            </w:r>
            <w:r>
              <w:rPr>
                <w:rFonts w:hint="eastAsia"/>
                <w:color w:val="000000"/>
                <w:szCs w:val="21"/>
                <w:lang w:eastAsia="zh-CN"/>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u w:val="single"/>
                <w:lang w:val="en-US" w:eastAsia="zh-CN"/>
              </w:rPr>
            </w:pPr>
            <w:r>
              <w:rPr>
                <w:rFonts w:hint="eastAsia"/>
                <w:color w:val="000000"/>
                <w:szCs w:val="18"/>
              </w:rPr>
              <w:t>QMS不适用条款</w:t>
            </w:r>
            <w:r>
              <w:rPr>
                <w:rFonts w:hint="eastAsia"/>
                <w:color w:val="000000"/>
                <w:szCs w:val="18"/>
                <w:lang w:eastAsia="zh-CN"/>
              </w:rPr>
              <w:t>：</w:t>
            </w:r>
            <w:r>
              <w:rPr>
                <w:rFonts w:hint="eastAsia"/>
                <w:color w:val="000000"/>
                <w:szCs w:val="18"/>
                <w:lang w:val="en-US" w:eastAsia="zh-CN"/>
              </w:rPr>
              <w:t>无</w:t>
            </w:r>
          </w:p>
          <w:p>
            <w:pPr>
              <w:rPr>
                <w:color w:val="000000"/>
                <w:szCs w:val="18"/>
              </w:rPr>
            </w:pPr>
            <w:r>
              <w:rPr>
                <w:rFonts w:hint="eastAsia"/>
                <w:color w:val="000000"/>
                <w:szCs w:val="18"/>
              </w:rPr>
              <w:t>合理理由的详细说明：</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00"/>
                <w:lang w:val="en-US" w:eastAsia="zh-CN"/>
              </w:rPr>
              <w:t>业务洽谈</w:t>
            </w:r>
            <w:r>
              <w:rPr>
                <w:rFonts w:hint="eastAsia"/>
                <w:color w:val="000000"/>
                <w:u w:val="single"/>
              </w:rPr>
              <w:t>；</w:t>
            </w:r>
            <w:r>
              <w:rPr>
                <w:rFonts w:hint="eastAsia"/>
                <w:color w:val="000000"/>
              </w:rPr>
              <w:t>相关控制参数名称：</w:t>
            </w:r>
            <w:r>
              <w:rPr>
                <w:rFonts w:hint="eastAsia"/>
                <w:color w:val="000000"/>
                <w:lang w:val="en-US" w:eastAsia="zh-CN"/>
              </w:rPr>
              <w:t>功能、性能要求</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sz w:val="24"/>
                <w:szCs w:val="24"/>
                <w:lang w:val="en-US" w:eastAsia="zh-CN"/>
              </w:rPr>
              <w:t>需求分析</w:t>
            </w:r>
            <w:r>
              <w:rPr>
                <w:rFonts w:hint="eastAsia"/>
                <w:sz w:val="24"/>
                <w:szCs w:val="24"/>
                <w:lang w:eastAsia="zh-CN"/>
              </w:rPr>
              <w:t>、数据处理、网络安全运维服务</w:t>
            </w:r>
            <w:r>
              <w:rPr>
                <w:rFonts w:hint="eastAsia"/>
                <w:color w:val="000000"/>
                <w:u w:val="single"/>
              </w:rPr>
              <w:t>；</w:t>
            </w:r>
          </w:p>
          <w:p>
            <w:pPr>
              <w:rPr>
                <w:color w:val="000000"/>
                <w:szCs w:val="18"/>
              </w:rPr>
            </w:pPr>
            <w:r>
              <w:rPr>
                <w:rFonts w:hint="eastAsia"/>
                <w:color w:val="000000"/>
              </w:rPr>
              <w:t>确认的内容：</w:t>
            </w:r>
            <w:r>
              <w:rPr>
                <w:rFonts w:hint="eastAsia"/>
                <w:color w:val="000000"/>
                <w:szCs w:val="21"/>
                <w:lang w:eastAsia="zh-CN"/>
              </w:rPr>
              <w:t>☑</w:t>
            </w:r>
            <w:r>
              <w:rPr>
                <w:rFonts w:hint="eastAsia"/>
                <w:color w:val="000000"/>
                <w:szCs w:val="21"/>
              </w:rPr>
              <w:t>人员技能、</w:t>
            </w:r>
            <w:r>
              <w:rPr>
                <w:rFonts w:hint="eastAsia"/>
                <w:color w:val="000000"/>
                <w:szCs w:val="21"/>
                <w:lang w:eastAsia="zh-CN"/>
              </w:rPr>
              <w:t>☑</w:t>
            </w:r>
            <w:r>
              <w:rPr>
                <w:rFonts w:hint="eastAsia"/>
                <w:color w:val="000000"/>
                <w:szCs w:val="21"/>
              </w:rPr>
              <w:t>设备能力、□原料控制、</w:t>
            </w:r>
            <w:r>
              <w:rPr>
                <w:rFonts w:hint="eastAsia"/>
                <w:color w:val="000000"/>
                <w:szCs w:val="21"/>
                <w:lang w:eastAsia="zh-CN"/>
              </w:rPr>
              <w:t>☑</w:t>
            </w:r>
            <w:r>
              <w:rPr>
                <w:rFonts w:hint="eastAsia"/>
                <w:color w:val="000000"/>
                <w:szCs w:val="21"/>
              </w:rPr>
              <w:t>工艺方法、</w:t>
            </w:r>
            <w:r>
              <w:rPr>
                <w:rFonts w:hint="eastAsia"/>
                <w:color w:val="000000"/>
                <w:szCs w:val="21"/>
                <w:lang w:eastAsia="zh-CN"/>
              </w:rPr>
              <w:t>☑</w:t>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lang w:eastAsia="zh-CN"/>
              </w:rPr>
              <w:t>☑</w:t>
            </w:r>
            <w:r>
              <w:rPr>
                <w:rFonts w:hint="eastAsia"/>
                <w:color w:val="000000"/>
                <w:szCs w:val="21"/>
              </w:rPr>
              <w:t>客户要求、□国际标准、</w:t>
            </w:r>
            <w:r>
              <w:rPr>
                <w:rFonts w:hint="eastAsia"/>
                <w:color w:val="000000"/>
                <w:szCs w:val="21"/>
                <w:lang w:eastAsia="zh-CN"/>
              </w:rPr>
              <w:t>☑</w:t>
            </w:r>
            <w:r>
              <w:rPr>
                <w:rFonts w:hint="eastAsia"/>
                <w:color w:val="000000"/>
                <w:szCs w:val="21"/>
              </w:rPr>
              <w:t>国家标准、</w:t>
            </w:r>
            <w:r>
              <w:rPr>
                <w:rFonts w:hint="eastAsia"/>
                <w:color w:val="000000"/>
                <w:szCs w:val="21"/>
                <w:lang w:eastAsia="zh-CN"/>
              </w:rPr>
              <w:t>☑</w:t>
            </w:r>
            <w:r>
              <w:rPr>
                <w:rFonts w:hint="eastAsia"/>
                <w:color w:val="000000"/>
                <w:szCs w:val="21"/>
              </w:rPr>
              <w:t xml:space="preserve">行业标准、□地方标准、□企业标准、□企业技术规范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lang w:eastAsia="zh-CN"/>
              </w:rPr>
              <w:t>☑</w:t>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lang w:eastAsia="zh-CN"/>
              </w:rPr>
              <w:t>□</w:t>
            </w:r>
            <w:r>
              <w:rPr>
                <w:rFonts w:hint="eastAsia"/>
                <w:color w:val="000000"/>
              </w:rPr>
              <w:t xml:space="preserve">未发生 </w:t>
            </w:r>
          </w:p>
          <w:p>
            <w:pPr>
              <w:ind w:firstLine="2520" w:firstLineChars="1200"/>
              <w:rPr>
                <w:color w:val="000000"/>
                <w:u w:val="single"/>
              </w:rPr>
            </w:pPr>
            <w:r>
              <w:rPr>
                <w:rFonts w:hint="eastAsia"/>
                <w:color w:val="000000"/>
                <w:szCs w:val="21"/>
                <w:lang w:eastAsia="zh-CN"/>
              </w:rPr>
              <w:t>☑</w:t>
            </w:r>
            <w:r>
              <w:rPr>
                <w:rFonts w:hint="eastAsia"/>
                <w:color w:val="000000"/>
              </w:rPr>
              <w:t>发生过，说明</w:t>
            </w:r>
            <w:r>
              <w:rPr>
                <w:rFonts w:hint="eastAsia"/>
                <w:color w:val="000000"/>
                <w:u w:val="single"/>
              </w:rPr>
              <w:t>；</w:t>
            </w:r>
            <w:r>
              <w:rPr>
                <w:rFonts w:hint="eastAsia"/>
                <w:color w:val="000000"/>
                <w:u w:val="single"/>
                <w:lang w:val="en-US" w:eastAsia="zh-CN"/>
              </w:rPr>
              <w:t>进行了顾客满意度调查</w:t>
            </w:r>
            <w:r>
              <w:rPr>
                <w:rFonts w:hint="eastAsia"/>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lang w:eastAsia="zh-CN"/>
              </w:rPr>
              <w:t>☑</w:t>
            </w:r>
            <w:r>
              <w:rPr>
                <w:rFonts w:hint="eastAsia"/>
                <w:color w:val="000000"/>
                <w:lang w:val="en-US" w:eastAsia="zh-CN"/>
              </w:rPr>
              <w:t>办公</w:t>
            </w:r>
            <w:r>
              <w:rPr>
                <w:rFonts w:hint="eastAsia"/>
                <w:color w:val="000000"/>
              </w:rPr>
              <w:t>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lang w:eastAsia="zh-CN"/>
              </w:rPr>
              <w:t>☑</w:t>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rFonts w:hint="eastAsia"/>
                <w:color w:val="000000"/>
              </w:rPr>
            </w:pPr>
            <w:r>
              <w:rPr>
                <w:rFonts w:hint="eastAsia"/>
                <w:color w:val="000000"/>
              </w:rPr>
              <w:t>确认生产/服务流程：</w:t>
            </w:r>
          </w:p>
          <w:p>
            <w:pPr>
              <w:jc w:val="both"/>
              <w:rPr>
                <w:rFonts w:hint="eastAsia" w:ascii="Times New Roman" w:hAnsi="Times New Roman" w:eastAsia="宋体" w:cs="Times New Roman"/>
                <w:sz w:val="24"/>
                <w:szCs w:val="18"/>
              </w:rPr>
            </w:pPr>
            <w:r>
              <w:rPr>
                <w:rFonts w:hint="eastAsia" w:ascii="Times New Roman" w:hAnsi="Times New Roman" w:eastAsia="宋体" w:cs="Times New Roman"/>
                <w:sz w:val="24"/>
                <w:szCs w:val="18"/>
              </w:rPr>
              <w:t>软件开发流程：</w:t>
            </w:r>
          </w:p>
          <w:p>
            <w:pPr>
              <w:jc w:val="both"/>
              <w:rPr>
                <w:rFonts w:hint="eastAsia" w:ascii="Times New Roman" w:hAnsi="Times New Roman" w:eastAsia="宋体" w:cs="Times New Roman"/>
                <w:sz w:val="24"/>
                <w:szCs w:val="18"/>
              </w:rPr>
            </w:pPr>
            <w:r>
              <w:rPr>
                <w:rFonts w:hint="eastAsia" w:ascii="Times New Roman" w:hAnsi="Times New Roman" w:eastAsia="宋体" w:cs="Times New Roman"/>
                <w:sz w:val="24"/>
                <w:szCs w:val="18"/>
              </w:rPr>
              <w:t>项目立项-计划-需求分析-设计开发-代码编写-系统测试-试运行-验收</w:t>
            </w:r>
          </w:p>
          <w:p>
            <w:pPr>
              <w:adjustRightInd w:val="0"/>
              <w:snapToGrid w:val="0"/>
              <w:spacing w:line="360" w:lineRule="auto"/>
              <w:rPr>
                <w:rFonts w:hint="eastAsia"/>
                <w:sz w:val="24"/>
                <w:szCs w:val="24"/>
                <w:lang w:eastAsia="zh-CN"/>
              </w:rPr>
            </w:pPr>
          </w:p>
          <w:p>
            <w:pPr>
              <w:adjustRightInd w:val="0"/>
              <w:snapToGrid w:val="0"/>
              <w:spacing w:line="360" w:lineRule="auto"/>
              <w:rPr>
                <w:rFonts w:hint="eastAsia"/>
                <w:sz w:val="24"/>
                <w:szCs w:val="24"/>
                <w:lang w:eastAsia="zh-CN"/>
              </w:rPr>
            </w:pPr>
            <w:r>
              <w:rPr>
                <w:rFonts w:hint="eastAsia"/>
                <w:sz w:val="24"/>
                <w:szCs w:val="24"/>
                <w:lang w:eastAsia="zh-CN"/>
              </w:rPr>
              <w:t>数据处理服务工作流程：</w:t>
            </w:r>
          </w:p>
          <w:p>
            <w:pPr>
              <w:adjustRightInd w:val="0"/>
              <w:snapToGrid w:val="0"/>
              <w:spacing w:line="360" w:lineRule="auto"/>
              <w:rPr>
                <w:rFonts w:hint="default" w:eastAsia="宋体"/>
                <w:sz w:val="24"/>
                <w:szCs w:val="24"/>
                <w:lang w:val="en-US" w:eastAsia="zh-CN"/>
              </w:rPr>
            </w:pPr>
            <w:r>
              <w:rPr>
                <w:rFonts w:hint="eastAsia" w:ascii="Times New Roman" w:hAnsi="Times New Roman" w:eastAsia="宋体" w:cs="Times New Roman"/>
                <w:sz w:val="24"/>
                <w:szCs w:val="18"/>
                <w:lang w:eastAsia="zh-CN"/>
              </w:rPr>
              <w:t>业务洽谈</w:t>
            </w:r>
            <w:r>
              <w:rPr>
                <w:rFonts w:hint="eastAsia" w:ascii="Times New Roman" w:hAnsi="Times New Roman" w:eastAsia="宋体" w:cs="Times New Roman"/>
                <w:sz w:val="24"/>
                <w:szCs w:val="18"/>
                <w:lang w:val="en-US" w:eastAsia="zh-CN"/>
              </w:rPr>
              <w:t>-签订合同-</w:t>
            </w:r>
            <w:r>
              <w:rPr>
                <w:rFonts w:hint="eastAsia" w:ascii="Times New Roman" w:hAnsi="Times New Roman" w:eastAsia="宋体" w:cs="Times New Roman"/>
                <w:sz w:val="24"/>
                <w:szCs w:val="18"/>
              </w:rPr>
              <w:t>业务对接</w:t>
            </w:r>
            <w:r>
              <w:rPr>
                <w:rFonts w:hint="eastAsia" w:ascii="Times New Roman" w:hAnsi="Times New Roman" w:eastAsia="宋体" w:cs="Times New Roman"/>
                <w:sz w:val="24"/>
                <w:szCs w:val="18"/>
                <w:lang w:val="en-US" w:eastAsia="zh-CN"/>
              </w:rPr>
              <w:t>-数据处理</w:t>
            </w:r>
            <w:r>
              <w:rPr>
                <w:rFonts w:hint="eastAsia" w:ascii="Times New Roman" w:hAnsi="Times New Roman" w:eastAsia="宋体" w:cs="Times New Roman"/>
                <w:sz w:val="24"/>
                <w:szCs w:val="18"/>
              </w:rPr>
              <w:t>方案</w:t>
            </w:r>
            <w:r>
              <w:rPr>
                <w:rFonts w:hint="eastAsia" w:ascii="Times New Roman" w:hAnsi="Times New Roman" w:eastAsia="宋体" w:cs="Times New Roman"/>
                <w:sz w:val="24"/>
                <w:szCs w:val="18"/>
                <w:lang w:val="en-US" w:eastAsia="zh-CN"/>
              </w:rPr>
              <w:t>--数据处理--项目结算</w:t>
            </w:r>
          </w:p>
          <w:p>
            <w:pPr>
              <w:adjustRightInd w:val="0"/>
              <w:snapToGrid w:val="0"/>
              <w:spacing w:line="360" w:lineRule="auto"/>
              <w:rPr>
                <w:rFonts w:hint="eastAsia"/>
                <w:sz w:val="24"/>
                <w:szCs w:val="24"/>
                <w:lang w:eastAsia="zh-CN"/>
              </w:rPr>
            </w:pPr>
          </w:p>
          <w:p>
            <w:pPr>
              <w:adjustRightInd w:val="0"/>
              <w:snapToGrid w:val="0"/>
              <w:spacing w:line="360" w:lineRule="auto"/>
              <w:rPr>
                <w:rFonts w:hint="eastAsia"/>
                <w:sz w:val="24"/>
                <w:szCs w:val="24"/>
                <w:lang w:eastAsia="zh-CN"/>
              </w:rPr>
            </w:pPr>
            <w:r>
              <w:rPr>
                <w:rFonts w:hint="eastAsia"/>
                <w:sz w:val="24"/>
                <w:szCs w:val="24"/>
                <w:lang w:eastAsia="zh-CN"/>
              </w:rPr>
              <w:t>网络安全运维服务工作流程：</w:t>
            </w:r>
          </w:p>
          <w:p>
            <w:pPr>
              <w:widowControl/>
              <w:spacing w:before="40"/>
              <w:jc w:val="left"/>
              <w:rPr>
                <w:rFonts w:hint="eastAsia" w:ascii="Times New Roman" w:hAnsi="Times New Roman" w:eastAsia="宋体" w:cs="Times New Roman"/>
                <w:sz w:val="24"/>
                <w:szCs w:val="18"/>
                <w:lang w:val="en-US" w:eastAsia="zh-CN"/>
              </w:rPr>
            </w:pPr>
            <w:r>
              <w:rPr>
                <w:rFonts w:hint="eastAsia" w:ascii="Times New Roman" w:hAnsi="Times New Roman" w:eastAsia="宋体" w:cs="Times New Roman"/>
                <w:sz w:val="24"/>
                <w:szCs w:val="18"/>
                <w:lang w:eastAsia="zh-CN"/>
              </w:rPr>
              <w:t>业务洽谈</w:t>
            </w:r>
            <w:r>
              <w:rPr>
                <w:rFonts w:hint="eastAsia" w:ascii="Times New Roman" w:hAnsi="Times New Roman" w:eastAsia="宋体" w:cs="Times New Roman"/>
                <w:sz w:val="24"/>
                <w:szCs w:val="18"/>
                <w:lang w:val="en-US" w:eastAsia="zh-CN"/>
              </w:rPr>
              <w:t>-签订合同-</w:t>
            </w:r>
            <w:r>
              <w:rPr>
                <w:rFonts w:hint="eastAsia" w:ascii="Times New Roman" w:hAnsi="Times New Roman" w:eastAsia="宋体" w:cs="Times New Roman"/>
                <w:sz w:val="24"/>
                <w:szCs w:val="18"/>
              </w:rPr>
              <w:t>业务对接</w:t>
            </w:r>
            <w:r>
              <w:rPr>
                <w:rFonts w:hint="eastAsia" w:ascii="Times New Roman" w:hAnsi="Times New Roman" w:eastAsia="宋体" w:cs="Times New Roman"/>
                <w:sz w:val="24"/>
                <w:szCs w:val="18"/>
                <w:lang w:val="en-US" w:eastAsia="zh-CN"/>
              </w:rPr>
              <w:t>-安全服务咨询、渗透测试、安全性维护等安全服务--项目结算</w:t>
            </w:r>
          </w:p>
          <w:p>
            <w:pPr>
              <w:widowControl/>
              <w:spacing w:before="40"/>
              <w:jc w:val="left"/>
              <w:rPr>
                <w:rFonts w:hint="eastAsia" w:ascii="Times New Roman" w:hAnsi="Times New Roman" w:eastAsia="宋体" w:cs="Times New Roman"/>
                <w:sz w:val="24"/>
                <w:szCs w:val="18"/>
                <w:lang w:val="en-US" w:eastAsia="zh-CN"/>
              </w:rPr>
            </w:pPr>
          </w:p>
          <w:p>
            <w:pPr>
              <w:widowControl/>
              <w:spacing w:before="40"/>
              <w:jc w:val="left"/>
              <w:rPr>
                <w:color w:val="000000"/>
                <w:szCs w:val="21"/>
              </w:rPr>
            </w:pPr>
            <w:r>
              <w:rPr>
                <w:rFonts w:hint="eastAsia"/>
                <w:color w:val="000000"/>
                <w:szCs w:val="21"/>
                <w:lang w:eastAsia="zh-CN"/>
              </w:rPr>
              <w:t>☑</w:t>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hint="default" w:eastAsia="宋体"/>
                <w:color w:val="000000"/>
                <w:lang w:val="en-US" w:eastAsia="zh-CN"/>
              </w:rPr>
            </w:pPr>
            <w:r>
              <w:rPr>
                <w:rFonts w:hint="eastAsia"/>
                <w:color w:val="000000"/>
              </w:rPr>
              <w:t>观察基础设施（生产设备）</w:t>
            </w:r>
            <w:r>
              <w:rPr>
                <w:rFonts w:hint="eastAsia"/>
                <w:color w:val="000000"/>
                <w:szCs w:val="21"/>
              </w:rPr>
              <w:t>，主要有</w:t>
            </w:r>
            <w:r>
              <w:rPr>
                <w:rFonts w:hint="eastAsia"/>
                <w:color w:val="000000"/>
                <w:u w:val="single"/>
              </w:rPr>
              <w:t>；</w:t>
            </w:r>
            <w:r>
              <w:rPr>
                <w:rFonts w:hint="eastAsia"/>
                <w:color w:val="000000"/>
                <w:u w:val="single"/>
                <w:lang w:val="en-US" w:eastAsia="zh-CN"/>
              </w:rPr>
              <w:t>服务器、路由器、电脑，打印机等</w:t>
            </w:r>
          </w:p>
          <w:p>
            <w:pPr>
              <w:widowControl/>
              <w:spacing w:before="40"/>
              <w:jc w:val="left"/>
              <w:rPr>
                <w:color w:val="000000"/>
              </w:rPr>
            </w:pPr>
            <w:r>
              <w:rPr>
                <w:rFonts w:hint="eastAsia"/>
                <w:color w:val="000000"/>
                <w:szCs w:val="21"/>
                <w:lang w:eastAsia="zh-CN"/>
              </w:rPr>
              <w:t>☑</w:t>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rFonts w:hint="default" w:eastAsia="宋体"/>
                <w:color w:val="000000"/>
                <w:lang w:val="en-US" w:eastAsia="zh-CN"/>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r>
              <w:rPr>
                <w:rFonts w:hint="eastAsia"/>
                <w:color w:val="000000"/>
                <w:u w:val="single"/>
                <w:lang w:val="en-US" w:eastAsia="zh-CN"/>
              </w:rPr>
              <w:t>测试软件</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lang w:eastAsia="zh-CN"/>
              </w:rPr>
              <w:t>☑</w:t>
            </w: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有生产/服务现场   </w:t>
            </w:r>
            <w:r>
              <w:rPr>
                <w:rFonts w:hint="eastAsia"/>
                <w:color w:val="000000"/>
                <w:sz w:val="21"/>
                <w:szCs w:val="21"/>
                <w:lang w:eastAsia="zh-CN"/>
              </w:rPr>
              <w:t>☑</w:t>
            </w:r>
            <w:r>
              <w:rPr>
                <w:rFonts w:hint="eastAsia"/>
                <w:color w:val="000000"/>
                <w:sz w:val="21"/>
                <w:szCs w:val="21"/>
              </w:rPr>
              <w:t xml:space="preserve">领导层可以迎审  </w:t>
            </w:r>
            <w:r>
              <w:rPr>
                <w:rFonts w:hint="eastAsia"/>
                <w:color w:val="000000"/>
                <w:sz w:val="21"/>
                <w:szCs w:val="21"/>
                <w:lang w:eastAsia="zh-CN"/>
              </w:rPr>
              <w:t>☑</w:t>
            </w:r>
            <w:r>
              <w:rPr>
                <w:rFonts w:hint="eastAsia"/>
                <w:color w:val="000000"/>
                <w:sz w:val="21"/>
                <w:szCs w:val="21"/>
              </w:rPr>
              <w:t xml:space="preserve">交通食宿  □劳保用品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二阶段日期的可接受性  </w:t>
            </w:r>
            <w:r>
              <w:rPr>
                <w:rFonts w:hint="eastAsia"/>
                <w:color w:val="000000"/>
                <w:sz w:val="21"/>
                <w:szCs w:val="21"/>
                <w:lang w:eastAsia="zh-CN"/>
              </w:rPr>
              <w:t>☑</w:t>
            </w:r>
            <w:r>
              <w:rPr>
                <w:rFonts w:hint="eastAsia"/>
                <w:color w:val="000000"/>
                <w:sz w:val="21"/>
                <w:szCs w:val="21"/>
              </w:rPr>
              <w:t>审核组成员的可接受性  □一阶段的问题已整改</w:t>
            </w: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00CB7C6C"/>
    <w:rsid w:val="084560A8"/>
    <w:rsid w:val="4AC736CE"/>
    <w:rsid w:val="63E421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0</TotalTime>
  <ScaleCrop>false</ScaleCrop>
  <LinksUpToDate>false</LinksUpToDate>
  <CharactersWithSpaces>13072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2022-12-28T05:47:53Z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2052-11.1.0.12980</vt:lpwstr>
  </property>
</Properties>
</file>