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1282-2022-EnMs</w:t>
      </w:r>
      <w:bookmarkEnd w:id="0"/>
    </w:p>
    <w:p>
      <w:pPr>
        <w:jc w:val="left"/>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pPr>
    </w:p>
    <w:p>
      <w:pPr>
        <w:pStyle w:val="2"/>
      </w:pPr>
    </w:p>
    <w:p>
      <w:pPr>
        <w:pStyle w:val="2"/>
      </w:pPr>
    </w:p>
    <w:p>
      <w:pPr>
        <w:pStyle w:val="2"/>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上海太太乐食品有限公司无锡分公司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上海太太乐食品有限公司无锡分公司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无锡市西拓园区陆藕路31号</w:t>
            </w:r>
            <w:bookmarkEnd w:id="6"/>
          </w:p>
        </w:tc>
        <w:tc>
          <w:tcPr>
            <w:tcW w:w="1242" w:type="dxa"/>
            <w:vMerge w:val="restart"/>
            <w:vAlign w:val="center"/>
          </w:tcPr>
          <w:p>
            <w:r>
              <w:rPr>
                <w:rFonts w:hint="eastAsia"/>
              </w:rPr>
              <w:t>邮编</w:t>
            </w:r>
          </w:p>
        </w:tc>
        <w:tc>
          <w:tcPr>
            <w:tcW w:w="1771" w:type="dxa"/>
          </w:tcPr>
          <w:p>
            <w:bookmarkStart w:id="7" w:name="注册邮编"/>
            <w:r>
              <w:t>214000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江苏省无锡市西拓园区陆藕路31号</w:t>
            </w:r>
            <w:bookmarkEnd w:id="8"/>
          </w:p>
        </w:tc>
        <w:tc>
          <w:tcPr>
            <w:tcW w:w="1242" w:type="dxa"/>
            <w:vMerge w:val="continue"/>
            <w:vAlign w:val="center"/>
          </w:tcPr>
          <w:p/>
        </w:tc>
        <w:tc>
          <w:tcPr>
            <w:tcW w:w="1771" w:type="dxa"/>
          </w:tcPr>
          <w:p>
            <w:bookmarkStart w:id="9" w:name="办公邮编"/>
            <w:r>
              <w:t>214000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陆明</w:t>
            </w:r>
            <w:bookmarkEnd w:id="10"/>
          </w:p>
        </w:tc>
        <w:tc>
          <w:tcPr>
            <w:tcW w:w="1313" w:type="dxa"/>
            <w:vAlign w:val="center"/>
          </w:tcPr>
          <w:p>
            <w:r>
              <w:rPr>
                <w:rFonts w:hint="eastAsia"/>
              </w:rPr>
              <w:t>电话.</w:t>
            </w:r>
          </w:p>
        </w:tc>
        <w:tc>
          <w:tcPr>
            <w:tcW w:w="2180" w:type="dxa"/>
            <w:vAlign w:val="center"/>
          </w:tcPr>
          <w:p>
            <w:bookmarkStart w:id="11" w:name="联系人电话"/>
            <w:r>
              <w:t>15251693969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刘秉刚</w:t>
            </w:r>
            <w:bookmarkEnd w:id="13"/>
          </w:p>
        </w:tc>
        <w:tc>
          <w:tcPr>
            <w:tcW w:w="1313" w:type="dxa"/>
            <w:vAlign w:val="center"/>
          </w:tcPr>
          <w:p>
            <w:r>
              <w:rPr>
                <w:rFonts w:hint="eastAsia"/>
              </w:rPr>
              <w:t>管理者代表</w:t>
            </w:r>
          </w:p>
        </w:tc>
        <w:tc>
          <w:tcPr>
            <w:tcW w:w="2180" w:type="dxa"/>
          </w:tcPr>
          <w:p>
            <w:bookmarkStart w:id="14" w:name="管理者代表"/>
            <w:r>
              <w:t>陆明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lang w:val="en-US" w:eastAsia="zh-CN"/>
              </w:rPr>
              <w:t>原料冷库——处理及加工——配料——成型——包装——成品冷库</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w:t>
            </w:r>
            <w:r>
              <w:rPr>
                <w:rFonts w:hint="eastAsia"/>
                <w:lang w:val="en-US" w:eastAsia="zh-CN"/>
              </w:rPr>
              <w:t>23</w:t>
            </w:r>
            <w:r>
              <w:rPr>
                <w:rFonts w:hint="eastAsia"/>
              </w:rPr>
              <w:t>日 上午至2023年02月2</w:t>
            </w:r>
            <w:r>
              <w:rPr>
                <w:rFonts w:hint="eastAsia"/>
                <w:lang w:val="en-US" w:eastAsia="zh-CN"/>
              </w:rPr>
              <w:t>4</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 xml:space="preserve">RB/T </w:t>
            </w:r>
            <w:r>
              <w:rPr>
                <w:rFonts w:hint="eastAsia"/>
                <w:lang w:val="en-US" w:eastAsia="zh-CN"/>
              </w:rPr>
              <w:t>120-2015</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无锡市西拓园区陆藕路31号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调味品（味精、固态调味料）的生产所涉及的能源管理活动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pPr>
              <w:rPr>
                <w:strike/>
                <w:dstrike w:val="0"/>
              </w:rPr>
            </w:pPr>
            <w:r>
              <w:rPr>
                <w:rFonts w:hint="eastAsia"/>
                <w:strike/>
                <w:dstrike w:val="0"/>
              </w:rPr>
              <w:t>管理体系运行已超过3个月</w:t>
            </w:r>
          </w:p>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51"/>
        <w:gridCol w:w="1570"/>
        <w:gridCol w:w="1430"/>
        <w:gridCol w:w="1750"/>
        <w:gridCol w:w="17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51" w:type="dxa"/>
            <w:shd w:val="clear" w:color="auto" w:fill="F3F3F3"/>
            <w:tcMar>
              <w:left w:w="57" w:type="dxa"/>
              <w:right w:w="57" w:type="dxa"/>
            </w:tcMar>
          </w:tcPr>
          <w:p>
            <w:r>
              <w:rPr>
                <w:rFonts w:hint="eastAsia"/>
              </w:rPr>
              <w:t>组织名称及注册场所地址</w:t>
            </w:r>
          </w:p>
        </w:tc>
        <w:tc>
          <w:tcPr>
            <w:tcW w:w="1570" w:type="dxa"/>
            <w:shd w:val="clear" w:color="auto" w:fill="F3F3F3"/>
            <w:tcMar>
              <w:left w:w="57" w:type="dxa"/>
              <w:right w:w="57" w:type="dxa"/>
            </w:tcMar>
          </w:tcPr>
          <w:p>
            <w:r>
              <w:rPr>
                <w:rFonts w:hint="eastAsia"/>
              </w:rPr>
              <w:t>经营场所的地址</w:t>
            </w:r>
          </w:p>
          <w:p>
            <w:r>
              <w:rPr>
                <w:rFonts w:hint="eastAsia"/>
              </w:rPr>
              <w:t>（多现场和临时现场）</w:t>
            </w:r>
          </w:p>
        </w:tc>
        <w:tc>
          <w:tcPr>
            <w:tcW w:w="1430" w:type="dxa"/>
            <w:shd w:val="clear" w:color="auto" w:fill="F3F3F3"/>
            <w:tcMar>
              <w:left w:w="57" w:type="dxa"/>
              <w:right w:w="57" w:type="dxa"/>
            </w:tcMar>
          </w:tcPr>
          <w:p>
            <w:r>
              <w:rPr>
                <w:rFonts w:hint="eastAsia"/>
              </w:rPr>
              <w:t>员工人数</w:t>
            </w:r>
          </w:p>
        </w:tc>
        <w:tc>
          <w:tcPr>
            <w:tcW w:w="17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7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51"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上海太太乐食品有限公司无锡分公司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无锡市西拓园区陆藕路31号</w:t>
            </w:r>
          </w:p>
        </w:tc>
        <w:tc>
          <w:tcPr>
            <w:tcW w:w="1570"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江苏省无锡市西拓园区陆藕路31号</w:t>
            </w:r>
          </w:p>
        </w:tc>
        <w:tc>
          <w:tcPr>
            <w:tcW w:w="1430" w:type="dxa"/>
            <w:vAlign w:val="center"/>
          </w:tcPr>
          <w:p>
            <w:pPr>
              <w:spacing w:before="40" w:after="40"/>
              <w:rPr>
                <w:rFonts w:hint="default" w:ascii="宋体" w:hAnsi="宋体" w:eastAsia="宋体" w:cs="宋体"/>
                <w:color w:val="000000"/>
                <w:kern w:val="0"/>
                <w:sz w:val="21"/>
                <w:szCs w:val="21"/>
                <w:lang w:val="en-US" w:eastAsia="ja-JP" w:bidi="ar-SA"/>
              </w:rPr>
            </w:pPr>
            <w:r>
              <w:rPr>
                <w:rFonts w:hint="eastAsia" w:ascii="宋体" w:hAnsi="宋体" w:eastAsia="宋体" w:cs="宋体"/>
                <w:color w:val="000000"/>
                <w:kern w:val="0"/>
                <w:szCs w:val="21"/>
                <w:highlight w:val="none"/>
                <w:lang w:val="en-US" w:eastAsia="zh-CN"/>
              </w:rPr>
              <w:t>企业总人数85人，能源体系覆盖35人</w:t>
            </w:r>
          </w:p>
        </w:tc>
        <w:tc>
          <w:tcPr>
            <w:tcW w:w="1750"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调味品（味精、固态调味料）的生产所涉及的能源管理活动</w:t>
            </w:r>
          </w:p>
        </w:tc>
        <w:tc>
          <w:tcPr>
            <w:tcW w:w="1776" w:type="dxa"/>
            <w:vAlign w:val="center"/>
          </w:tcPr>
          <w:p>
            <w:pPr>
              <w:spacing w:before="40" w:after="4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GB/T23331-2020</w:t>
            </w:r>
          </w:p>
          <w:p>
            <w:pPr>
              <w:spacing w:before="40" w:after="4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RB/T</w:t>
            </w:r>
            <w:r>
              <w:rPr>
                <w:rFonts w:hint="eastAsia" w:ascii="宋体" w:hAnsi="宋体" w:cs="宋体"/>
                <w:color w:val="000000"/>
                <w:kern w:val="0"/>
                <w:szCs w:val="21"/>
                <w:lang w:val="en-US" w:eastAsia="zh-CN"/>
              </w:rPr>
              <w:t>120</w:t>
            </w:r>
            <w:r>
              <w:rPr>
                <w:rFonts w:hint="eastAsia" w:ascii="宋体" w:hAnsi="宋体" w:eastAsia="宋体" w:cs="宋体"/>
                <w:color w:val="000000"/>
                <w:kern w:val="0"/>
                <w:szCs w:val="21"/>
                <w:lang w:val="en-US" w:eastAsia="zh-CN"/>
              </w:rPr>
              <w:t>-201</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lang w:val="en-US" w:eastAsia="zh-CN"/>
              </w:rPr>
              <w:t xml:space="preserve"> </w:t>
            </w:r>
          </w:p>
          <w:p>
            <w:pPr>
              <w:spacing w:before="40" w:after="40"/>
              <w:rPr>
                <w:rFonts w:hint="eastAsia" w:ascii="宋体" w:hAnsi="宋体" w:eastAsia="宋体" w:cs="宋体"/>
                <w:color w:val="000000"/>
                <w:kern w:val="0"/>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51" w:type="dxa"/>
            <w:vAlign w:val="center"/>
          </w:tcPr>
          <w:p>
            <w:pPr>
              <w:rPr>
                <w:lang w:eastAsia="ja-JP"/>
              </w:rPr>
            </w:pPr>
          </w:p>
        </w:tc>
        <w:tc>
          <w:tcPr>
            <w:tcW w:w="1570" w:type="dxa"/>
            <w:vAlign w:val="center"/>
          </w:tcPr>
          <w:p>
            <w:pPr>
              <w:rPr>
                <w:lang w:eastAsia="ja-JP"/>
              </w:rPr>
            </w:pPr>
          </w:p>
        </w:tc>
        <w:tc>
          <w:tcPr>
            <w:tcW w:w="1430" w:type="dxa"/>
            <w:vAlign w:val="center"/>
          </w:tcPr>
          <w:p>
            <w:pPr>
              <w:rPr>
                <w:lang w:eastAsia="ja-JP"/>
              </w:rPr>
            </w:pPr>
          </w:p>
        </w:tc>
        <w:tc>
          <w:tcPr>
            <w:tcW w:w="1750" w:type="dxa"/>
            <w:vAlign w:val="center"/>
          </w:tcPr>
          <w:p>
            <w:pPr>
              <w:rPr>
                <w:lang w:eastAsia="ja-JP"/>
              </w:rPr>
            </w:pPr>
          </w:p>
        </w:tc>
        <w:tc>
          <w:tcPr>
            <w:tcW w:w="17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51" w:type="dxa"/>
            <w:vAlign w:val="center"/>
          </w:tcPr>
          <w:p>
            <w:pPr>
              <w:rPr>
                <w:lang w:eastAsia="ja-JP"/>
              </w:rPr>
            </w:pPr>
          </w:p>
        </w:tc>
        <w:tc>
          <w:tcPr>
            <w:tcW w:w="1570" w:type="dxa"/>
            <w:vAlign w:val="center"/>
          </w:tcPr>
          <w:p>
            <w:pPr>
              <w:rPr>
                <w:lang w:eastAsia="ja-JP"/>
              </w:rPr>
            </w:pPr>
          </w:p>
        </w:tc>
        <w:tc>
          <w:tcPr>
            <w:tcW w:w="1430" w:type="dxa"/>
            <w:vAlign w:val="center"/>
          </w:tcPr>
          <w:p>
            <w:pPr>
              <w:rPr>
                <w:lang w:eastAsia="ja-JP"/>
              </w:rPr>
            </w:pPr>
          </w:p>
        </w:tc>
        <w:tc>
          <w:tcPr>
            <w:tcW w:w="1750" w:type="dxa"/>
            <w:vAlign w:val="center"/>
          </w:tcPr>
          <w:p>
            <w:pPr>
              <w:rPr>
                <w:lang w:eastAsia="ja-JP"/>
              </w:rPr>
            </w:pPr>
          </w:p>
        </w:tc>
        <w:tc>
          <w:tcPr>
            <w:tcW w:w="17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51" w:type="dxa"/>
            <w:vAlign w:val="center"/>
          </w:tcPr>
          <w:p>
            <w:pPr>
              <w:rPr>
                <w:lang w:eastAsia="ja-JP"/>
              </w:rPr>
            </w:pPr>
          </w:p>
        </w:tc>
        <w:tc>
          <w:tcPr>
            <w:tcW w:w="1570" w:type="dxa"/>
            <w:vAlign w:val="center"/>
          </w:tcPr>
          <w:p>
            <w:pPr>
              <w:rPr>
                <w:lang w:eastAsia="ja-JP"/>
              </w:rPr>
            </w:pPr>
          </w:p>
        </w:tc>
        <w:tc>
          <w:tcPr>
            <w:tcW w:w="1430" w:type="dxa"/>
            <w:vAlign w:val="center"/>
          </w:tcPr>
          <w:p>
            <w:pPr>
              <w:rPr>
                <w:lang w:eastAsia="ja-JP"/>
              </w:rPr>
            </w:pPr>
          </w:p>
        </w:tc>
        <w:tc>
          <w:tcPr>
            <w:tcW w:w="1750" w:type="dxa"/>
            <w:vAlign w:val="center"/>
          </w:tcPr>
          <w:p>
            <w:pPr>
              <w:rPr>
                <w:lang w:eastAsia="ja-JP"/>
              </w:rPr>
            </w:pPr>
          </w:p>
        </w:tc>
        <w:tc>
          <w:tcPr>
            <w:tcW w:w="17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51" w:type="dxa"/>
            <w:vAlign w:val="center"/>
          </w:tcPr>
          <w:p>
            <w:pPr>
              <w:rPr>
                <w:lang w:eastAsia="ja-JP"/>
              </w:rPr>
            </w:pPr>
          </w:p>
        </w:tc>
        <w:tc>
          <w:tcPr>
            <w:tcW w:w="1570" w:type="dxa"/>
            <w:vAlign w:val="center"/>
          </w:tcPr>
          <w:p>
            <w:pPr>
              <w:rPr>
                <w:lang w:eastAsia="ja-JP"/>
              </w:rPr>
            </w:pPr>
          </w:p>
        </w:tc>
        <w:tc>
          <w:tcPr>
            <w:tcW w:w="1430" w:type="dxa"/>
            <w:vAlign w:val="center"/>
          </w:tcPr>
          <w:p>
            <w:pPr>
              <w:rPr>
                <w:lang w:eastAsia="ja-JP"/>
              </w:rPr>
            </w:pPr>
          </w:p>
        </w:tc>
        <w:tc>
          <w:tcPr>
            <w:tcW w:w="1750" w:type="dxa"/>
            <w:vAlign w:val="center"/>
          </w:tcPr>
          <w:p>
            <w:pPr>
              <w:rPr>
                <w:lang w:eastAsia="ja-JP"/>
              </w:rPr>
            </w:pPr>
          </w:p>
        </w:tc>
        <w:tc>
          <w:tcPr>
            <w:tcW w:w="177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pStyle w:val="3"/>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王琳</w:t>
            </w:r>
          </w:p>
        </w:tc>
        <w:tc>
          <w:tcPr>
            <w:tcW w:w="1089" w:type="dxa"/>
            <w:vAlign w:val="center"/>
          </w:tcPr>
          <w:p>
            <w:r>
              <w:t>组员</w:t>
            </w:r>
          </w:p>
        </w:tc>
        <w:tc>
          <w:tcPr>
            <w:tcW w:w="711" w:type="dxa"/>
            <w:vAlign w:val="center"/>
          </w:tcPr>
          <w:p>
            <w:r>
              <w:t>女</w:t>
            </w:r>
          </w:p>
        </w:tc>
        <w:tc>
          <w:tcPr>
            <w:tcW w:w="3870" w:type="dxa"/>
            <w:vAlign w:val="center"/>
          </w:tcPr>
          <w:p>
            <w:r>
              <w:t>2022-N1EnMS-1254369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Pr>
        <w:pStyle w:val="3"/>
      </w:pPr>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3"/>
      </w:pPr>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EnMS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highlight w:val="none"/>
              </w:rPr>
              <w:sym w:font="Wingdings 2" w:char="0052"/>
            </w:r>
            <w:r>
              <w:rPr>
                <w:rFonts w:hint="eastAsia"/>
                <w:highlight w:val="none"/>
              </w:rPr>
              <w:t>在完成纠正措施后推荐认证注册(</w:t>
            </w:r>
            <w:r>
              <w:rPr>
                <w:rFonts w:hint="eastAsia"/>
                <w:highlight w:val="none"/>
              </w:rPr>
              <w:sym w:font="Wingdings 2" w:char="0052"/>
            </w:r>
            <w:r>
              <w:rPr>
                <w:rFonts w:hint="eastAsia"/>
                <w:highlight w:val="none"/>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李丽英</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w:t>
            </w:r>
            <w:r>
              <w:rPr>
                <w:rFonts w:hint="eastAsia"/>
              </w:rPr>
              <w:sym w:font="Wingdings 2" w:char="0052"/>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生产/服务过程</w:t>
            </w:r>
            <w:r>
              <w:rPr>
                <w:rFonts w:hint="eastAsia"/>
              </w:rPr>
              <w:sym w:font="Wingdings 2" w:char="0052"/>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t>□以身作则□建立机制□法规宣传□风险机遇的应对□其他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pPr>
            <w:r>
              <w:rPr>
                <w:rFonts w:hint="eastAsia"/>
              </w:rPr>
              <w:t>最高管理者制定了文件化的管理体系方针：</w:t>
            </w:r>
            <w:r>
              <w:rPr>
                <w:rFonts w:hint="eastAsia" w:ascii="Times New Roman" w:hAnsi="Times New Roman" w:eastAsia="宋体" w:cs="Times New Roman"/>
                <w:b/>
                <w:bCs/>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rPr>
              <w:sym w:font="Wingdings 2" w:char="0052"/>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及时更新掌握法律部法规的变化，开展合规性评价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人员能力的变化</w:t>
                  </w:r>
                </w:p>
              </w:tc>
              <w:tc>
                <w:tcPr>
                  <w:tcW w:w="3965" w:type="dxa"/>
                </w:tcPr>
                <w:p>
                  <w:pPr>
                    <w:shd w:val="clear" w:color="auto" w:fill="EBF1DE" w:themeFill="accent3" w:themeFillTint="32"/>
                    <w:rPr>
                      <w:rFonts w:hint="default" w:eastAsia="宋体"/>
                      <w:lang w:val="en-US" w:eastAsia="zh-CN"/>
                    </w:rPr>
                  </w:pPr>
                  <w:r>
                    <w:rPr>
                      <w:rFonts w:hint="eastAsia"/>
                      <w:lang w:val="en-US" w:eastAsia="zh-CN"/>
                    </w:rPr>
                    <w:t>不断培训人员的能力确保满足要求</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w:t>
            </w:r>
            <w:r>
              <w:rPr>
                <w:rFonts w:hint="eastAsia"/>
                <w:highlight w:val="none"/>
              </w:rPr>
              <w:t>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2022.12</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rPr>
                    <w:t>节能目标</w:t>
                  </w:r>
                  <w:r>
                    <w:rPr>
                      <w:rFonts w:hint="eastAsia" w:ascii="宋体" w:hAnsi="宋体"/>
                      <w:lang w:val="en-US" w:eastAsia="zh-CN"/>
                    </w:rPr>
                    <w:t>2022年</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单位产品综合能耗 4.40 kgce/t</w:t>
                  </w:r>
                </w:p>
              </w:tc>
              <w:tc>
                <w:tcPr>
                  <w:tcW w:w="3136"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提高产品产量，降低用电消耗</w:t>
                  </w:r>
                </w:p>
              </w:tc>
              <w:tc>
                <w:tcPr>
                  <w:tcW w:w="1350"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生产部/设备部</w:t>
                  </w:r>
                </w:p>
              </w:tc>
              <w:tc>
                <w:tcPr>
                  <w:tcW w:w="1774" w:type="dxa"/>
                  <w:shd w:val="clear" w:color="auto" w:fill="auto"/>
                </w:tcPr>
                <w:p>
                  <w:pPr>
                    <w:shd w:val="clear" w:color="auto" w:fill="EBF1DE" w:themeFill="accent3" w:themeFillTint="32"/>
                    <w:jc w:val="center"/>
                    <w:rPr>
                      <w:rFonts w:hint="eastAsia" w:ascii="宋体" w:hAnsi="宋体"/>
                    </w:rPr>
                  </w:pPr>
                  <w:r>
                    <w:rPr>
                      <w:rFonts w:hint="eastAsia" w:ascii="宋体" w:hAnsi="宋体"/>
                      <w:lang w:val="en-US" w:eastAsia="zh-CN"/>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FF"/>
                      <w:kern w:val="2"/>
                      <w:sz w:val="21"/>
                      <w:szCs w:val="22"/>
                      <w:highlight w:val="yellow"/>
                      <w:lang w:val="en-US" w:eastAsia="zh-CN" w:bidi="ar-SA"/>
                    </w:rPr>
                  </w:pPr>
                  <w:r>
                    <w:rPr>
                      <w:rFonts w:hint="eastAsia"/>
                      <w:color w:val="000000"/>
                      <w:szCs w:val="18"/>
                      <w:highlight w:val="none"/>
                      <w:lang w:val="en-US" w:eastAsia="zh-CN"/>
                    </w:rPr>
                    <w:t>吨产品能耗（电耗）≤0.13 GJ/t</w:t>
                  </w:r>
                </w:p>
              </w:tc>
              <w:tc>
                <w:tcPr>
                  <w:tcW w:w="3136"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加强用电设备管理，尽量采用变频电机和设备，提高设备运行能效，合理安排生产，提高设备连续运行时间</w:t>
                  </w:r>
                </w:p>
              </w:tc>
              <w:tc>
                <w:tcPr>
                  <w:tcW w:w="1350"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r>
                    <w:rPr>
                      <w:rFonts w:hint="eastAsia"/>
                      <w:color w:val="000000"/>
                      <w:szCs w:val="18"/>
                      <w:highlight w:val="none"/>
                      <w:lang w:val="en-US" w:eastAsia="zh-CN"/>
                    </w:rPr>
                    <w:t>生产部/设备部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FF"/>
                      <w:kern w:val="2"/>
                      <w:sz w:val="21"/>
                      <w:szCs w:val="22"/>
                      <w:highlight w:val="yellow"/>
                      <w:lang w:val="en-US" w:eastAsia="zh-CN" w:bidi="ar-SA"/>
                    </w:rPr>
                  </w:pPr>
                  <w:r>
                    <w:rPr>
                      <w:rFonts w:hint="eastAsia"/>
                      <w:color w:val="000000"/>
                      <w:szCs w:val="18"/>
                      <w:highlight w:val="none"/>
                      <w:lang w:val="en-US" w:eastAsia="zh-CN"/>
                    </w:rPr>
                    <w:t>吨产品水耗≤0.131 t/t</w:t>
                  </w:r>
                </w:p>
              </w:tc>
              <w:tc>
                <w:tcPr>
                  <w:tcW w:w="3136"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加强辅助工程的用水管理和控制</w:t>
                  </w:r>
                </w:p>
              </w:tc>
              <w:tc>
                <w:tcPr>
                  <w:tcW w:w="1350" w:type="dxa"/>
                  <w:shd w:val="clear" w:color="auto" w:fill="auto"/>
                  <w:vAlign w:val="top"/>
                </w:tcPr>
                <w:p>
                  <w:pPr>
                    <w:widowControl/>
                    <w:spacing w:before="40"/>
                    <w:jc w:val="left"/>
                    <w:rPr>
                      <w:rFonts w:hint="eastAsia" w:ascii="宋体" w:hAnsi="宋体" w:eastAsia="宋体" w:cs="Times New Roman"/>
                      <w:kern w:val="2"/>
                      <w:sz w:val="21"/>
                      <w:szCs w:val="21"/>
                      <w:lang w:val="en-US" w:eastAsia="zh-CN" w:bidi="ar-SA"/>
                    </w:rPr>
                  </w:pPr>
                  <w:r>
                    <w:rPr>
                      <w:rFonts w:hint="eastAsia"/>
                      <w:color w:val="000000"/>
                      <w:szCs w:val="18"/>
                      <w:highlight w:val="none"/>
                      <w:lang w:val="en-US"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FF"/>
                      <w:kern w:val="2"/>
                      <w:sz w:val="21"/>
                      <w:szCs w:val="22"/>
                      <w:highlight w:val="yellow"/>
                      <w:lang w:val="en-US" w:eastAsia="zh-CN" w:bidi="ar-SA"/>
                    </w:rPr>
                  </w:pPr>
                </w:p>
              </w:tc>
              <w:tc>
                <w:tcPr>
                  <w:tcW w:w="3136" w:type="dxa"/>
                  <w:shd w:val="clear" w:color="auto" w:fill="auto"/>
                  <w:vAlign w:val="top"/>
                </w:tcPr>
                <w:p>
                  <w:pPr>
                    <w:widowControl/>
                    <w:spacing w:before="40"/>
                    <w:jc w:val="left"/>
                    <w:rPr>
                      <w:rFonts w:hint="eastAsia" w:ascii="宋体" w:hAnsi="宋体" w:eastAsia="宋体" w:cs="Times New Roman"/>
                      <w:kern w:val="2"/>
                      <w:sz w:val="21"/>
                      <w:szCs w:val="21"/>
                      <w:lang w:val="en-US" w:eastAsia="zh-CN" w:bidi="ar-SA"/>
                    </w:rPr>
                  </w:pPr>
                </w:p>
              </w:tc>
              <w:tc>
                <w:tcPr>
                  <w:tcW w:w="1350"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sym w:font="Wingdings 2" w:char="0052"/>
            </w:r>
            <w:r>
              <w:rPr>
                <w:rFonts w:hint="eastAsia"/>
                <w:color w:val="000000"/>
                <w:szCs w:val="18"/>
                <w:highlight w:val="none"/>
                <w:lang w:val="en-US" w:eastAsia="zh-CN"/>
              </w:rPr>
              <w:t>吨产品能耗（电耗）</w:t>
            </w:r>
            <w:bookmarkStart w:id="34" w:name="_GoBack"/>
            <w:bookmarkEnd w:id="34"/>
            <w:r>
              <w:rPr>
                <w:rFonts w:hint="eastAsia"/>
                <w:color w:val="000000"/>
                <w:szCs w:val="18"/>
                <w:highlight w:val="none"/>
                <w:lang w:val="en-US" w:eastAsia="zh-CN"/>
              </w:rPr>
              <w:t>和综合能耗指标</w:t>
            </w:r>
            <w:r>
              <w:rPr>
                <w:rFonts w:hint="eastAsia"/>
              </w:rPr>
              <w:t>已实现</w:t>
            </w:r>
          </w:p>
          <w:p>
            <w:pPr>
              <w:shd w:val="clear" w:color="auto" w:fill="EBF1DE" w:themeFill="accent3" w:themeFillTint="32"/>
            </w:pPr>
            <w:r>
              <w:rPr>
                <w:rFonts w:hint="eastAsia"/>
              </w:rPr>
              <w:sym w:font="Wingdings 2" w:char="0052"/>
            </w:r>
            <w:r>
              <w:rPr>
                <w:rFonts w:hint="eastAsia"/>
                <w:color w:val="000000"/>
                <w:szCs w:val="18"/>
                <w:highlight w:val="none"/>
                <w:lang w:val="en-US" w:eastAsia="zh-CN"/>
              </w:rPr>
              <w:t>吨产品水耗</w:t>
            </w:r>
            <w:r>
              <w:rPr>
                <w:rFonts w:hint="eastAsia"/>
              </w:rPr>
              <w:t>目标没有实现，组织在内部及时进行原因分析并采取了改进措施。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val="en-US" w:eastAsia="zh-CN"/>
              </w:rPr>
              <w:t>占地面积14000平方米，</w:t>
            </w:r>
            <w:r>
              <w:rPr>
                <w:rFonts w:hint="eastAsia"/>
              </w:rPr>
              <w:t>建筑面积</w:t>
            </w:r>
            <w:r>
              <w:rPr>
                <w:rFonts w:hint="eastAsia"/>
                <w:lang w:val="en-US" w:eastAsia="zh-CN"/>
              </w:rPr>
              <w:t>7000</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highlight w:val="none"/>
                <w:u w:val="single"/>
                <w:lang w:val="en-US" w:eastAsia="zh-CN"/>
              </w:rPr>
              <w:t>空压机、热风循环风箱机、粉碎机、振动筛</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highlight w:val="none"/>
                <w:u w:val="single"/>
                <w:lang w:val="en-US" w:eastAsia="zh-CN"/>
              </w:rPr>
              <w:t>空压机、热风循环风箱机、粉碎机、振动筛</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w:t>
            </w:r>
            <w:r>
              <w:rPr>
                <w:rFonts w:hint="eastAsia"/>
                <w:lang w:val="en-US" w:eastAsia="zh-CN"/>
              </w:rPr>
              <w:t>机</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highlight w:val="none"/>
              </w:rPr>
              <w:t>未</w:t>
            </w:r>
            <w:r>
              <w:rPr>
                <w:rFonts w:hint="eastAsia"/>
                <w:highlight w:val="none"/>
                <w:lang w:val="en-US" w:eastAsia="zh-CN"/>
              </w:rPr>
              <w:t>提供</w:t>
            </w:r>
            <w:r>
              <w:rPr>
                <w:rFonts w:hint="eastAsia"/>
                <w:highlight w:val="none"/>
              </w:rPr>
              <w:t>定期校准/检定的有：</w:t>
            </w:r>
            <w:r>
              <w:rPr>
                <w:rFonts w:hint="eastAsia"/>
                <w:highlight w:val="none"/>
                <w:lang w:val="en-US" w:eastAsia="zh-CN"/>
              </w:rPr>
              <w:t>电表、水表。由供应方安装并检定校准，企业未获取到相关报告。已沟</w:t>
            </w:r>
            <w:r>
              <w:rPr>
                <w:rFonts w:hint="eastAsia"/>
                <w:lang w:val="en-US" w:eastAsia="zh-CN"/>
              </w:rPr>
              <w:t>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操作规程</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作业文件</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工艺卡片</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接收准则</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highlight w:val="none"/>
              </w:rPr>
              <w:t>设计和开发新产品/项目名称</w:t>
            </w:r>
            <w:r>
              <w:rPr>
                <w:rFonts w:hint="eastAsia"/>
              </w:rPr>
              <w:t>：</w:t>
            </w:r>
            <w:r>
              <w:rPr>
                <w:rFonts w:hint="eastAsia"/>
                <w:u w:val="single"/>
                <w:lang w:val="en-US" w:eastAsia="zh-CN"/>
              </w:rPr>
              <w:t xml:space="preserve">  无 </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控制用电设备的有效运行，减少空转</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w:t>
            </w:r>
            <w:r>
              <w:rPr>
                <w:rFonts w:hint="eastAsia"/>
                <w:highlight w:val="none"/>
              </w:rPr>
              <w:t>必要的节能效果评审</w:t>
            </w:r>
            <w:r>
              <w:rPr>
                <w:rFonts w:hint="eastAsia"/>
              </w:rPr>
              <w:t>和制订控制措施，以确保持续地符合法规要求。</w:t>
            </w:r>
          </w:p>
          <w:p>
            <w:pPr>
              <w:shd w:val="clear" w:color="auto" w:fill="EBF1DE" w:themeFill="accent3" w:themeFillTint="32"/>
            </w:pPr>
            <w:r>
              <w:rPr>
                <w:rFonts w:hint="eastAsia"/>
              </w:rPr>
              <w:t>已发生的</w:t>
            </w:r>
            <w:r>
              <w:rPr>
                <w:rFonts w:hint="eastAsia"/>
                <w:highlight w:val="none"/>
              </w:rPr>
              <w:t>更改</w:t>
            </w:r>
            <w:r>
              <w:rPr>
                <w:rFonts w:hint="eastAsia"/>
              </w:rPr>
              <w:t>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lang w:val="en-US" w:eastAsia="zh-CN"/>
              </w:rPr>
              <w:t>未开展</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98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064"/>
        <w:gridCol w:w="900"/>
        <w:gridCol w:w="1005"/>
        <w:gridCol w:w="779"/>
        <w:gridCol w:w="780"/>
        <w:gridCol w:w="780"/>
        <w:gridCol w:w="592"/>
        <w:gridCol w:w="664"/>
        <w:gridCol w:w="664"/>
        <w:gridCol w:w="65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90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1005"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592"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664"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664"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54"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1009"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9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1005"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9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6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6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5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100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900" w:type="dxa"/>
            <w:shd w:val="clear" w:color="auto" w:fill="EBF1DE" w:themeFill="accent3" w:themeFillTint="32"/>
            <w:vAlign w:val="center"/>
          </w:tcPr>
          <w:p>
            <w:pPr>
              <w:shd w:val="clear" w:color="auto" w:fill="EBF1DE" w:themeFill="accent3" w:themeFillTint="32"/>
              <w:rPr>
                <w:lang w:eastAsia="ja-JP"/>
              </w:rPr>
            </w:pPr>
          </w:p>
        </w:tc>
        <w:tc>
          <w:tcPr>
            <w:tcW w:w="1005"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592"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54" w:type="dxa"/>
            <w:shd w:val="clear" w:color="auto" w:fill="EBF1DE" w:themeFill="accent3" w:themeFillTint="32"/>
            <w:vAlign w:val="center"/>
          </w:tcPr>
          <w:p>
            <w:pPr>
              <w:shd w:val="clear" w:color="auto" w:fill="EBF1DE" w:themeFill="accent3" w:themeFillTint="32"/>
              <w:rPr>
                <w:lang w:eastAsia="ja-JP"/>
              </w:rPr>
            </w:pPr>
          </w:p>
        </w:tc>
        <w:tc>
          <w:tcPr>
            <w:tcW w:w="100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90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1005"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592" w:type="dxa"/>
            <w:shd w:val="clear" w:color="auto" w:fill="EBF1DE" w:themeFill="accent3" w:themeFillTint="32"/>
            <w:vAlign w:val="center"/>
          </w:tcPr>
          <w:p>
            <w:pPr>
              <w:shd w:val="clear" w:color="auto" w:fill="EBF1DE" w:themeFill="accent3" w:themeFillTint="32"/>
            </w:pPr>
            <w:r>
              <w:rPr>
                <w:rFonts w:hint="eastAsia"/>
              </w:rPr>
              <w:t>7.3</w:t>
            </w:r>
          </w:p>
        </w:tc>
        <w:tc>
          <w:tcPr>
            <w:tcW w:w="664" w:type="dxa"/>
            <w:shd w:val="clear" w:color="auto" w:fill="EBF1DE" w:themeFill="accent3" w:themeFillTint="32"/>
            <w:vAlign w:val="center"/>
          </w:tcPr>
          <w:p>
            <w:pPr>
              <w:shd w:val="clear" w:color="auto" w:fill="EBF1DE" w:themeFill="accent3" w:themeFillTint="32"/>
            </w:pPr>
            <w:r>
              <w:rPr>
                <w:rFonts w:hint="eastAsia"/>
              </w:rPr>
              <w:t>7.4</w:t>
            </w:r>
          </w:p>
        </w:tc>
        <w:tc>
          <w:tcPr>
            <w:tcW w:w="664" w:type="dxa"/>
            <w:shd w:val="clear" w:color="auto" w:fill="EBF1DE" w:themeFill="accent3" w:themeFillTint="32"/>
            <w:vAlign w:val="center"/>
          </w:tcPr>
          <w:p>
            <w:pPr>
              <w:shd w:val="clear" w:color="auto" w:fill="EBF1DE" w:themeFill="accent3" w:themeFillTint="32"/>
            </w:pPr>
            <w:r>
              <w:rPr>
                <w:rFonts w:hint="eastAsia"/>
              </w:rPr>
              <w:t>7.5</w:t>
            </w:r>
          </w:p>
        </w:tc>
        <w:tc>
          <w:tcPr>
            <w:tcW w:w="654"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1009"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9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1005"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9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6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6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5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100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900" w:type="dxa"/>
            <w:shd w:val="clear" w:color="auto" w:fill="EBF1DE" w:themeFill="accent3" w:themeFillTint="32"/>
            <w:vAlign w:val="center"/>
          </w:tcPr>
          <w:p>
            <w:pPr>
              <w:shd w:val="clear" w:color="auto" w:fill="EBF1DE" w:themeFill="accent3" w:themeFillTint="32"/>
            </w:pPr>
          </w:p>
        </w:tc>
        <w:tc>
          <w:tcPr>
            <w:tcW w:w="1005"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1（合并）</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592"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54" w:type="dxa"/>
            <w:shd w:val="clear" w:color="auto" w:fill="EBF1DE" w:themeFill="accent3" w:themeFillTint="32"/>
            <w:vAlign w:val="center"/>
          </w:tcPr>
          <w:p>
            <w:pPr>
              <w:shd w:val="clear" w:color="auto" w:fill="EBF1DE" w:themeFill="accent3" w:themeFillTint="32"/>
              <w:rPr>
                <w:lang w:eastAsia="ja-JP"/>
              </w:rPr>
            </w:pPr>
          </w:p>
        </w:tc>
        <w:tc>
          <w:tcPr>
            <w:tcW w:w="1009"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900" w:type="dxa"/>
            <w:shd w:val="clear" w:color="auto" w:fill="EBF1DE" w:themeFill="accent3" w:themeFillTint="32"/>
            <w:vAlign w:val="center"/>
          </w:tcPr>
          <w:p>
            <w:pPr>
              <w:shd w:val="clear" w:color="auto" w:fill="EBF1DE" w:themeFill="accent3" w:themeFillTint="32"/>
            </w:pPr>
            <w:r>
              <w:rPr>
                <w:rFonts w:hint="eastAsia"/>
              </w:rPr>
              <w:t>8.3</w:t>
            </w:r>
          </w:p>
        </w:tc>
        <w:tc>
          <w:tcPr>
            <w:tcW w:w="1005"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592"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54" w:type="dxa"/>
            <w:shd w:val="clear" w:color="auto" w:fill="EBF1DE" w:themeFill="accent3" w:themeFillTint="32"/>
            <w:vAlign w:val="center"/>
          </w:tcPr>
          <w:p>
            <w:pPr>
              <w:shd w:val="clear" w:color="auto" w:fill="EBF1DE" w:themeFill="accent3" w:themeFillTint="32"/>
              <w:rPr>
                <w:lang w:eastAsia="ja-JP"/>
              </w:rPr>
            </w:pPr>
          </w:p>
        </w:tc>
        <w:tc>
          <w:tcPr>
            <w:tcW w:w="1009"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9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1005"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92"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54" w:type="dxa"/>
            <w:shd w:val="clear" w:color="auto" w:fill="EBF1DE" w:themeFill="accent3" w:themeFillTint="32"/>
            <w:vAlign w:val="center"/>
          </w:tcPr>
          <w:p>
            <w:pPr>
              <w:shd w:val="clear" w:color="auto" w:fill="EBF1DE" w:themeFill="accent3" w:themeFillTint="32"/>
              <w:rPr>
                <w:lang w:eastAsia="ja-JP"/>
              </w:rPr>
            </w:pPr>
          </w:p>
        </w:tc>
        <w:tc>
          <w:tcPr>
            <w:tcW w:w="1009"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4"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900" w:type="dxa"/>
            <w:shd w:val="clear" w:color="auto" w:fill="EBF1DE" w:themeFill="accent3" w:themeFillTint="32"/>
            <w:vAlign w:val="center"/>
          </w:tcPr>
          <w:p>
            <w:pPr>
              <w:shd w:val="clear" w:color="auto" w:fill="EBF1DE" w:themeFill="accent3" w:themeFillTint="32"/>
              <w:rPr>
                <w:lang w:eastAsia="ja-JP"/>
              </w:rPr>
            </w:pPr>
          </w:p>
        </w:tc>
        <w:tc>
          <w:tcPr>
            <w:tcW w:w="1005"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592"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64" w:type="dxa"/>
            <w:shd w:val="clear" w:color="auto" w:fill="EBF1DE" w:themeFill="accent3" w:themeFillTint="32"/>
            <w:vAlign w:val="center"/>
          </w:tcPr>
          <w:p>
            <w:pPr>
              <w:shd w:val="clear" w:color="auto" w:fill="EBF1DE" w:themeFill="accent3" w:themeFillTint="32"/>
              <w:rPr>
                <w:lang w:eastAsia="ja-JP"/>
              </w:rPr>
            </w:pPr>
          </w:p>
        </w:tc>
        <w:tc>
          <w:tcPr>
            <w:tcW w:w="654" w:type="dxa"/>
            <w:shd w:val="clear" w:color="auto" w:fill="EBF1DE" w:themeFill="accent3" w:themeFillTint="32"/>
            <w:vAlign w:val="center"/>
          </w:tcPr>
          <w:p>
            <w:pPr>
              <w:shd w:val="clear" w:color="auto" w:fill="EBF1DE" w:themeFill="accent3" w:themeFillTint="32"/>
              <w:rPr>
                <w:lang w:eastAsia="ja-JP"/>
              </w:rPr>
            </w:pPr>
          </w:p>
        </w:tc>
        <w:tc>
          <w:tcPr>
            <w:tcW w:w="1009"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81A310"/>
    <w:multiLevelType w:val="singleLevel"/>
    <w:tmpl w:val="D781A310"/>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923783"/>
    <w:rsid w:val="17E15046"/>
    <w:rsid w:val="427327D2"/>
    <w:rsid w:val="6C6D571C"/>
    <w:rsid w:val="6E094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style>
  <w:style w:type="paragraph" w:styleId="4">
    <w:name w:val="List Bullet 5"/>
    <w:basedOn w:val="1"/>
    <w:semiHidden/>
    <w:unhideWhenUsed/>
    <w:qFormat/>
    <w:uiPriority w:val="99"/>
    <w:pPr>
      <w:numPr>
        <w:ilvl w:val="0"/>
        <w:numId w:val="1"/>
      </w:numPr>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2023-02-26T09:27:21Z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