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衡水市明诺采暖设备有限公司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衡水市冀州区春风南大街396号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衡水市冀州区春风南大街396号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田永菊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15233288289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黄芳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1289-2022-QO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音频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</w:t>
            </w:r>
            <w:r>
              <w:rPr>
                <w:color w:val="auto"/>
                <w:sz w:val="22"/>
              </w:rPr>
              <w:t>视频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■网络■智能手机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台式电脑■笔记本电脑□录像机□照相机□可穿戴设备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Q：暖气片的生产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O：暖气片的生产所涉及场所的相关职业健康安全管理活动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Q：17.07.01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O：17.07.01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 上午至2022年1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 下午(共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O:17.07.01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Q:17.07.01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O:17.07.01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66675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二阶段远程审核日程安排表</w:t>
      </w:r>
    </w:p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12"/>
        <w:gridCol w:w="1022"/>
        <w:gridCol w:w="5844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2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  <w:p>
            <w:pPr>
              <w:pStyle w:val="2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pStyle w:val="2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29</w:t>
            </w:r>
          </w:p>
          <w:p>
            <w:pPr>
              <w:pStyle w:val="2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pStyle w:val="2"/>
              <w:jc w:val="lef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（午休12：00-13：00）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866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管理层（含管代、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代表）</w:t>
            </w:r>
          </w:p>
        </w:tc>
        <w:tc>
          <w:tcPr>
            <w:tcW w:w="5844" w:type="dxa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QMS：4.1组织及其环境;4.2相关方需求与期望;4.3确定体系范围;4.4体系及其过程;5.1领导作用与承诺;5.2方针;5.3组织的角色、职责和权限；6.1应对风险和机遇的措施；6.2目标及其实现的策划；6.3变更的策划；7.1.1资源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总则；7.4沟通；7.5.1文件化信息总则9.1.1监测、分析和评价总则；9.2内部审核；9.3管理评审；10.1改进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OHSMS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沟通；9.1监视、测量、分析和评价；9.2内部审核；9.3管理评审；10.1改进 总则；10.3持续改进；</w:t>
            </w:r>
          </w:p>
          <w:p>
            <w:pPr>
              <w:pStyle w:val="15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15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1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2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844" w:type="dxa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QMS：5.3组织的角色、职责和权限；6.2目标及其实现的策划；7.1.2人员；7.1.6组织知识；7.2能力；7.3意识；7.4沟通；7.5文件化信息；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9.1.3分析和评价；</w:t>
            </w:r>
          </w:p>
        </w:tc>
        <w:tc>
          <w:tcPr>
            <w:tcW w:w="11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明利红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92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84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OHSMS：5.3组织的角色、职责和权限；6.1.2危险源辨识和职业安全风险评价；6.1.3法律法规要求和其他要求；6.2目标及其实现的策划；7.2能力；7.3意识；7.4沟通；7.5文件化信息；8.1运行策划和控制；8.2应急准备和响应；9.1监视、测量、分析和评价；9.1.2法律法规要求和其他要求的合规性评价；10.2不符合和纠正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OHSMS运行控制财务支出证据。</w:t>
            </w:r>
          </w:p>
        </w:tc>
        <w:tc>
          <w:tcPr>
            <w:tcW w:w="11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92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84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QMS：5.3组织的角色、职责和权限；6.2目标及其实现的策划；7.1.3基础设施；7.1.4运作环境；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7.1.5监视和测量资源；8.1运行策划和控制；8.3设计开发控制/不适用验证；</w:t>
            </w:r>
            <w:r>
              <w:rPr>
                <w:rFonts w:hint="eastAsia" w:ascii="宋体" w:hAnsi="宋体" w:cs="宋体"/>
                <w:sz w:val="21"/>
                <w:szCs w:val="21"/>
              </w:rPr>
              <w:t>8.5.1生产和服务提供的控制；8.5.2标识和可追溯性；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8.5.4防护；</w:t>
            </w:r>
            <w:r>
              <w:rPr>
                <w:rFonts w:hint="eastAsia" w:ascii="宋体" w:hAnsi="宋体" w:cs="宋体"/>
                <w:sz w:val="21"/>
                <w:szCs w:val="21"/>
              </w:rPr>
              <w:t>8.5.6更改控制；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8.6产品和服务放行；8.7不合格输出的控制；</w:t>
            </w:r>
            <w:r>
              <w:rPr>
                <w:rFonts w:hint="eastAsia" w:ascii="宋体" w:hAnsi="宋体" w:cs="宋体"/>
                <w:sz w:val="21"/>
                <w:szCs w:val="21"/>
              </w:rPr>
              <w:t>10.2不符合和纠正措施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15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明利红</w:t>
            </w:r>
            <w:bookmarkStart w:id="34" w:name="_GoBack"/>
            <w:bookmarkEnd w:id="3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92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844" w:type="dxa"/>
            <w:vAlign w:val="top"/>
          </w:tcPr>
          <w:p>
            <w:pPr>
              <w:pStyle w:val="15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OHSMS：5.3组织的角色、职责和权限；6.2目标及其实现的策划；6.1.2危险源辨识和职业安全风险评价；8.1运行策划和控制；8.2应急准备和响应；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1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92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22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5844" w:type="dxa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QMS：5.3组织的角色、职责和权限；6.2目标及其实现的策划；8.2产品和服务的要求；8.4外部提供的控制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；8.5.3顾客或外部供方的财产；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8.5.5交付后的活动；9.1.2顾客满意；</w:t>
            </w:r>
          </w:p>
          <w:p>
            <w:pPr>
              <w:pStyle w:val="15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92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5844" w:type="dxa"/>
            <w:vAlign w:val="top"/>
          </w:tcPr>
          <w:p>
            <w:pPr>
              <w:pStyle w:val="15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OHSMS：5.3组织的角色、职责和权限；6.2目标及其实现的策划；6.1.2危险源辨识和职业安全风险评价；8.1运行策划和控制；8.2应急准备和响应；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1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6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1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65871D1"/>
    <w:rsid w:val="387B3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2829</Words>
  <Characters>4822</Characters>
  <Lines>37</Lines>
  <Paragraphs>10</Paragraphs>
  <TotalTime>7</TotalTime>
  <ScaleCrop>false</ScaleCrop>
  <LinksUpToDate>false</LinksUpToDate>
  <CharactersWithSpaces>5100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2022-12-26T09:22:37Z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