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1341-2022-QEOEnMs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内蒙古鄂尔多斯市潮脑梁煤炭有限公司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Q:,E:,O:,EnMS:</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911506215973146265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jc w:val="center"/>
              <w:rPr>
                <w:rFonts w:hint="eastAsia"/>
                <w:sz w:val="22"/>
                <w:szCs w:val="22"/>
              </w:rPr>
            </w:pPr>
            <w:bookmarkStart w:id="5" w:name="认可标志"/>
            <w:r>
              <w:rPr>
                <w:rFonts w:hint="eastAsia"/>
                <w:sz w:val="22"/>
                <w:szCs w:val="22"/>
              </w:rPr>
              <w:t>Q:未认可,E:未认可,O:未认可,EnMS:未认可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lang w:val="en-US" w:eastAsia="zh-CN"/>
              </w:rPr>
              <w:t xml:space="preserve"> </w:t>
            </w:r>
            <w:r>
              <w:rPr>
                <w:rFonts w:hint="eastAsia"/>
                <w:sz w:val="22"/>
                <w:szCs w:val="22"/>
              </w:rPr>
              <w:t xml:space="preserve">RB/T </w:t>
            </w:r>
            <w:r>
              <w:rPr>
                <w:rFonts w:hint="eastAsia"/>
                <w:sz w:val="22"/>
                <w:szCs w:val="22"/>
                <w:lang w:val="en-US" w:eastAsia="zh-CN"/>
              </w:rPr>
              <w:t>105</w:t>
            </w:r>
            <w:r>
              <w:rPr>
                <w:rFonts w:hint="eastAsia"/>
                <w:sz w:val="22"/>
                <w:szCs w:val="22"/>
              </w:rPr>
              <w:t>-</w:t>
            </w:r>
            <w:r>
              <w:rPr>
                <w:rFonts w:hint="eastAsia"/>
                <w:sz w:val="22"/>
                <w:szCs w:val="22"/>
                <w:lang w:val="en-US" w:eastAsia="zh-CN"/>
              </w:rPr>
              <w:t>2013</w:t>
            </w:r>
            <w:r>
              <w:rPr>
                <w:rFonts w:hint="eastAsia"/>
                <w:sz w:val="22"/>
                <w:szCs w:val="22"/>
              </w:rPr>
              <w:t xml:space="preserve">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Q:450,E:450,O:450,EnMS:133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内蒙古鄂尔多斯市潮脑梁煤炭有限公司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Q：硬煤（烟煤）的开采</w:t>
            </w:r>
          </w:p>
          <w:p>
            <w:pPr>
              <w:snapToGrid w:val="0"/>
              <w:spacing w:line="0" w:lineRule="atLeast"/>
              <w:jc w:val="left"/>
              <w:rPr>
                <w:sz w:val="22"/>
                <w:szCs w:val="22"/>
              </w:rPr>
            </w:pPr>
            <w:r>
              <w:rPr>
                <w:sz w:val="22"/>
                <w:szCs w:val="22"/>
              </w:rPr>
              <w:t>E：硬煤（烟煤）的开采所涉及场所的相关环境管理活动</w:t>
            </w:r>
          </w:p>
          <w:p>
            <w:pPr>
              <w:snapToGrid w:val="0"/>
              <w:spacing w:line="0" w:lineRule="atLeast"/>
              <w:jc w:val="left"/>
              <w:rPr>
                <w:sz w:val="22"/>
                <w:szCs w:val="22"/>
              </w:rPr>
            </w:pPr>
            <w:r>
              <w:rPr>
                <w:sz w:val="22"/>
                <w:szCs w:val="22"/>
              </w:rPr>
              <w:t>O：硬煤（烟煤）的开采所涉及场所的相关职业健康安全管理活动</w:t>
            </w:r>
          </w:p>
          <w:p>
            <w:pPr>
              <w:snapToGrid w:val="0"/>
              <w:spacing w:line="0" w:lineRule="atLeast"/>
              <w:jc w:val="left"/>
              <w:rPr>
                <w:sz w:val="22"/>
                <w:szCs w:val="22"/>
              </w:rPr>
            </w:pPr>
            <w:r>
              <w:rPr>
                <w:sz w:val="22"/>
                <w:szCs w:val="22"/>
              </w:rPr>
              <w:t>EnMS：硬煤（烟煤）的开采所涉及的能源管理活动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内蒙古鄂尔多斯市达拉特旗白泥井镇敖包梁村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内蒙古鄂尔多斯市达拉特旗白泥井镇敖包梁村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2"/>
                <w:szCs w:val="2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vAlign w:val="top"/>
          </w:tcPr>
          <w:p>
            <w:pPr>
              <w:snapToGrid w:val="0"/>
              <w:spacing w:line="0" w:lineRule="atLeast"/>
              <w:jc w:val="left"/>
              <w:rPr>
                <w:rFonts w:ascii="Times New Roman" w:hAnsi="Times New Roman" w:eastAsia="宋体" w:cs="Times New Roman"/>
                <w:kern w:val="2"/>
                <w:sz w:val="22"/>
                <w:szCs w:val="22"/>
                <w:lang w:val="en-US" w:eastAsia="zh-CN" w:bidi="ar-SA"/>
              </w:rPr>
            </w:pPr>
            <w:r>
              <w:rPr>
                <w:rFonts w:hint="eastAsia"/>
                <w:sz w:val="22"/>
                <w:szCs w:val="22"/>
              </w:rPr>
              <w:t>EnMS</w:t>
            </w:r>
          </w:p>
        </w:tc>
        <w:tc>
          <w:tcPr>
            <w:tcW w:w="3676" w:type="dxa"/>
            <w:gridSpan w:val="3"/>
            <w:vAlign w:val="top"/>
          </w:tcPr>
          <w:p>
            <w:pPr>
              <w:snapToGrid w:val="0"/>
              <w:spacing w:line="0" w:lineRule="atLeast"/>
              <w:jc w:val="left"/>
              <w:rPr>
                <w:rFonts w:ascii="Times New Roman" w:hAnsi="Times New Roman" w:eastAsia="宋体" w:cs="Times New Roman"/>
                <w:kern w:val="2"/>
                <w:sz w:val="22"/>
                <w:szCs w:val="22"/>
                <w:lang w:val="en-US" w:eastAsia="zh-CN" w:bidi="ar-SA"/>
              </w:rPr>
            </w:pPr>
            <w:r>
              <w:rPr>
                <w:rFonts w:hint="eastAsia"/>
                <w:sz w:val="22"/>
                <w:szCs w:val="2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sz w:val="21"/>
                <w:szCs w:val="21"/>
                <w:lang w:eastAsia="zh-CN"/>
              </w:rPr>
              <w:drawing>
                <wp:inline distT="0" distB="0" distL="114300" distR="114300">
                  <wp:extent cx="982345" cy="306070"/>
                  <wp:effectExtent l="0" t="0" r="0" b="11430"/>
                  <wp:docPr id="23" name="图片 2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李丽英电子签"/>
                          <pic:cNvPicPr>
                            <a:picLocks noChangeAspect="1"/>
                          </pic:cNvPicPr>
                        </pic:nvPicPr>
                        <pic:blipFill>
                          <a:blip r:embed="rId5"/>
                          <a:stretch>
                            <a:fillRect/>
                          </a:stretch>
                        </pic:blipFill>
                        <pic:spPr>
                          <a:xfrm>
                            <a:off x="0" y="0"/>
                            <a:ext cx="982345" cy="306070"/>
                          </a:xfrm>
                          <a:prstGeom prst="rect">
                            <a:avLst/>
                          </a:prstGeom>
                          <a:noFill/>
                          <a:ln>
                            <a:noFill/>
                          </a:ln>
                        </pic:spPr>
                      </pic:pic>
                    </a:graphicData>
                  </a:graphic>
                </wp:inline>
              </w:drawing>
            </w:r>
          </w:p>
        </w:tc>
      </w:tr>
    </w:tbl>
    <w:p>
      <w:pPr>
        <w:snapToGrid w:val="0"/>
        <w:spacing w:line="0" w:lineRule="atLeast"/>
        <w:jc w:val="center"/>
        <w:rPr>
          <w:szCs w:val="24"/>
        </w:rPr>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内蒙古鄂尔多斯市潮脑梁煤炭有限公司</w:t>
      </w:r>
      <w:bookmarkEnd w:id="21"/>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2" w:name="证书编号Add1"/>
      <w:r>
        <w:rPr>
          <w:b/>
          <w:color w:val="000000" w:themeColor="text1"/>
          <w:sz w:val="22"/>
          <w:szCs w:val="22"/>
        </w:rPr>
        <w:t>Q:,E:,O:,EnMS:</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内蒙古鄂尔多斯市达拉特旗白泥井镇敖包梁村</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rFonts w:hint="default" w:eastAsia="宋体"/>
          <w:b/>
          <w:color w:val="000000" w:themeColor="text1"/>
          <w:sz w:val="22"/>
          <w:szCs w:val="22"/>
          <w:lang w:val="en-US" w:eastAsia="zh-CN"/>
        </w:rPr>
      </w:pPr>
      <w:r>
        <w:rPr>
          <w:rFonts w:hint="eastAsia"/>
          <w:b/>
          <w:color w:val="000000" w:themeColor="text1"/>
          <w:sz w:val="22"/>
          <w:szCs w:val="22"/>
        </w:rPr>
        <w:t>&amp;RB/T</w:t>
      </w:r>
      <w:r>
        <w:rPr>
          <w:rFonts w:hint="eastAsia"/>
          <w:b/>
          <w:color w:val="000000" w:themeColor="text1"/>
          <w:sz w:val="22"/>
          <w:szCs w:val="22"/>
          <w:lang w:val="en-US" w:eastAsia="zh-CN"/>
        </w:rPr>
        <w:t>105-2013 能源管理体系 煤炭采选业认证要求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3691"/>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3691"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3879"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01</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12</w:t>
            </w:r>
            <w:r>
              <w:rPr>
                <w:rFonts w:hint="eastAsia"/>
                <w:sz w:val="20"/>
                <w:szCs w:val="22"/>
                <w:u w:val="single"/>
              </w:rPr>
              <w:t>~</w:t>
            </w:r>
            <w:r>
              <w:rPr>
                <w:rFonts w:hint="eastAsia"/>
                <w:sz w:val="20"/>
                <w:szCs w:val="22"/>
                <w:u w:val="single"/>
                <w:lang w:val="en-US" w:eastAsia="zh-CN"/>
              </w:rPr>
              <w:t>16</w:t>
            </w:r>
            <w:r>
              <w:rPr>
                <w:rFonts w:hint="eastAsia"/>
                <w:sz w:val="20"/>
                <w:szCs w:val="22"/>
              </w:rPr>
              <w:t>日</w:t>
            </w:r>
          </w:p>
        </w:tc>
        <w:tc>
          <w:tcPr>
            <w:tcW w:w="3691"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3879" w:type="dxa"/>
            <w:vMerge w:val="restart"/>
          </w:tcPr>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default" w:ascii="Times New Roman" w:hAnsi="Times New Roman" w:eastAsia="宋体" w:cs="Times New Roman"/>
                <w:sz w:val="20"/>
                <w:szCs w:val="22"/>
                <w:lang w:val="en-US" w:eastAsia="zh-CN"/>
              </w:rPr>
            </w:pPr>
            <w:r>
              <w:rPr>
                <w:rFonts w:hint="eastAsia" w:ascii="Times New Roman" w:hAnsi="Times New Roman" w:eastAsia="宋体" w:cs="Times New Roman"/>
                <w:b/>
                <w:bCs/>
                <w:kern w:val="2"/>
                <w:sz w:val="20"/>
                <w:szCs w:val="22"/>
                <w:lang w:val="en-US" w:eastAsia="zh-CN" w:bidi="ar-SA"/>
              </w:rPr>
              <w:t>边界：</w:t>
            </w:r>
            <w:r>
              <w:rPr>
                <w:rFonts w:hint="eastAsia" w:ascii="Times New Roman" w:hAnsi="Times New Roman" w:eastAsia="宋体" w:cs="Times New Roman"/>
                <w:sz w:val="20"/>
                <w:szCs w:val="22"/>
                <w:lang w:val="en-US" w:eastAsia="zh-CN"/>
              </w:rPr>
              <w:t>位于内蒙古鄂尔多斯市达拉特旗白泥井镇敖包梁村内蒙古鄂尔多斯市潮脑梁煤炭有限公司硬煤（烟煤）的开采所涉及的能源采购、加工、转换、使用过程的相关管理活动</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sz w:val="20"/>
                <w:szCs w:val="22"/>
                <w:lang w:val="en-US" w:eastAsia="zh-CN"/>
              </w:rPr>
            </w:pPr>
            <w:r>
              <w:rPr>
                <w:rFonts w:hint="eastAsia" w:cs="Times New Roman"/>
                <w:b/>
                <w:bCs/>
                <w:kern w:val="2"/>
                <w:sz w:val="20"/>
                <w:szCs w:val="22"/>
                <w:lang w:val="en-US" w:eastAsia="zh-CN" w:bidi="ar-SA"/>
              </w:rPr>
              <w:t>用能</w:t>
            </w:r>
            <w:r>
              <w:rPr>
                <w:rFonts w:hint="eastAsia" w:ascii="Times New Roman" w:hAnsi="Times New Roman" w:eastAsia="宋体" w:cs="Times New Roman"/>
                <w:b/>
                <w:bCs/>
                <w:kern w:val="2"/>
                <w:sz w:val="20"/>
                <w:szCs w:val="22"/>
                <w:lang w:val="en-US" w:eastAsia="zh-CN" w:bidi="ar-SA"/>
              </w:rPr>
              <w:t>系统</w:t>
            </w:r>
            <w:r>
              <w:rPr>
                <w:rFonts w:hint="eastAsia"/>
                <w:sz w:val="20"/>
                <w:szCs w:val="22"/>
                <w:lang w:val="en-US" w:eastAsia="zh-CN"/>
              </w:rPr>
              <w:t>：</w:t>
            </w:r>
          </w:p>
          <w:p>
            <w:pPr>
              <w:pStyle w:val="2"/>
              <w:spacing w:line="320" w:lineRule="exact"/>
              <w:ind w:firstLine="0"/>
              <w:rPr>
                <w:rFonts w:hint="default" w:ascii="Times New Roman" w:hAnsi="Times New Roman" w:eastAsia="宋体" w:cs="Times New Roman"/>
                <w:sz w:val="20"/>
                <w:szCs w:val="22"/>
                <w:highlight w:val="none"/>
                <w:lang w:val="en-US" w:eastAsia="zh-CN"/>
              </w:rPr>
            </w:pPr>
            <w:r>
              <w:rPr>
                <w:rFonts w:hint="eastAsia" w:cs="Times New Roman"/>
                <w:sz w:val="20"/>
                <w:szCs w:val="22"/>
                <w:highlight w:val="none"/>
                <w:lang w:val="en-US" w:eastAsia="zh-CN"/>
              </w:rPr>
              <w:t>生产部（采煤区、锅炉、各种车辆、变配电系统、环保设施、仓库等的用能设备）</w:t>
            </w:r>
          </w:p>
          <w:p>
            <w:pPr>
              <w:pStyle w:val="2"/>
              <w:spacing w:line="320" w:lineRule="exact"/>
              <w:ind w:firstLine="0"/>
              <w:rPr>
                <w:rFonts w:ascii="宋体" w:hAnsi="宋体"/>
                <w:b/>
                <w:color w:val="000000" w:themeColor="text1"/>
                <w:sz w:val="24"/>
                <w:szCs w:val="24"/>
              </w:rPr>
            </w:pPr>
            <w:r>
              <w:rPr>
                <w:rFonts w:hint="eastAsia" w:ascii="Times New Roman" w:hAnsi="Times New Roman" w:eastAsia="宋体" w:cs="Times New Roman"/>
                <w:b/>
                <w:bCs/>
                <w:kern w:val="2"/>
                <w:sz w:val="20"/>
                <w:szCs w:val="22"/>
                <w:lang w:val="en-US" w:eastAsia="zh-CN" w:bidi="ar-SA"/>
              </w:rPr>
              <w:t>相关部门</w:t>
            </w:r>
            <w:r>
              <w:rPr>
                <w:rFonts w:hint="eastAsia" w:ascii="Times New Roman" w:hAnsi="Times New Roman" w:eastAsia="宋体" w:cs="Times New Roman"/>
                <w:kern w:val="2"/>
                <w:sz w:val="20"/>
                <w:szCs w:val="22"/>
                <w:lang w:val="en-US" w:eastAsia="zh-CN" w:bidi="ar-SA"/>
              </w:rPr>
              <w:t>：</w:t>
            </w:r>
            <w:r>
              <w:rPr>
                <w:rFonts w:hint="eastAsia" w:cs="Times New Roman"/>
                <w:kern w:val="2"/>
                <w:sz w:val="20"/>
                <w:szCs w:val="22"/>
                <w:lang w:val="en-US" w:eastAsia="zh-CN" w:bidi="ar-SA"/>
              </w:rPr>
              <w:t>综合部</w:t>
            </w:r>
            <w:r>
              <w:rPr>
                <w:rFonts w:hint="eastAsia" w:ascii="Times New Roman" w:hAnsi="Times New Roman" w:eastAsia="宋体" w:cs="Times New Roman"/>
                <w:kern w:val="2"/>
                <w:sz w:val="20"/>
                <w:szCs w:val="22"/>
                <w:lang w:val="en-US" w:eastAsia="zh-CN" w:bidi="ar-SA"/>
              </w:rPr>
              <w:t>、</w:t>
            </w:r>
            <w:r>
              <w:rPr>
                <w:rFonts w:hint="eastAsia" w:cs="Times New Roman"/>
                <w:kern w:val="2"/>
                <w:sz w:val="20"/>
                <w:szCs w:val="22"/>
                <w:lang w:val="en-US" w:eastAsia="zh-CN" w:bidi="ar-SA"/>
              </w:rPr>
              <w:t>机电部</w:t>
            </w:r>
            <w:r>
              <w:rPr>
                <w:rFonts w:hint="eastAsia" w:ascii="Times New Roman" w:hAnsi="Times New Roman" w:eastAsia="宋体" w:cs="Times New Roman"/>
                <w:kern w:val="2"/>
                <w:sz w:val="20"/>
                <w:szCs w:val="22"/>
                <w:lang w:val="en-US" w:eastAsia="zh-CN" w:bidi="ar-SA"/>
              </w:rPr>
              <w:t>、财务部</w:t>
            </w:r>
            <w:r>
              <w:rPr>
                <w:rFonts w:hint="eastAsia" w:cs="Times New Roman"/>
                <w:kern w:val="2"/>
                <w:sz w:val="20"/>
                <w:szCs w:val="22"/>
                <w:lang w:val="en-US" w:eastAsia="zh-CN" w:bidi="ar-SA"/>
              </w:rPr>
              <w:t>、销售部、工程技术部、安全部</w:t>
            </w:r>
            <w:r>
              <w:rPr>
                <w:rFonts w:hint="eastAsia" w:ascii="Times New Roman" w:hAnsi="Times New Roman" w:eastAsia="宋体" w:cs="Times New Roman"/>
                <w:kern w:val="2"/>
                <w:sz w:val="20"/>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691" w:type="dxa"/>
          </w:tcPr>
          <w:p>
            <w:pPr>
              <w:pStyle w:val="2"/>
              <w:spacing w:line="320" w:lineRule="exact"/>
              <w:ind w:firstLine="0"/>
              <w:rPr>
                <w:b/>
                <w:bCs/>
                <w:sz w:val="20"/>
              </w:rPr>
            </w:pPr>
            <w:r>
              <w:rPr>
                <w:rFonts w:hint="eastAsia"/>
                <w:b/>
                <w:bCs/>
                <w:sz w:val="20"/>
              </w:rPr>
              <w:t>产量：采煤量6093824.3吨</w:t>
            </w:r>
          </w:p>
          <w:p>
            <w:pPr>
              <w:pStyle w:val="2"/>
              <w:spacing w:line="320" w:lineRule="exact"/>
              <w:ind w:firstLine="0"/>
              <w:rPr>
                <w:rFonts w:ascii="宋体" w:hAnsi="宋体"/>
                <w:b/>
                <w:color w:val="000000" w:themeColor="text1"/>
                <w:szCs w:val="24"/>
              </w:rPr>
            </w:pPr>
            <w:r>
              <w:rPr>
                <w:rFonts w:hint="eastAsia"/>
                <w:b/>
                <w:bCs/>
                <w:sz w:val="20"/>
              </w:rPr>
              <w:t>产值：434369</w:t>
            </w:r>
            <w:r>
              <w:rPr>
                <w:rFonts w:hint="eastAsia"/>
                <w:b/>
                <w:bCs/>
                <w:sz w:val="20"/>
                <w:lang w:val="en-US" w:eastAsia="zh-CN"/>
              </w:rPr>
              <w:t>.</w:t>
            </w:r>
            <w:r>
              <w:rPr>
                <w:rFonts w:hint="eastAsia"/>
                <w:b/>
                <w:bCs/>
                <w:sz w:val="20"/>
              </w:rPr>
              <w:t>3150万元</w:t>
            </w: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036" w:type="dxa"/>
            <w:vMerge w:val="continue"/>
          </w:tcPr>
          <w:p>
            <w:pPr>
              <w:pStyle w:val="2"/>
              <w:spacing w:line="400" w:lineRule="exact"/>
              <w:ind w:firstLine="0"/>
              <w:rPr>
                <w:sz w:val="20"/>
                <w:szCs w:val="22"/>
              </w:rPr>
            </w:pPr>
          </w:p>
        </w:tc>
        <w:tc>
          <w:tcPr>
            <w:tcW w:w="3691" w:type="dxa"/>
          </w:tcPr>
          <w:p>
            <w:pPr>
              <w:pStyle w:val="2"/>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ascii="Times New Roman" w:hAnsi="Times New Roman" w:eastAsia="宋体" w:cs="Times New Roman"/>
                <w:b/>
                <w:bCs/>
                <w:sz w:val="20"/>
                <w:szCs w:val="22"/>
                <w:lang w:val="en-US" w:eastAsia="zh-CN"/>
              </w:rPr>
              <w:t>25083.29 tce</w:t>
            </w: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36" w:type="dxa"/>
            <w:vMerge w:val="continue"/>
          </w:tcPr>
          <w:p>
            <w:pPr>
              <w:pStyle w:val="2"/>
              <w:spacing w:line="400" w:lineRule="exact"/>
              <w:ind w:firstLine="0"/>
              <w:rPr>
                <w:sz w:val="20"/>
                <w:szCs w:val="22"/>
              </w:rPr>
            </w:pPr>
          </w:p>
        </w:tc>
        <w:tc>
          <w:tcPr>
            <w:tcW w:w="3691" w:type="dxa"/>
          </w:tcPr>
          <w:p>
            <w:pPr>
              <w:rPr>
                <w:rFonts w:hint="default" w:eastAsia="宋体"/>
                <w:b/>
                <w:bCs/>
                <w:sz w:val="20"/>
                <w:szCs w:val="22"/>
                <w:lang w:val="en-US" w:eastAsia="zh-CN"/>
              </w:rPr>
            </w:pPr>
            <w:r>
              <w:rPr>
                <w:rFonts w:hint="eastAsia"/>
                <w:b/>
                <w:bCs/>
                <w:sz w:val="20"/>
                <w:szCs w:val="22"/>
              </w:rPr>
              <w:t>单位</w:t>
            </w:r>
            <w:r>
              <w:rPr>
                <w:rFonts w:hint="eastAsia"/>
                <w:b/>
                <w:bCs/>
                <w:sz w:val="20"/>
                <w:szCs w:val="22"/>
                <w:lang w:val="en-US" w:eastAsia="zh-CN"/>
              </w:rPr>
              <w:t>产品</w:t>
            </w:r>
            <w:r>
              <w:rPr>
                <w:rFonts w:hint="eastAsia"/>
                <w:b/>
                <w:bCs/>
                <w:sz w:val="20"/>
                <w:szCs w:val="22"/>
              </w:rPr>
              <w:t>能耗：</w:t>
            </w:r>
            <w:r>
              <w:rPr>
                <w:rFonts w:hint="eastAsia"/>
                <w:b/>
                <w:bCs/>
                <w:sz w:val="20"/>
                <w:szCs w:val="22"/>
                <w:lang w:val="en-US" w:eastAsia="zh-CN"/>
              </w:rPr>
              <w:t>3.62kgce/t</w:t>
            </w:r>
          </w:p>
          <w:p>
            <w:pPr>
              <w:rPr>
                <w:rFonts w:hint="default" w:ascii="宋体" w:hAnsi="宋体" w:eastAsia="宋体"/>
                <w:b/>
                <w:color w:val="000000" w:themeColor="text1"/>
                <w:szCs w:val="24"/>
                <w:lang w:val="en-US" w:eastAsia="zh-CN"/>
              </w:rPr>
            </w:pPr>
            <w:r>
              <w:rPr>
                <w:rFonts w:hint="eastAsia" w:ascii="Times New Roman" w:hAnsi="Times New Roman" w:eastAsia="宋体" w:cs="Times New Roman"/>
                <w:b/>
                <w:bCs/>
                <w:sz w:val="20"/>
                <w:szCs w:val="22"/>
                <w:lang w:val="en-US" w:eastAsia="zh-CN"/>
              </w:rPr>
              <w:t>单位产值能耗：59.40kgce/万元</w:t>
            </w: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3691" w:type="dxa"/>
          </w:tcPr>
          <w:p>
            <w:pPr>
              <w:rPr>
                <w:rFonts w:hint="eastAsia"/>
                <w:b/>
                <w:bCs/>
                <w:sz w:val="20"/>
                <w:szCs w:val="22"/>
              </w:rPr>
            </w:pPr>
            <w:r>
              <w:rPr>
                <w:rFonts w:hint="eastAsia"/>
                <w:b/>
                <w:bCs/>
                <w:sz w:val="20"/>
                <w:szCs w:val="22"/>
              </w:rPr>
              <w:t>节能量（吨标准煤）：</w:t>
            </w:r>
          </w:p>
          <w:p>
            <w:pPr>
              <w:rPr>
                <w:rFonts w:hint="default" w:eastAsia="宋体"/>
                <w:sz w:val="20"/>
                <w:szCs w:val="22"/>
                <w:lang w:val="en-US" w:eastAsia="zh-CN"/>
              </w:rPr>
            </w:pPr>
            <w:bookmarkStart w:id="24" w:name="_GoBack"/>
            <w:bookmarkEnd w:id="24"/>
            <w:r>
              <w:rPr>
                <w:rFonts w:hint="eastAsia"/>
                <w:b/>
                <w:bCs/>
                <w:sz w:val="20"/>
                <w:szCs w:val="22"/>
                <w:lang w:val="en-US" w:eastAsia="zh-CN"/>
              </w:rPr>
              <w:t>政府未下达指标</w:t>
            </w:r>
          </w:p>
          <w:p>
            <w:pPr>
              <w:rPr>
                <w:sz w:val="20"/>
                <w:szCs w:val="22"/>
              </w:rPr>
            </w:pP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3691"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rPr>
              <w:t>日</w:t>
            </w:r>
          </w:p>
        </w:tc>
        <w:tc>
          <w:tcPr>
            <w:tcW w:w="3879"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691"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3691"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3691"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3691" w:type="dxa"/>
          </w:tcPr>
          <w:p>
            <w:pPr>
              <w:rPr>
                <w:sz w:val="20"/>
                <w:szCs w:val="22"/>
              </w:rPr>
            </w:pPr>
            <w:r>
              <w:rPr>
                <w:rFonts w:hint="eastAsia"/>
                <w:b/>
                <w:bCs/>
                <w:sz w:val="20"/>
                <w:szCs w:val="22"/>
              </w:rPr>
              <w:t>节能量（吨标准煤）：</w:t>
            </w:r>
          </w:p>
          <w:p>
            <w:pPr>
              <w:rPr>
                <w:sz w:val="20"/>
                <w:szCs w:val="22"/>
              </w:rPr>
            </w:pP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3691"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rPr>
              <w:t>日</w:t>
            </w:r>
          </w:p>
        </w:tc>
        <w:tc>
          <w:tcPr>
            <w:tcW w:w="3879"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691"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3691"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3691"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3879"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3691" w:type="dxa"/>
          </w:tcPr>
          <w:p>
            <w:pPr>
              <w:rPr>
                <w:sz w:val="20"/>
                <w:szCs w:val="22"/>
              </w:rPr>
            </w:pPr>
            <w:r>
              <w:rPr>
                <w:rFonts w:hint="eastAsia"/>
                <w:b/>
                <w:bCs/>
                <w:sz w:val="20"/>
                <w:szCs w:val="22"/>
              </w:rPr>
              <w:t>节能量（吨标准煤）：</w:t>
            </w:r>
          </w:p>
          <w:p>
            <w:pPr>
              <w:rPr>
                <w:sz w:val="20"/>
                <w:szCs w:val="22"/>
              </w:rPr>
            </w:pPr>
          </w:p>
        </w:tc>
        <w:tc>
          <w:tcPr>
            <w:tcW w:w="3879"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000000"/>
    <w:rsid w:val="1F566315"/>
    <w:rsid w:val="3E0E7280"/>
    <w:rsid w:val="6F9F7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2</TotalTime>
  <ScaleCrop>false</ScaleCrop>
  <LinksUpToDate>false</LinksUpToDate>
  <CharactersWithSpaces>2548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2023-01-14T17:17:17Z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