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84"/>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84" w:type="dxa"/>
            <w:vAlign w:val="center"/>
          </w:tcPr>
          <w:p>
            <w:pPr>
              <w:rPr>
                <w:rFonts w:ascii="宋体" w:hAnsi="宋体" w:cs="宋体"/>
                <w:sz w:val="24"/>
                <w:szCs w:val="24"/>
              </w:rPr>
            </w:pPr>
            <w:r>
              <w:rPr>
                <w:rFonts w:hint="eastAsia" w:ascii="宋体" w:hAnsi="宋体" w:cs="宋体"/>
                <w:sz w:val="24"/>
                <w:szCs w:val="24"/>
              </w:rPr>
              <w:t xml:space="preserve">受审核部门：高管层（含员工代表）   </w:t>
            </w:r>
            <w:r>
              <w:rPr>
                <w:rFonts w:ascii="宋体" w:hAnsi="宋体" w:cs="宋体"/>
                <w:sz w:val="24"/>
                <w:szCs w:val="24"/>
              </w:rPr>
              <w:t xml:space="preserve">     </w:t>
            </w:r>
            <w:r>
              <w:rPr>
                <w:rFonts w:hint="eastAsia" w:ascii="宋体" w:hAnsi="宋体" w:cs="宋体"/>
                <w:sz w:val="24"/>
                <w:szCs w:val="24"/>
              </w:rPr>
              <w:t>主管领导：</w:t>
            </w:r>
            <w:r>
              <w:rPr>
                <w:rFonts w:hint="eastAsia" w:ascii="宋体" w:hAnsi="宋体"/>
                <w:sz w:val="24"/>
                <w:szCs w:val="22"/>
              </w:rPr>
              <w:t>刘飞</w:t>
            </w:r>
            <w:r>
              <w:rPr>
                <w:rFonts w:hint="eastAsia" w:ascii="宋体" w:hAnsi="宋体" w:cs="宋体"/>
                <w:sz w:val="24"/>
                <w:szCs w:val="24"/>
              </w:rPr>
              <w:t xml:space="preserve">        陪同人员：柳雪</w:t>
            </w:r>
          </w:p>
        </w:tc>
        <w:tc>
          <w:tcPr>
            <w:tcW w:w="90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84" w:type="dxa"/>
            <w:vAlign w:val="center"/>
          </w:tcPr>
          <w:p>
            <w:pPr>
              <w:rPr>
                <w:rFonts w:ascii="宋体" w:hAnsi="宋体" w:cs="宋体"/>
                <w:sz w:val="24"/>
                <w:szCs w:val="24"/>
              </w:rPr>
            </w:pPr>
            <w:r>
              <w:rPr>
                <w:rFonts w:hint="eastAsia" w:ascii="宋体" w:hAnsi="宋体" w:cs="宋体"/>
                <w:sz w:val="24"/>
                <w:szCs w:val="24"/>
              </w:rPr>
              <w:t>审核员：周涛            审核时间：202</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12</w:t>
            </w:r>
          </w:p>
        </w:tc>
        <w:tc>
          <w:tcPr>
            <w:tcW w:w="90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84" w:type="dxa"/>
            <w:vAlign w:val="center"/>
          </w:tcPr>
          <w:p>
            <w:pPr>
              <w:snapToGrid w:val="0"/>
              <w:spacing w:line="260" w:lineRule="exact"/>
              <w:rPr>
                <w:rFonts w:ascii="宋体" w:hAnsi="宋体" w:cs="宋体"/>
                <w:sz w:val="24"/>
                <w:szCs w:val="24"/>
              </w:rPr>
            </w:pPr>
            <w:r>
              <w:rPr>
                <w:rFonts w:hint="eastAsia"/>
                <w:sz w:val="24"/>
                <w:szCs w:val="24"/>
              </w:rPr>
              <w:t>审核条款</w:t>
            </w:r>
            <w:r>
              <w:rPr>
                <w:rFonts w:hint="eastAsia" w:ascii="宋体" w:hAnsi="宋体" w:cs="宋体"/>
                <w:sz w:val="24"/>
                <w:szCs w:val="24"/>
              </w:rPr>
              <w:t xml:space="preserve">： </w:t>
            </w:r>
          </w:p>
          <w:p>
            <w:pPr>
              <w:snapToGrid w:val="0"/>
              <w:spacing w:line="280" w:lineRule="exact"/>
              <w:jc w:val="left"/>
              <w:rPr>
                <w:szCs w:val="21"/>
              </w:rPr>
            </w:pPr>
            <w:r>
              <w:rPr>
                <w:rFonts w:hint="eastAsia"/>
                <w:szCs w:val="21"/>
              </w:rPr>
              <w:t>QEOEn：4.1/4.2/4.3/4.4/5.1/5.2/5.3/6.1.1/7.1/7.4/9.3</w:t>
            </w:r>
          </w:p>
          <w:p>
            <w:pPr>
              <w:snapToGrid w:val="0"/>
              <w:spacing w:line="280" w:lineRule="exact"/>
              <w:jc w:val="left"/>
              <w:rPr>
                <w:szCs w:val="21"/>
              </w:rPr>
            </w:pPr>
            <w:r>
              <w:rPr>
                <w:rFonts w:hint="eastAsia"/>
                <w:szCs w:val="21"/>
              </w:rPr>
              <w:t>Q:6.3</w:t>
            </w:r>
          </w:p>
          <w:p>
            <w:pPr>
              <w:snapToGrid w:val="0"/>
              <w:spacing w:line="280" w:lineRule="exact"/>
              <w:jc w:val="left"/>
              <w:rPr>
                <w:szCs w:val="21"/>
              </w:rPr>
            </w:pPr>
            <w:r>
              <w:rPr>
                <w:rFonts w:hint="eastAsia"/>
                <w:szCs w:val="21"/>
              </w:rPr>
              <w:t>En:10.2</w:t>
            </w:r>
          </w:p>
          <w:p>
            <w:pPr>
              <w:snapToGrid w:val="0"/>
              <w:spacing w:line="280" w:lineRule="exact"/>
              <w:jc w:val="left"/>
              <w:rPr>
                <w:szCs w:val="21"/>
              </w:rPr>
            </w:pPr>
            <w:r>
              <w:rPr>
                <w:rFonts w:hint="eastAsia"/>
                <w:szCs w:val="21"/>
              </w:rPr>
              <w:t>QEO:10.1/10.3</w:t>
            </w:r>
          </w:p>
          <w:p>
            <w:pPr>
              <w:snapToGrid w:val="0"/>
              <w:spacing w:line="260" w:lineRule="exact"/>
              <w:rPr>
                <w:szCs w:val="21"/>
              </w:rPr>
            </w:pPr>
            <w:r>
              <w:rPr>
                <w:rFonts w:hint="eastAsia"/>
                <w:szCs w:val="21"/>
              </w:rPr>
              <w:t>O5.4</w:t>
            </w:r>
          </w:p>
          <w:p>
            <w:pPr>
              <w:snapToGrid w:val="0"/>
              <w:spacing w:line="260" w:lineRule="exact"/>
              <w:rPr>
                <w:sz w:val="24"/>
                <w:szCs w:val="24"/>
              </w:rPr>
            </w:pPr>
            <w:r>
              <w:rPr>
                <w:rFonts w:hint="eastAsia" w:ascii="宋体" w:hAnsi="宋体" w:cs="宋体"/>
                <w:sz w:val="24"/>
                <w:szCs w:val="24"/>
              </w:rPr>
              <w:t>资质验证/范围再确认/一阶段问题验证/投诉或事故/政府主管部门监督抽查情况。Q8.3不适合条款的确认</w:t>
            </w:r>
          </w:p>
        </w:tc>
        <w:tc>
          <w:tcPr>
            <w:tcW w:w="90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napToGrid w:val="0"/>
              <w:spacing w:line="260" w:lineRule="exact"/>
              <w:rPr>
                <w:rFonts w:ascii="宋体" w:hAnsi="宋体" w:cs="宋体"/>
                <w:sz w:val="24"/>
                <w:szCs w:val="24"/>
              </w:rPr>
            </w:pPr>
            <w:r>
              <w:rPr>
                <w:rFonts w:hint="eastAsia" w:ascii="宋体" w:hAnsi="宋体" w:cs="宋体"/>
                <w:sz w:val="24"/>
                <w:szCs w:val="24"/>
              </w:rPr>
              <w:t>理解组织及其环境</w:t>
            </w: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snapToGrid w:val="0"/>
              <w:spacing w:line="260" w:lineRule="exact"/>
              <w:rPr>
                <w:rFonts w:ascii="宋体" w:hAnsi="宋体" w:cs="宋体"/>
                <w:sz w:val="24"/>
                <w:szCs w:val="24"/>
              </w:rPr>
            </w:pPr>
            <w:r>
              <w:rPr>
                <w:rFonts w:hint="eastAsia" w:ascii="宋体" w:hAnsi="宋体" w:cs="宋体"/>
                <w:sz w:val="24"/>
                <w:szCs w:val="24"/>
              </w:rPr>
              <w:t>4.1</w:t>
            </w:r>
          </w:p>
          <w:p>
            <w:pPr>
              <w:snapToGrid w:val="0"/>
              <w:spacing w:line="260" w:lineRule="exact"/>
              <w:rPr>
                <w:rFonts w:ascii="宋体" w:hAnsi="宋体" w:cs="宋体"/>
                <w:sz w:val="24"/>
                <w:szCs w:val="24"/>
              </w:rPr>
            </w:pPr>
          </w:p>
        </w:tc>
        <w:tc>
          <w:tcPr>
            <w:tcW w:w="10684" w:type="dxa"/>
          </w:tcPr>
          <w:p>
            <w:pPr>
              <w:spacing w:line="0" w:lineRule="atLeast"/>
              <w:jc w:val="left"/>
              <w:rPr>
                <w:rFonts w:ascii="宋体" w:hAnsi="宋体" w:cs="宋体"/>
                <w:sz w:val="24"/>
                <w:szCs w:val="24"/>
              </w:rPr>
            </w:pPr>
            <w:r>
              <w:rPr>
                <w:rFonts w:hint="eastAsia" w:ascii="宋体" w:hAnsi="宋体" w:cs="宋体"/>
                <w:sz w:val="24"/>
                <w:szCs w:val="24"/>
              </w:rPr>
              <w:t>编制了《组织内外部环境因素清单》包括内外部环境因素、日常监视、评价等内容其中；</w:t>
            </w:r>
          </w:p>
          <w:p>
            <w:pPr>
              <w:spacing w:line="0" w:lineRule="atLeast"/>
              <w:jc w:val="left"/>
              <w:rPr>
                <w:rFonts w:ascii="宋体" w:hAnsi="宋体" w:cs="宋体"/>
                <w:sz w:val="24"/>
                <w:szCs w:val="24"/>
              </w:rPr>
            </w:pPr>
            <w:r>
              <w:rPr>
                <w:rFonts w:hint="eastAsia" w:ascii="宋体" w:hAnsi="宋体" w:cs="宋体"/>
                <w:sz w:val="24"/>
                <w:szCs w:val="24"/>
              </w:rPr>
              <w:t>内部环境因素 包括“组织的总体表现”、“财务状况”、“基础设施”、“过程运行的环境”、“组织的知识”、“人员能力”、“组织文化”、“工会谈判和协议”、“过程的复杂程度”、“生产或交付能力”、“质量体系的绩效相应的盈利状况”、“组织的结构、程序及组织架构”、“决策的规则”等；</w:t>
            </w:r>
          </w:p>
          <w:p>
            <w:pPr>
              <w:jc w:val="left"/>
              <w:rPr>
                <w:rFonts w:ascii="宋体" w:hAnsi="宋体" w:cs="宋体"/>
                <w:sz w:val="24"/>
                <w:szCs w:val="24"/>
              </w:rPr>
            </w:pPr>
            <w:r>
              <w:rPr>
                <w:rFonts w:hint="eastAsia" w:ascii="宋体" w:hAnsi="宋体" w:cs="宋体"/>
                <w:sz w:val="24"/>
                <w:szCs w:val="24"/>
              </w:rPr>
              <w:t>外部环境因素 包括“宏观经济学因素”、“货币兑换汇率预测”、“国家经济走向”、“通货膨胀”、“信贷可信性”、“本地失业率”、“安全感”、“教育水平”、“公共假日及工作时间”；“政治稳定性”、“公共投入”、“本地基础设施”、“国际贸易收支情况”；“新技术领域科技”、“材料和设备的更新及推出”、“专利的取得和检索”、“职业道德”；“组织市场占有率”、“相似或可替代产品及服务”、“市场领先者及其趋势”、“顾客增长趋势”、“市场稳定性”；“环境法规及行为准则的及时更新”等；</w:t>
            </w:r>
          </w:p>
          <w:p>
            <w:pPr>
              <w:jc w:val="left"/>
              <w:rPr>
                <w:rFonts w:ascii="宋体" w:hAnsi="宋体" w:cs="宋体"/>
                <w:sz w:val="24"/>
                <w:szCs w:val="24"/>
              </w:rPr>
            </w:pPr>
            <w:r>
              <w:rPr>
                <w:rFonts w:hint="eastAsia" w:ascii="宋体" w:hAnsi="宋体" w:cs="宋体"/>
                <w:sz w:val="24"/>
                <w:szCs w:val="24"/>
              </w:rPr>
              <w:t>——查上述内容组织宗旨战略方向基本相关、并对管理体系实现策划能力可以产生一定影响；</w:t>
            </w:r>
          </w:p>
          <w:p>
            <w:pPr>
              <w:jc w:val="left"/>
            </w:pPr>
            <w:r>
              <w:rPr>
                <w:rFonts w:hint="eastAsia" w:ascii="宋体" w:hAnsi="宋体" w:cs="宋体"/>
                <w:sz w:val="24"/>
                <w:szCs w:val="24"/>
              </w:rPr>
              <w:t>成文信息及时更新日期2021.6.20、有编审批、符合规定；</w:t>
            </w:r>
          </w:p>
        </w:tc>
        <w:tc>
          <w:tcPr>
            <w:tcW w:w="905" w:type="dxa"/>
          </w:tcPr>
          <w:p/>
          <w:p>
            <w:pPr>
              <w:pStyle w:val="2"/>
            </w:p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60" w:type="dxa"/>
          </w:tcPr>
          <w:p>
            <w:pPr>
              <w:jc w:val="left"/>
              <w:rPr>
                <w:rFonts w:ascii="宋体" w:hAnsi="宋体" w:cs="宋体"/>
                <w:sz w:val="24"/>
                <w:szCs w:val="24"/>
              </w:rPr>
            </w:pPr>
            <w:r>
              <w:rPr>
                <w:rFonts w:hint="eastAsia" w:ascii="宋体" w:hAnsi="宋体" w:cs="宋体"/>
                <w:sz w:val="24"/>
                <w:szCs w:val="24"/>
              </w:rPr>
              <w:t>理解相关方的需求和期望</w:t>
            </w: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jc w:val="left"/>
              <w:rPr>
                <w:rFonts w:ascii="宋体" w:hAnsi="宋体" w:cs="宋体"/>
                <w:sz w:val="24"/>
                <w:szCs w:val="24"/>
              </w:rPr>
            </w:pPr>
            <w:r>
              <w:rPr>
                <w:rFonts w:hint="eastAsia" w:ascii="宋体" w:hAnsi="宋体" w:cs="宋体"/>
                <w:sz w:val="24"/>
                <w:szCs w:val="24"/>
              </w:rPr>
              <w:t>4.2</w:t>
            </w:r>
          </w:p>
          <w:p>
            <w:pPr>
              <w:jc w:val="left"/>
              <w:rPr>
                <w:rFonts w:ascii="宋体" w:hAnsi="宋体" w:cs="宋体"/>
                <w:sz w:val="24"/>
                <w:szCs w:val="24"/>
              </w:rPr>
            </w:pPr>
          </w:p>
        </w:tc>
        <w:tc>
          <w:tcPr>
            <w:tcW w:w="10684" w:type="dxa"/>
          </w:tcPr>
          <w:p>
            <w:pPr>
              <w:spacing w:line="0" w:lineRule="atLeast"/>
              <w:jc w:val="left"/>
              <w:rPr>
                <w:rFonts w:ascii="宋体" w:hAnsi="宋体" w:cs="宋体"/>
                <w:sz w:val="24"/>
                <w:szCs w:val="24"/>
              </w:rPr>
            </w:pPr>
            <w:r>
              <w:rPr>
                <w:rFonts w:hint="eastAsia" w:ascii="宋体" w:hAnsi="宋体" w:cs="宋体"/>
                <w:sz w:val="24"/>
                <w:szCs w:val="24"/>
              </w:rPr>
              <w:t>编制了《相关方及其需求清单》包括相关方及其需要的内容、及监视和评审记录基本有效、参评人等信息；</w:t>
            </w:r>
          </w:p>
          <w:p>
            <w:pPr>
              <w:jc w:val="left"/>
              <w:rPr>
                <w:rFonts w:ascii="宋体" w:hAnsi="宋体" w:cs="宋体"/>
                <w:sz w:val="24"/>
                <w:szCs w:val="24"/>
              </w:rPr>
            </w:pPr>
            <w:r>
              <w:rPr>
                <w:rFonts w:hint="eastAsia" w:ascii="宋体" w:hAnsi="宋体" w:cs="宋体"/>
                <w:sz w:val="24"/>
                <w:szCs w:val="24"/>
              </w:rPr>
              <w:t>其中相关方包括“顾客，最终用户或受益人，业主、股东，银行，外部供应商，雇员及其他为组织工作的人员，法律法规及监督机关，地方社会团体，非政府组织”等；</w:t>
            </w:r>
          </w:p>
          <w:p>
            <w:pPr>
              <w:jc w:val="left"/>
              <w:rPr>
                <w:rFonts w:ascii="宋体" w:hAnsi="宋体" w:cs="宋体"/>
                <w:sz w:val="24"/>
                <w:szCs w:val="24"/>
              </w:rPr>
            </w:pPr>
            <w:r>
              <w:rPr>
                <w:rFonts w:hint="eastAsia" w:ascii="宋体" w:hAnsi="宋体" w:cs="宋体"/>
                <w:sz w:val="24"/>
                <w:szCs w:val="24"/>
              </w:rPr>
              <w:t>查其需求包括“顾客的要求、例如符合性、价格、安全性”、“与顾客达成的商业合同”、“行业规范及标准”、“行业许可、营业执照、其他授权”、“条约、公约、草案”、“和公共机构及顾客的协议”等；</w:t>
            </w:r>
          </w:p>
          <w:p>
            <w:pPr>
              <w:jc w:val="left"/>
            </w:pPr>
            <w:r>
              <w:rPr>
                <w:rFonts w:hint="eastAsia" w:ascii="宋体" w:hAnsi="宋体" w:cs="宋体"/>
                <w:sz w:val="24"/>
                <w:szCs w:val="24"/>
              </w:rPr>
              <w:t>查组织监视和评审这些相关方的信息及其相关要求基本有效；成文信息及时更新日期2021.6.20、有编审批；</w:t>
            </w:r>
          </w:p>
        </w:tc>
        <w:tc>
          <w:tcPr>
            <w:tcW w:w="905" w:type="dxa"/>
          </w:tc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2160" w:type="dxa"/>
          </w:tcPr>
          <w:p>
            <w:pPr>
              <w:jc w:val="left"/>
              <w:rPr>
                <w:rFonts w:ascii="宋体" w:hAnsi="宋体" w:cs="宋体"/>
                <w:sz w:val="24"/>
                <w:szCs w:val="24"/>
              </w:rPr>
            </w:pPr>
            <w:r>
              <w:rPr>
                <w:rFonts w:hint="eastAsia" w:ascii="宋体" w:hAnsi="宋体" w:cs="宋体"/>
                <w:sz w:val="24"/>
                <w:szCs w:val="24"/>
              </w:rPr>
              <w:t>确定管理体系的范围</w:t>
            </w:r>
          </w:p>
          <w:p>
            <w:pPr>
              <w:jc w:val="left"/>
              <w:rPr>
                <w:rFonts w:ascii="宋体" w:hAnsi="宋体" w:cs="宋体"/>
                <w:sz w:val="24"/>
                <w:szCs w:val="24"/>
              </w:rPr>
            </w:pP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jc w:val="left"/>
              <w:rPr>
                <w:rFonts w:ascii="宋体" w:hAnsi="宋体" w:cs="宋体"/>
                <w:sz w:val="24"/>
                <w:szCs w:val="24"/>
              </w:rPr>
            </w:pPr>
            <w:r>
              <w:rPr>
                <w:rFonts w:hint="eastAsia" w:ascii="宋体" w:hAnsi="宋体" w:cs="宋体"/>
                <w:sz w:val="24"/>
                <w:szCs w:val="24"/>
              </w:rPr>
              <w:t xml:space="preserve">4.3 </w:t>
            </w:r>
          </w:p>
          <w:p>
            <w:pPr>
              <w:jc w:val="left"/>
              <w:rPr>
                <w:rFonts w:ascii="宋体" w:hAnsi="宋体" w:cs="宋体"/>
                <w:sz w:val="24"/>
                <w:szCs w:val="24"/>
              </w:rPr>
            </w:pPr>
          </w:p>
        </w:tc>
        <w:tc>
          <w:tcPr>
            <w:tcW w:w="10684" w:type="dxa"/>
          </w:tcPr>
          <w:p>
            <w:pPr>
              <w:jc w:val="left"/>
              <w:rPr>
                <w:rFonts w:ascii="宋体" w:hAnsi="宋体" w:cs="宋体"/>
                <w:sz w:val="24"/>
                <w:szCs w:val="24"/>
              </w:rPr>
            </w:pPr>
            <w:r>
              <w:rPr>
                <w:rFonts w:hint="eastAsia" w:ascii="宋体" w:hAnsi="宋体" w:cs="宋体"/>
                <w:sz w:val="24"/>
                <w:szCs w:val="24"/>
              </w:rPr>
              <w:t>查已经成文信息包括：</w:t>
            </w:r>
          </w:p>
          <w:p>
            <w:pPr>
              <w:jc w:val="left"/>
              <w:rPr>
                <w:rFonts w:ascii="宋体" w:hAnsi="宋体" w:cs="宋体"/>
                <w:sz w:val="24"/>
                <w:szCs w:val="24"/>
              </w:rPr>
            </w:pPr>
            <w:r>
              <w:rPr>
                <w:rFonts w:hint="eastAsia" w:ascii="宋体" w:hAnsi="宋体" w:cs="宋体"/>
                <w:sz w:val="24"/>
                <w:szCs w:val="24"/>
              </w:rPr>
              <w:t xml:space="preserve">1.“内、外部因素”及“相关方及其需求”；  </w:t>
            </w:r>
          </w:p>
          <w:p>
            <w:pPr>
              <w:jc w:val="left"/>
              <w:rPr>
                <w:rFonts w:ascii="宋体" w:hAnsi="宋体" w:cs="宋体"/>
                <w:sz w:val="24"/>
                <w:szCs w:val="24"/>
              </w:rPr>
            </w:pPr>
            <w:r>
              <w:rPr>
                <w:rFonts w:hint="eastAsia" w:ascii="宋体" w:hAnsi="宋体" w:cs="宋体"/>
                <w:sz w:val="24"/>
                <w:szCs w:val="24"/>
              </w:rPr>
              <w:t>2.产品服务活动；具体“活动范围：公司通用硬煤（烟煤）的生产经营活动。其中，生产活动涉及的系统包括：硬煤（烟煤）的生产系统和辅助及附属生产系统；</w:t>
            </w:r>
          </w:p>
          <w:p>
            <w:pPr>
              <w:jc w:val="left"/>
              <w:rPr>
                <w:rFonts w:ascii="宋体" w:hAnsi="宋体" w:cs="宋体"/>
                <w:sz w:val="24"/>
                <w:szCs w:val="24"/>
              </w:rPr>
            </w:pPr>
            <w:r>
              <w:rPr>
                <w:rFonts w:hint="eastAsia" w:ascii="宋体" w:hAnsi="宋体" w:cs="宋体"/>
                <w:sz w:val="24"/>
                <w:szCs w:val="24"/>
              </w:rPr>
              <w:t>——生产系统包括：破碎、结晶析出、浮选、洗涤过滤、干燥包装。</w:t>
            </w:r>
          </w:p>
          <w:p>
            <w:pPr>
              <w:jc w:val="left"/>
              <w:rPr>
                <w:rFonts w:ascii="宋体" w:hAnsi="宋体" w:cs="宋体"/>
                <w:sz w:val="24"/>
                <w:szCs w:val="24"/>
              </w:rPr>
            </w:pPr>
            <w:r>
              <w:rPr>
                <w:rFonts w:hint="eastAsia" w:ascii="宋体" w:hAnsi="宋体" w:cs="宋体"/>
                <w:sz w:val="24"/>
                <w:szCs w:val="24"/>
              </w:rPr>
              <w:t>——辅助及附属生产系统包括：设备维修、运输、检验和测量、信息管理、照明和厂内物料堆场（棚）、安全环保等装置、以及办公楼等。</w:t>
            </w:r>
          </w:p>
          <w:p>
            <w:pPr>
              <w:jc w:val="left"/>
              <w:rPr>
                <w:rFonts w:ascii="宋体" w:hAnsi="宋体" w:cs="宋体"/>
                <w:sz w:val="24"/>
                <w:szCs w:val="24"/>
              </w:rPr>
            </w:pPr>
            <w:r>
              <w:rPr>
                <w:rFonts w:hint="eastAsia" w:ascii="宋体" w:hAnsi="宋体" w:cs="宋体"/>
                <w:sz w:val="24"/>
                <w:szCs w:val="24"/>
              </w:rPr>
              <w:t>b.部门范围：公司高层领导及管理层、综合部、工程技术部、生产部、机电部、安全部、销售部、财务部”；</w:t>
            </w:r>
          </w:p>
          <w:p>
            <w:pPr>
              <w:jc w:val="left"/>
              <w:rPr>
                <w:rFonts w:ascii="宋体" w:hAnsi="宋体" w:cs="宋体"/>
                <w:sz w:val="24"/>
                <w:szCs w:val="24"/>
              </w:rPr>
            </w:pPr>
            <w:r>
              <w:rPr>
                <w:rFonts w:hint="eastAsia" w:ascii="宋体" w:hAnsi="宋体" w:cs="宋体"/>
                <w:sz w:val="24"/>
                <w:szCs w:val="24"/>
              </w:rPr>
              <w:t>3.删减8.3—— 不适用性理由 “按照产品规范生产、符合相关产品标准”、“删减不影响对法律法规要求遵守的能力”；——符合要求；</w:t>
            </w:r>
          </w:p>
          <w:p>
            <w:pPr>
              <w:jc w:val="left"/>
              <w:rPr>
                <w:rFonts w:ascii="宋体" w:hAnsi="宋体" w:cs="宋体"/>
                <w:sz w:val="24"/>
                <w:szCs w:val="24"/>
              </w:rPr>
            </w:pPr>
            <w:r>
              <w:rPr>
                <w:rFonts w:hint="eastAsia" w:ascii="宋体" w:hAnsi="宋体" w:cs="宋体"/>
                <w:sz w:val="24"/>
                <w:szCs w:val="24"/>
              </w:rPr>
              <w:t>能源管理体系覆盖范围如下：</w:t>
            </w:r>
          </w:p>
          <w:p>
            <w:pPr>
              <w:jc w:val="left"/>
              <w:rPr>
                <w:rFonts w:ascii="宋体" w:hAnsi="宋体" w:cs="宋体"/>
                <w:sz w:val="24"/>
                <w:szCs w:val="24"/>
              </w:rPr>
            </w:pPr>
            <w:r>
              <w:rPr>
                <w:rFonts w:hint="eastAsia" w:ascii="宋体" w:hAnsi="宋体" w:cs="宋体"/>
                <w:sz w:val="24"/>
                <w:szCs w:val="24"/>
              </w:rPr>
              <w:t>硬煤（烟煤）的开采过程中所涉及的能源管理活动。</w:t>
            </w:r>
          </w:p>
          <w:p>
            <w:pPr>
              <w:jc w:val="left"/>
              <w:rPr>
                <w:rFonts w:ascii="宋体" w:hAnsi="宋体" w:cs="宋体"/>
                <w:sz w:val="24"/>
                <w:szCs w:val="24"/>
              </w:rPr>
            </w:pPr>
            <w:r>
              <w:rPr>
                <w:rFonts w:hint="eastAsia" w:ascii="宋体" w:hAnsi="宋体" w:cs="宋体"/>
                <w:sz w:val="24"/>
                <w:szCs w:val="24"/>
              </w:rPr>
              <w:t>a) 公司组织机构：公司组织机构图见附件二。</w:t>
            </w:r>
          </w:p>
          <w:p>
            <w:pPr>
              <w:jc w:val="left"/>
              <w:rPr>
                <w:rFonts w:ascii="宋体" w:hAnsi="宋体" w:cs="宋体"/>
                <w:sz w:val="24"/>
                <w:szCs w:val="24"/>
              </w:rPr>
            </w:pPr>
            <w:r>
              <w:rPr>
                <w:rFonts w:hint="eastAsia" w:ascii="宋体" w:hAnsi="宋体" w:cs="宋体"/>
                <w:sz w:val="24"/>
                <w:szCs w:val="24"/>
              </w:rPr>
              <w:t>b) 公司所在地点、区域：</w:t>
            </w:r>
          </w:p>
          <w:p>
            <w:pPr>
              <w:jc w:val="left"/>
              <w:rPr>
                <w:rFonts w:ascii="宋体" w:hAnsi="宋体" w:cs="宋体"/>
                <w:sz w:val="24"/>
                <w:szCs w:val="24"/>
              </w:rPr>
            </w:pPr>
            <w:r>
              <w:rPr>
                <w:rFonts w:hint="eastAsia" w:ascii="宋体" w:hAnsi="宋体" w:cs="宋体"/>
                <w:sz w:val="24"/>
                <w:szCs w:val="24"/>
              </w:rPr>
              <w:t>位于</w:t>
            </w:r>
            <w:bookmarkStart w:id="0" w:name="_Hlk78724389"/>
            <w:r>
              <w:rPr>
                <w:rFonts w:hint="eastAsia" w:ascii="宋体" w:hAnsi="宋体" w:cs="宋体"/>
                <w:sz w:val="24"/>
                <w:szCs w:val="24"/>
              </w:rPr>
              <w:t>位于</w:t>
            </w:r>
            <w:bookmarkStart w:id="1" w:name="注册地址"/>
            <w:r>
              <w:rPr>
                <w:rFonts w:ascii="宋体" w:hAnsi="宋体" w:cs="宋体"/>
                <w:sz w:val="24"/>
                <w:szCs w:val="24"/>
              </w:rPr>
              <w:t>内蒙古鄂尔多斯市达拉特旗白泥井镇敖包梁村</w:t>
            </w:r>
            <w:bookmarkEnd w:id="1"/>
            <w:r>
              <w:rPr>
                <w:rFonts w:hint="eastAsia" w:ascii="宋体" w:hAnsi="宋体" w:cs="宋体"/>
                <w:sz w:val="24"/>
                <w:szCs w:val="24"/>
              </w:rPr>
              <w:t>内蒙古鄂尔多斯市潮脑梁煤炭有限公司的氯化钾和碳酸锂产品的生产所涉及的相关环境/职业健康安全/能源管理活动</w:t>
            </w:r>
            <w:bookmarkEnd w:id="0"/>
            <w:r>
              <w:rPr>
                <w:rFonts w:hint="eastAsia" w:ascii="宋体" w:hAnsi="宋体" w:cs="宋体"/>
                <w:sz w:val="24"/>
                <w:szCs w:val="24"/>
              </w:rPr>
              <w:t>。</w:t>
            </w:r>
          </w:p>
          <w:p>
            <w:pPr>
              <w:jc w:val="left"/>
              <w:rPr>
                <w:rFonts w:ascii="宋体" w:hAnsi="宋体" w:cs="宋体"/>
                <w:sz w:val="24"/>
                <w:szCs w:val="24"/>
              </w:rPr>
            </w:pPr>
            <w:r>
              <w:rPr>
                <w:rFonts w:hint="eastAsia" w:ascii="宋体" w:hAnsi="宋体" w:cs="宋体"/>
                <w:sz w:val="24"/>
                <w:szCs w:val="24"/>
              </w:rPr>
              <w:t>c)组织界限：公司主要生产系统、辅助生产系统、附属生产系统，详见组织机构图；</w:t>
            </w:r>
          </w:p>
          <w:p>
            <w:pPr>
              <w:jc w:val="left"/>
              <w:rPr>
                <w:rFonts w:ascii="宋体" w:hAnsi="宋体" w:cs="宋体"/>
                <w:sz w:val="24"/>
                <w:szCs w:val="24"/>
              </w:rPr>
            </w:pPr>
            <w:r>
              <w:rPr>
                <w:rFonts w:hint="eastAsia" w:ascii="宋体" w:hAnsi="宋体" w:cs="宋体"/>
                <w:sz w:val="24"/>
                <w:szCs w:val="24"/>
              </w:rPr>
              <w:t>d)产品范围：</w:t>
            </w:r>
            <w:r>
              <w:rPr>
                <w:rFonts w:hint="eastAsia" w:ascii="宋体" w:hAnsi="宋体"/>
                <w:b/>
                <w:szCs w:val="21"/>
              </w:rPr>
              <w:t>硬煤（烟煤）的开采</w:t>
            </w:r>
            <w:r>
              <w:rPr>
                <w:rFonts w:hint="eastAsia" w:ascii="宋体" w:hAnsi="宋体" w:cs="宋体"/>
                <w:sz w:val="24"/>
                <w:szCs w:val="24"/>
              </w:rPr>
              <w:t>；</w:t>
            </w:r>
          </w:p>
          <w:p>
            <w:pPr>
              <w:jc w:val="left"/>
              <w:rPr>
                <w:rFonts w:ascii="宋体" w:hAnsi="宋体" w:cs="宋体"/>
                <w:sz w:val="24"/>
                <w:szCs w:val="24"/>
              </w:rPr>
            </w:pPr>
            <w:r>
              <w:rPr>
                <w:rFonts w:hint="eastAsia" w:ascii="宋体" w:hAnsi="宋体" w:cs="宋体"/>
                <w:sz w:val="24"/>
                <w:szCs w:val="24"/>
              </w:rPr>
              <w:t>e)管理活动：能源购入、贮存、输送分配、终端使用等；</w:t>
            </w:r>
          </w:p>
          <w:p>
            <w:pPr>
              <w:jc w:val="left"/>
              <w:rPr>
                <w:rFonts w:ascii="宋体" w:hAnsi="宋体" w:cs="宋体"/>
                <w:sz w:val="24"/>
                <w:szCs w:val="24"/>
              </w:rPr>
            </w:pPr>
            <w:r>
              <w:rPr>
                <w:rFonts w:hint="eastAsia" w:ascii="宋体" w:hAnsi="宋体" w:cs="宋体"/>
                <w:sz w:val="24"/>
                <w:szCs w:val="24"/>
              </w:rPr>
              <w:t>f)用能过程：硬煤（烟煤）的开采所涉及的生产活动与场所；</w:t>
            </w:r>
          </w:p>
          <w:p>
            <w:pPr>
              <w:jc w:val="left"/>
              <w:rPr>
                <w:rFonts w:ascii="宋体" w:hAnsi="宋体" w:cs="宋体"/>
                <w:sz w:val="24"/>
                <w:szCs w:val="24"/>
              </w:rPr>
            </w:pPr>
            <w:r>
              <w:rPr>
                <w:rFonts w:hint="eastAsia" w:ascii="宋体" w:hAnsi="宋体" w:cs="宋体"/>
                <w:sz w:val="24"/>
                <w:szCs w:val="24"/>
              </w:rPr>
              <w:t>g)核算边界：公司能源消耗，生产及办公活动的电力和天然气消耗，环保设施系统电力消耗、生产和生活水消耗。</w:t>
            </w:r>
          </w:p>
          <w:p>
            <w:pPr>
              <w:jc w:val="left"/>
              <w:rPr>
                <w:rFonts w:ascii="宋体" w:hAnsi="宋体" w:cs="宋体"/>
                <w:sz w:val="24"/>
                <w:szCs w:val="24"/>
              </w:rPr>
            </w:pPr>
            <w:r>
              <w:rPr>
                <w:rFonts w:hint="eastAsia" w:ascii="宋体" w:hAnsi="宋体" w:cs="宋体"/>
                <w:sz w:val="24"/>
                <w:szCs w:val="24"/>
              </w:rPr>
              <w:t>c）地理区域范围：位于厂区内；</w:t>
            </w:r>
          </w:p>
          <w:p>
            <w:pPr>
              <w:jc w:val="left"/>
              <w:rPr>
                <w:rFonts w:ascii="宋体" w:hAnsi="宋体" w:cs="宋体"/>
                <w:sz w:val="24"/>
                <w:szCs w:val="24"/>
              </w:rPr>
            </w:pPr>
            <w:r>
              <w:rPr>
                <w:rFonts w:hint="eastAsia" w:ascii="宋体" w:hAnsi="宋体" w:cs="宋体"/>
                <w:sz w:val="24"/>
                <w:szCs w:val="24"/>
              </w:rPr>
              <w:t>d.外部供方提供的物资和在厂区内提供的服务也在管理体系控制范围内。</w:t>
            </w:r>
          </w:p>
        </w:tc>
        <w:tc>
          <w:tcPr>
            <w:tcW w:w="90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0" w:lineRule="atLeast"/>
              <w:jc w:val="left"/>
              <w:rPr>
                <w:rFonts w:ascii="宋体" w:hAnsi="宋体" w:cs="宋体"/>
                <w:sz w:val="24"/>
                <w:szCs w:val="24"/>
              </w:rPr>
            </w:pPr>
            <w:r>
              <w:rPr>
                <w:rFonts w:hint="eastAsia" w:ascii="宋体" w:hAnsi="宋体" w:cs="宋体"/>
                <w:sz w:val="24"/>
                <w:szCs w:val="24"/>
              </w:rPr>
              <w:t>管理体系及其过程</w:t>
            </w:r>
          </w:p>
          <w:p>
            <w:pPr>
              <w:spacing w:line="0" w:lineRule="atLeast"/>
              <w:jc w:val="left"/>
              <w:rPr>
                <w:rFonts w:ascii="宋体" w:hAnsi="宋体" w:cs="宋体"/>
                <w:sz w:val="24"/>
                <w:szCs w:val="24"/>
              </w:rPr>
            </w:pP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spacing w:line="0" w:lineRule="atLeast"/>
              <w:jc w:val="left"/>
              <w:rPr>
                <w:rFonts w:ascii="宋体" w:hAnsi="宋体" w:cs="宋体"/>
                <w:sz w:val="24"/>
                <w:szCs w:val="24"/>
              </w:rPr>
            </w:pPr>
            <w:r>
              <w:rPr>
                <w:rFonts w:hint="eastAsia" w:ascii="宋体" w:hAnsi="宋体" w:cs="宋体"/>
                <w:sz w:val="24"/>
                <w:szCs w:val="24"/>
              </w:rPr>
              <w:t xml:space="preserve">4.4 </w:t>
            </w:r>
          </w:p>
          <w:p>
            <w:pPr>
              <w:spacing w:line="0" w:lineRule="atLeast"/>
              <w:jc w:val="left"/>
              <w:rPr>
                <w:rFonts w:ascii="宋体" w:hAnsi="宋体" w:cs="宋体"/>
                <w:sz w:val="24"/>
                <w:szCs w:val="24"/>
              </w:rPr>
            </w:pPr>
            <w:r>
              <w:rPr>
                <w:rFonts w:hint="eastAsia" w:ascii="宋体" w:hAnsi="宋体" w:cs="宋体"/>
                <w:sz w:val="24"/>
                <w:szCs w:val="24"/>
              </w:rPr>
              <w:t xml:space="preserve"> </w:t>
            </w:r>
          </w:p>
        </w:tc>
        <w:tc>
          <w:tcPr>
            <w:tcW w:w="10684" w:type="dxa"/>
          </w:tcPr>
          <w:p>
            <w:pPr>
              <w:spacing w:line="0" w:lineRule="atLeast"/>
              <w:jc w:val="left"/>
              <w:rPr>
                <w:rFonts w:ascii="宋体" w:hAnsi="宋体" w:cs="宋体"/>
                <w:sz w:val="24"/>
                <w:szCs w:val="24"/>
              </w:rPr>
            </w:pPr>
            <w:r>
              <w:rPr>
                <w:rFonts w:hint="eastAsia" w:ascii="宋体" w:hAnsi="宋体" w:cs="宋体"/>
                <w:sz w:val="24"/>
                <w:szCs w:val="24"/>
              </w:rPr>
              <w:t>通过文审检查手册及相关程序文件可知：</w:t>
            </w:r>
          </w:p>
          <w:p>
            <w:pPr>
              <w:spacing w:line="0" w:lineRule="atLeast"/>
              <w:jc w:val="left"/>
              <w:rPr>
                <w:rFonts w:ascii="宋体" w:hAnsi="宋体" w:cs="宋体"/>
                <w:sz w:val="24"/>
                <w:szCs w:val="24"/>
              </w:rPr>
            </w:pPr>
            <w:r>
              <w:rPr>
                <w:rFonts w:hint="eastAsia" w:ascii="宋体" w:hAnsi="宋体" w:cs="宋体"/>
                <w:sz w:val="24"/>
                <w:szCs w:val="24"/>
              </w:rPr>
              <w:t>基本确定体系的目标和实现这些目标所需的过程；明确了为管理过程确定职责、权限和义务；确定了组织的能力及预先确定资源约束条件；确定了过程相互依赖的关系，分析了个别过程的变更对整个体系的影响；基本做到了将过程及其相互关系作为一个体系进行管理，以有效和高效地实现组织的质量目标；另组织为确保获得必要的信息，以运行和改进过程并监视、分析和评价整个体系的绩效；明确了管理可能影响过程输出和管理体系整体结果的风险；这其中包括确定了管理体系范围、组织架构图、产品及服务、现场及产品线过程/能力相关的设备和人员清单、绩效指标的确定、风险及机遇的识别、职责和权限的公示、识别了变更对过程的影响、及体系应获取的资源、提供了内审和管理评审的实施情况等；策划输出 包括：手册、程序文件、表格和记录等；</w:t>
            </w:r>
          </w:p>
          <w:p>
            <w:pPr>
              <w:spacing w:line="0" w:lineRule="atLeast"/>
              <w:jc w:val="left"/>
            </w:pPr>
            <w:r>
              <w:rPr>
                <w:rFonts w:hint="eastAsia" w:ascii="宋体" w:hAnsi="宋体" w:cs="宋体"/>
                <w:sz w:val="24"/>
                <w:szCs w:val="24"/>
              </w:rPr>
              <w:t>另查近一年来的体系的基本没有变更的情况；</w:t>
            </w:r>
          </w:p>
        </w:tc>
        <w:tc>
          <w:tcPr>
            <w:tcW w:w="905" w:type="dxa"/>
          </w:tc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0" w:lineRule="atLeast"/>
              <w:jc w:val="left"/>
              <w:rPr>
                <w:rFonts w:ascii="宋体" w:hAnsi="宋体" w:cs="宋体"/>
                <w:sz w:val="24"/>
                <w:szCs w:val="24"/>
              </w:rPr>
            </w:pPr>
            <w:r>
              <w:rPr>
                <w:rFonts w:hint="eastAsia" w:ascii="宋体" w:hAnsi="宋体" w:cs="宋体"/>
                <w:sz w:val="24"/>
                <w:szCs w:val="24"/>
              </w:rPr>
              <w:t xml:space="preserve">领导作用和承诺 </w:t>
            </w:r>
          </w:p>
          <w:p>
            <w:pPr>
              <w:spacing w:line="0" w:lineRule="atLeast"/>
              <w:jc w:val="left"/>
              <w:rPr>
                <w:rFonts w:ascii="宋体" w:hAnsi="宋体" w:cs="宋体"/>
                <w:sz w:val="24"/>
                <w:szCs w:val="24"/>
              </w:rPr>
            </w:pPr>
            <w:r>
              <w:rPr>
                <w:rFonts w:hint="eastAsia" w:ascii="宋体" w:hAnsi="宋体" w:cs="宋体"/>
                <w:sz w:val="24"/>
                <w:szCs w:val="24"/>
              </w:rPr>
              <w:t>总则</w:t>
            </w:r>
          </w:p>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spacing w:line="0" w:lineRule="atLeast"/>
              <w:jc w:val="left"/>
              <w:rPr>
                <w:rFonts w:ascii="宋体" w:hAnsi="宋体" w:cs="宋体"/>
                <w:sz w:val="24"/>
                <w:szCs w:val="24"/>
              </w:rPr>
            </w:pPr>
            <w:r>
              <w:rPr>
                <w:rFonts w:hint="eastAsia" w:ascii="宋体" w:hAnsi="宋体" w:cs="宋体"/>
                <w:sz w:val="24"/>
                <w:szCs w:val="24"/>
              </w:rPr>
              <w:t xml:space="preserve">5.1 </w:t>
            </w:r>
          </w:p>
          <w:p>
            <w:pPr>
              <w:spacing w:line="0" w:lineRule="atLeast"/>
              <w:jc w:val="left"/>
              <w:rPr>
                <w:rFonts w:ascii="宋体" w:hAnsi="宋体" w:cs="宋体"/>
                <w:sz w:val="24"/>
                <w:szCs w:val="24"/>
              </w:rPr>
            </w:pPr>
          </w:p>
        </w:tc>
        <w:tc>
          <w:tcPr>
            <w:tcW w:w="10684" w:type="dxa"/>
          </w:tcPr>
          <w:p>
            <w:pPr>
              <w:spacing w:line="0" w:lineRule="atLeast"/>
              <w:jc w:val="left"/>
              <w:rPr>
                <w:rFonts w:ascii="宋体" w:hAnsi="宋体" w:cs="宋体"/>
                <w:sz w:val="24"/>
                <w:szCs w:val="24"/>
              </w:rPr>
            </w:pPr>
            <w:r>
              <w:rPr>
                <w:rFonts w:hint="eastAsia" w:ascii="宋体" w:hAnsi="宋体" w:cs="宋体"/>
                <w:sz w:val="24"/>
                <w:szCs w:val="24"/>
              </w:rPr>
              <w:t>和管理层交流的内容：</w:t>
            </w:r>
          </w:p>
          <w:p>
            <w:pPr>
              <w:spacing w:line="0" w:lineRule="atLeast"/>
              <w:jc w:val="left"/>
              <w:rPr>
                <w:rFonts w:ascii="宋体" w:hAnsi="宋体" w:cs="宋体"/>
                <w:sz w:val="24"/>
                <w:szCs w:val="24"/>
              </w:rPr>
            </w:pPr>
            <w:r>
              <w:rPr>
                <w:rFonts w:hint="eastAsia" w:ascii="宋体" w:hAnsi="宋体" w:cs="宋体"/>
                <w:sz w:val="24"/>
                <w:szCs w:val="24"/>
              </w:rPr>
              <w:t>1.对质量环境安全能源管理体系的有效性承担责任：</w:t>
            </w:r>
          </w:p>
          <w:p>
            <w:pPr>
              <w:spacing w:line="0" w:lineRule="atLeast"/>
              <w:jc w:val="left"/>
              <w:rPr>
                <w:rFonts w:ascii="宋体" w:hAnsi="宋体" w:cs="宋体"/>
                <w:sz w:val="24"/>
                <w:szCs w:val="24"/>
              </w:rPr>
            </w:pPr>
            <w:r>
              <w:rPr>
                <w:rFonts w:hint="eastAsia" w:ascii="宋体" w:hAnsi="宋体" w:cs="宋体"/>
                <w:sz w:val="24"/>
                <w:szCs w:val="24"/>
              </w:rPr>
              <w:t xml:space="preserve">通过持续的绩效监视、月度、定期检查等，及管理评审来确定管理体系的适宜性及有效性； </w:t>
            </w:r>
          </w:p>
          <w:p>
            <w:pPr>
              <w:spacing w:line="0" w:lineRule="atLeast"/>
              <w:jc w:val="left"/>
              <w:rPr>
                <w:rFonts w:ascii="宋体" w:hAnsi="宋体" w:cs="宋体"/>
                <w:sz w:val="24"/>
                <w:szCs w:val="24"/>
              </w:rPr>
            </w:pPr>
            <w:r>
              <w:rPr>
                <w:rFonts w:hint="eastAsia" w:ascii="宋体" w:hAnsi="宋体" w:cs="宋体"/>
                <w:sz w:val="24"/>
                <w:szCs w:val="24"/>
              </w:rPr>
              <w:t>确保制定质量环境安全能源管理体系的方针和目标，并与组织环境和战略方向相一致：</w:t>
            </w:r>
          </w:p>
          <w:p>
            <w:pPr>
              <w:spacing w:line="0" w:lineRule="atLeast"/>
              <w:jc w:val="left"/>
              <w:rPr>
                <w:rFonts w:ascii="宋体" w:hAnsi="宋体" w:cs="宋体"/>
                <w:sz w:val="24"/>
                <w:szCs w:val="24"/>
              </w:rPr>
            </w:pPr>
            <w:r>
              <w:rPr>
                <w:rFonts w:hint="eastAsia" w:ascii="宋体" w:hAnsi="宋体" w:cs="宋体"/>
                <w:sz w:val="24"/>
                <w:szCs w:val="24"/>
              </w:rPr>
              <w:t>建立质量环境安全能源方针目标时，确保了与组织的环境、内外部事宜、战略方向保持一致；</w:t>
            </w:r>
          </w:p>
          <w:p>
            <w:pPr>
              <w:spacing w:line="0" w:lineRule="atLeast"/>
              <w:jc w:val="left"/>
              <w:rPr>
                <w:rFonts w:ascii="宋体" w:hAnsi="宋体" w:cs="宋体"/>
                <w:sz w:val="24"/>
                <w:szCs w:val="24"/>
              </w:rPr>
            </w:pPr>
            <w:r>
              <w:rPr>
                <w:rFonts w:hint="eastAsia" w:ascii="宋体" w:hAnsi="宋体" w:cs="宋体"/>
                <w:sz w:val="24"/>
                <w:szCs w:val="24"/>
              </w:rPr>
              <w:t>确保质量环境安全能源管理体系要求融入与组织的业务过程：</w:t>
            </w:r>
          </w:p>
          <w:p>
            <w:pPr>
              <w:spacing w:line="0" w:lineRule="atLeast"/>
              <w:jc w:val="left"/>
              <w:rPr>
                <w:rFonts w:ascii="宋体" w:hAnsi="宋体" w:cs="宋体"/>
                <w:sz w:val="24"/>
                <w:szCs w:val="24"/>
              </w:rPr>
            </w:pPr>
            <w:r>
              <w:rPr>
                <w:rFonts w:hint="eastAsia" w:ascii="宋体" w:hAnsi="宋体" w:cs="宋体"/>
                <w:sz w:val="24"/>
                <w:szCs w:val="24"/>
              </w:rPr>
              <w:t xml:space="preserve">可以确保质量环境安全能源管理体系和本组织的相关职能部门及过程的接口和融入、这包括设计开发、生产及仓储物流、原材料的采购、顾客满意度调查、过程的监视和测量等均按照标准要求制定了让相关的程序文件和作业指导书、提供了过程的监视和质量目标的监视、完成了内审和管评的过程等； </w:t>
            </w:r>
          </w:p>
          <w:p>
            <w:pPr>
              <w:spacing w:line="0" w:lineRule="atLeast"/>
              <w:jc w:val="left"/>
              <w:rPr>
                <w:rFonts w:ascii="宋体" w:hAnsi="宋体" w:cs="宋体"/>
                <w:sz w:val="24"/>
                <w:szCs w:val="24"/>
              </w:rPr>
            </w:pPr>
            <w:r>
              <w:rPr>
                <w:rFonts w:hint="eastAsia" w:ascii="宋体" w:hAnsi="宋体" w:cs="宋体"/>
                <w:sz w:val="24"/>
                <w:szCs w:val="24"/>
              </w:rPr>
              <w:t>促进使用过程方法和基于风险的思维：</w:t>
            </w:r>
          </w:p>
          <w:p>
            <w:pPr>
              <w:spacing w:line="0" w:lineRule="atLeast"/>
              <w:jc w:val="left"/>
              <w:rPr>
                <w:rFonts w:ascii="宋体" w:hAnsi="宋体" w:cs="宋体"/>
                <w:sz w:val="24"/>
                <w:szCs w:val="24"/>
              </w:rPr>
            </w:pPr>
            <w:r>
              <w:rPr>
                <w:rFonts w:hint="eastAsia" w:ascii="宋体" w:hAnsi="宋体" w:cs="宋体"/>
                <w:sz w:val="24"/>
                <w:szCs w:val="24"/>
              </w:rPr>
              <w:t>各部门均明确了各自的风险和机遇、相关方和其需求等信息，相关内容经过评审并提供日常的监视、发现问题及时调整；</w:t>
            </w:r>
          </w:p>
          <w:p>
            <w:pPr>
              <w:spacing w:line="0" w:lineRule="atLeast"/>
              <w:jc w:val="left"/>
              <w:rPr>
                <w:rFonts w:ascii="宋体" w:hAnsi="宋体" w:cs="宋体"/>
                <w:sz w:val="24"/>
                <w:szCs w:val="24"/>
              </w:rPr>
            </w:pPr>
            <w:r>
              <w:rPr>
                <w:rFonts w:hint="eastAsia" w:ascii="宋体" w:hAnsi="宋体" w:cs="宋体"/>
                <w:sz w:val="24"/>
                <w:szCs w:val="24"/>
              </w:rPr>
              <w:t>确保获得质量环境安全能源能源管理体系所需的资源：</w:t>
            </w:r>
          </w:p>
          <w:p>
            <w:pPr>
              <w:spacing w:line="0" w:lineRule="atLeast"/>
              <w:jc w:val="left"/>
              <w:rPr>
                <w:rFonts w:ascii="宋体" w:hAnsi="宋体" w:cs="宋体"/>
                <w:sz w:val="24"/>
                <w:szCs w:val="24"/>
              </w:rPr>
            </w:pPr>
            <w:r>
              <w:rPr>
                <w:rFonts w:hint="eastAsia" w:ascii="宋体" w:hAnsi="宋体" w:cs="宋体"/>
                <w:sz w:val="24"/>
                <w:szCs w:val="24"/>
              </w:rPr>
              <w:t>组织明确了体系要求的在人力物力财力方面的需求，及那些受到约束的条件并形成文件信息予以保留；</w:t>
            </w:r>
          </w:p>
          <w:p>
            <w:pPr>
              <w:spacing w:line="0" w:lineRule="atLeast"/>
              <w:jc w:val="left"/>
              <w:rPr>
                <w:rFonts w:ascii="宋体" w:hAnsi="宋体" w:cs="宋体"/>
                <w:sz w:val="24"/>
                <w:szCs w:val="24"/>
              </w:rPr>
            </w:pPr>
            <w:r>
              <w:rPr>
                <w:rFonts w:hint="eastAsia" w:ascii="宋体" w:hAnsi="宋体" w:cs="宋体"/>
                <w:sz w:val="24"/>
                <w:szCs w:val="24"/>
              </w:rPr>
              <w:t xml:space="preserve">沟通有效的环境安全能源管理和符合质量环境安全能源管理体系要求的重要性； </w:t>
            </w:r>
          </w:p>
          <w:p>
            <w:pPr>
              <w:spacing w:line="0" w:lineRule="atLeast"/>
              <w:jc w:val="left"/>
              <w:rPr>
                <w:rFonts w:ascii="宋体" w:hAnsi="宋体" w:cs="宋体"/>
                <w:sz w:val="24"/>
                <w:szCs w:val="24"/>
              </w:rPr>
            </w:pPr>
            <w:r>
              <w:rPr>
                <w:rFonts w:hint="eastAsia" w:ascii="宋体" w:hAnsi="宋体" w:cs="宋体"/>
                <w:sz w:val="24"/>
                <w:szCs w:val="24"/>
              </w:rPr>
              <w:t>通过内部会议、邮件、讨论等形式获取有价值的沟通等；</w:t>
            </w:r>
          </w:p>
          <w:p>
            <w:pPr>
              <w:spacing w:line="0" w:lineRule="atLeast"/>
              <w:jc w:val="left"/>
              <w:rPr>
                <w:rFonts w:ascii="宋体" w:hAnsi="宋体" w:cs="宋体"/>
                <w:sz w:val="24"/>
                <w:szCs w:val="24"/>
              </w:rPr>
            </w:pPr>
            <w:r>
              <w:rPr>
                <w:rFonts w:hint="eastAsia" w:ascii="宋体" w:hAnsi="宋体" w:cs="宋体"/>
                <w:sz w:val="24"/>
                <w:szCs w:val="24"/>
              </w:rPr>
              <w:t>确保实现环境安全能源管理体系的预期结果：</w:t>
            </w:r>
          </w:p>
          <w:p>
            <w:pPr>
              <w:spacing w:line="0" w:lineRule="atLeast"/>
              <w:jc w:val="left"/>
              <w:rPr>
                <w:rFonts w:ascii="宋体" w:hAnsi="宋体" w:cs="宋体"/>
                <w:sz w:val="24"/>
                <w:szCs w:val="24"/>
              </w:rPr>
            </w:pPr>
            <w:r>
              <w:rPr>
                <w:rFonts w:hint="eastAsia" w:ascii="宋体" w:hAnsi="宋体" w:cs="宋体"/>
                <w:sz w:val="24"/>
                <w:szCs w:val="24"/>
              </w:rPr>
              <w:t>监视质量管理体系的输出、确保纠正措施落实到个人或团队；</w:t>
            </w:r>
          </w:p>
          <w:p>
            <w:pPr>
              <w:spacing w:line="0" w:lineRule="atLeast"/>
              <w:jc w:val="left"/>
              <w:rPr>
                <w:rFonts w:ascii="宋体" w:hAnsi="宋体" w:cs="宋体"/>
                <w:sz w:val="24"/>
                <w:szCs w:val="24"/>
              </w:rPr>
            </w:pPr>
            <w:r>
              <w:rPr>
                <w:rFonts w:hint="eastAsia" w:ascii="宋体" w:hAnsi="宋体" w:cs="宋体"/>
                <w:sz w:val="24"/>
                <w:szCs w:val="24"/>
              </w:rPr>
              <w:t xml:space="preserve">促使、指导和支持员工努力提高质量环境安全能源管理体系的有效性 </w:t>
            </w:r>
          </w:p>
          <w:p>
            <w:pPr>
              <w:spacing w:line="0" w:lineRule="atLeast"/>
              <w:jc w:val="left"/>
              <w:rPr>
                <w:rFonts w:ascii="宋体" w:hAnsi="宋体" w:cs="宋体"/>
                <w:sz w:val="24"/>
                <w:szCs w:val="24"/>
              </w:rPr>
            </w:pPr>
            <w:r>
              <w:rPr>
                <w:rFonts w:hint="eastAsia" w:ascii="宋体" w:hAnsi="宋体" w:cs="宋体"/>
                <w:sz w:val="24"/>
                <w:szCs w:val="24"/>
              </w:rPr>
              <w:t>推动改进：内审、管评、第三方审核等提出的意见和建议在内部沟通；</w:t>
            </w:r>
          </w:p>
          <w:p>
            <w:pPr>
              <w:spacing w:line="0" w:lineRule="atLeast"/>
              <w:jc w:val="left"/>
              <w:rPr>
                <w:rFonts w:ascii="宋体" w:hAnsi="宋体" w:cs="宋体"/>
                <w:sz w:val="24"/>
                <w:szCs w:val="24"/>
              </w:rPr>
            </w:pPr>
            <w:r>
              <w:rPr>
                <w:rFonts w:hint="eastAsia" w:ascii="宋体" w:hAnsi="宋体" w:cs="宋体"/>
                <w:sz w:val="24"/>
                <w:szCs w:val="24"/>
              </w:rPr>
              <w:t xml:space="preserve">支持其他管理者履行其相关领域的职责： </w:t>
            </w:r>
          </w:p>
          <w:p>
            <w:pPr>
              <w:spacing w:line="0" w:lineRule="atLeast"/>
              <w:jc w:val="left"/>
              <w:rPr>
                <w:rFonts w:ascii="宋体" w:hAnsi="宋体" w:cs="宋体"/>
                <w:sz w:val="24"/>
                <w:szCs w:val="24"/>
              </w:rPr>
            </w:pPr>
            <w:r>
              <w:rPr>
                <w:rFonts w:hint="eastAsia" w:ascii="宋体" w:hAnsi="宋体" w:cs="宋体"/>
                <w:sz w:val="24"/>
                <w:szCs w:val="24"/>
              </w:rPr>
              <w:t>——现场审核管理层的行为、态度和决定之间基本一致，日常的态度严谨认真、可以做到以身作则、及和部属的有效沟通；另查书面的承诺及质量环境安全能源管理体系的绩效结果等基本符合规定；</w:t>
            </w:r>
          </w:p>
        </w:tc>
        <w:tc>
          <w:tcPr>
            <w:tcW w:w="905" w:type="dxa"/>
          </w:tc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tcPr>
          <w:p>
            <w:pPr>
              <w:spacing w:line="0" w:lineRule="atLeast"/>
              <w:jc w:val="left"/>
              <w:rPr>
                <w:sz w:val="24"/>
                <w:szCs w:val="24"/>
              </w:rPr>
            </w:pPr>
            <w:r>
              <w:rPr>
                <w:rFonts w:hint="eastAsia"/>
                <w:sz w:val="24"/>
                <w:szCs w:val="24"/>
              </w:rPr>
              <w:t>以顾客为关注焦点</w:t>
            </w:r>
          </w:p>
          <w:p>
            <w:pPr>
              <w:pStyle w:val="2"/>
            </w:pPr>
          </w:p>
        </w:tc>
        <w:tc>
          <w:tcPr>
            <w:tcW w:w="960" w:type="dxa"/>
          </w:tcPr>
          <w:p>
            <w:pPr>
              <w:spacing w:line="0" w:lineRule="atLeast"/>
              <w:jc w:val="left"/>
              <w:rPr>
                <w:rFonts w:ascii="宋体" w:hAnsi="宋体" w:cs="宋体"/>
                <w:sz w:val="24"/>
                <w:szCs w:val="24"/>
              </w:rPr>
            </w:pPr>
            <w:r>
              <w:rPr>
                <w:rFonts w:hint="eastAsia" w:ascii="宋体" w:hAnsi="宋体" w:cs="宋体"/>
                <w:sz w:val="24"/>
                <w:szCs w:val="24"/>
                <w:u w:val="single"/>
              </w:rPr>
              <w:t>Q5.1.2</w:t>
            </w:r>
            <w:r>
              <w:rPr>
                <w:rFonts w:hint="eastAsia" w:ascii="宋体" w:hAnsi="宋体" w:cs="宋体"/>
                <w:sz w:val="24"/>
                <w:szCs w:val="24"/>
              </w:rPr>
              <w:t xml:space="preserve"> </w:t>
            </w:r>
          </w:p>
          <w:p>
            <w:pPr>
              <w:spacing w:line="0" w:lineRule="atLeast"/>
              <w:jc w:val="left"/>
              <w:rPr>
                <w:rFonts w:ascii="宋体" w:hAnsi="宋体" w:cs="宋体"/>
                <w:sz w:val="24"/>
                <w:szCs w:val="24"/>
              </w:rPr>
            </w:pPr>
          </w:p>
        </w:tc>
        <w:tc>
          <w:tcPr>
            <w:tcW w:w="10684" w:type="dxa"/>
          </w:tcPr>
          <w:p>
            <w:pPr>
              <w:spacing w:line="0" w:lineRule="atLeast"/>
              <w:jc w:val="left"/>
              <w:rPr>
                <w:rFonts w:ascii="宋体" w:hAnsi="宋体" w:cs="宋体"/>
                <w:sz w:val="24"/>
                <w:szCs w:val="24"/>
              </w:rPr>
            </w:pPr>
            <w:r>
              <w:rPr>
                <w:rFonts w:hint="eastAsia" w:ascii="宋体" w:hAnsi="宋体" w:cs="宋体"/>
                <w:sz w:val="24"/>
                <w:szCs w:val="24"/>
              </w:rPr>
              <w:t>总经理应通过组织销售部门及时进行市场调研、与顾客沟通、客户回访、顾客满意度监测、改进措施的有效实施等方式，确保在以下方面， 证实其以顾客为关注焦点的领导作用和承诺：</w:t>
            </w:r>
          </w:p>
          <w:p>
            <w:pPr>
              <w:spacing w:line="0" w:lineRule="atLeast"/>
              <w:jc w:val="left"/>
              <w:rPr>
                <w:rFonts w:ascii="宋体" w:hAnsi="宋体" w:cs="宋体"/>
                <w:sz w:val="24"/>
                <w:szCs w:val="24"/>
              </w:rPr>
            </w:pPr>
            <w:r>
              <w:rPr>
                <w:rFonts w:hint="eastAsia" w:ascii="宋体" w:hAnsi="宋体" w:cs="宋体"/>
                <w:sz w:val="24"/>
                <w:szCs w:val="24"/>
              </w:rPr>
              <w:t>确定、理解并持续地满足顾客要求以及适用的法律法规要求；</w:t>
            </w:r>
          </w:p>
          <w:p>
            <w:pPr>
              <w:spacing w:line="0" w:lineRule="atLeast"/>
              <w:jc w:val="left"/>
              <w:rPr>
                <w:rFonts w:ascii="宋体" w:hAnsi="宋体" w:cs="宋体"/>
                <w:sz w:val="24"/>
                <w:szCs w:val="24"/>
              </w:rPr>
            </w:pPr>
            <w:r>
              <w:rPr>
                <w:rFonts w:hint="eastAsia" w:ascii="宋体" w:hAnsi="宋体" w:cs="宋体"/>
                <w:sz w:val="24"/>
                <w:szCs w:val="24"/>
              </w:rPr>
              <w:t>确定和应对能够影响产品和服务的符合性以及增强顾客满意能力的风险和机遇；</w:t>
            </w:r>
          </w:p>
          <w:p>
            <w:pPr>
              <w:spacing w:line="0" w:lineRule="atLeast"/>
              <w:jc w:val="left"/>
              <w:rPr>
                <w:rFonts w:ascii="宋体" w:hAnsi="宋体" w:cs="宋体"/>
                <w:sz w:val="24"/>
                <w:szCs w:val="24"/>
              </w:rPr>
            </w:pPr>
            <w:r>
              <w:rPr>
                <w:rFonts w:hint="eastAsia" w:ascii="宋体" w:hAnsi="宋体" w:cs="宋体"/>
                <w:sz w:val="24"/>
                <w:szCs w:val="24"/>
              </w:rPr>
              <w:t>始终致力于增强顾客满意。</w:t>
            </w:r>
          </w:p>
        </w:tc>
        <w:tc>
          <w:tcPr>
            <w:tcW w:w="905" w:type="dxa"/>
          </w:tc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jc w:val="left"/>
              <w:rPr>
                <w:rFonts w:ascii="宋体" w:hAnsi="宋体" w:cs="宋体"/>
                <w:sz w:val="24"/>
                <w:szCs w:val="24"/>
              </w:rPr>
            </w:pPr>
            <w:r>
              <w:rPr>
                <w:rFonts w:hint="eastAsia" w:ascii="宋体" w:hAnsi="宋体" w:cs="宋体"/>
                <w:sz w:val="24"/>
                <w:szCs w:val="24"/>
              </w:rPr>
              <w:t>管理方针</w:t>
            </w: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jc w:val="left"/>
              <w:rPr>
                <w:rFonts w:ascii="宋体" w:hAnsi="宋体" w:cs="宋体"/>
                <w:sz w:val="24"/>
                <w:szCs w:val="24"/>
              </w:rPr>
            </w:pPr>
            <w:r>
              <w:rPr>
                <w:rFonts w:hint="eastAsia" w:ascii="宋体" w:hAnsi="宋体" w:cs="宋体"/>
                <w:sz w:val="24"/>
                <w:szCs w:val="24"/>
              </w:rPr>
              <w:t>5.2</w:t>
            </w:r>
          </w:p>
          <w:p>
            <w:pPr>
              <w:jc w:val="left"/>
              <w:rPr>
                <w:rFonts w:ascii="宋体" w:hAnsi="宋体" w:cs="宋体"/>
                <w:sz w:val="24"/>
                <w:szCs w:val="24"/>
              </w:rPr>
            </w:pPr>
          </w:p>
        </w:tc>
        <w:tc>
          <w:tcPr>
            <w:tcW w:w="10684" w:type="dxa"/>
          </w:tcPr>
          <w:p>
            <w:pPr>
              <w:jc w:val="left"/>
              <w:rPr>
                <w:rFonts w:ascii="宋体" w:hAnsi="宋体" w:cs="宋体"/>
                <w:sz w:val="24"/>
                <w:szCs w:val="24"/>
              </w:rPr>
            </w:pPr>
            <w:r>
              <w:rPr>
                <w:rFonts w:hint="eastAsia" w:ascii="宋体" w:hAnsi="宋体" w:cs="宋体"/>
                <w:sz w:val="24"/>
                <w:szCs w:val="24"/>
              </w:rPr>
              <w:t>本公</w:t>
            </w:r>
            <w:r>
              <w:rPr>
                <w:rFonts w:hint="eastAsia" w:ascii="宋体" w:hAnsi="宋体" w:cs="宋体"/>
                <w:sz w:val="24"/>
                <w:szCs w:val="24"/>
                <w:u w:val="single"/>
              </w:rPr>
              <w:t>司质量、环境、职业健康安全、能源方针是</w:t>
            </w:r>
            <w:r>
              <w:rPr>
                <w:rFonts w:hint="eastAsia" w:ascii="宋体" w:hAnsi="宋体" w:cs="宋体"/>
                <w:sz w:val="24"/>
                <w:szCs w:val="24"/>
              </w:rPr>
              <w:t>：</w:t>
            </w:r>
          </w:p>
          <w:p>
            <w:pPr>
              <w:adjustRightInd w:val="0"/>
              <w:snapToGrid w:val="0"/>
              <w:spacing w:line="276" w:lineRule="auto"/>
              <w:ind w:firstLine="480" w:firstLineChars="200"/>
              <w:rPr>
                <w:rFonts w:ascii="宋体" w:hAnsi="宋体" w:cs="宋体"/>
                <w:sz w:val="24"/>
                <w:szCs w:val="24"/>
                <w:u w:val="single"/>
              </w:rPr>
            </w:pPr>
            <w:r>
              <w:rPr>
                <w:rFonts w:hint="eastAsia" w:ascii="宋体" w:hAnsi="宋体" w:cs="宋体"/>
                <w:sz w:val="24"/>
                <w:szCs w:val="24"/>
                <w:u w:val="single"/>
              </w:rPr>
              <w:t>质量方针：精益求精，保质保量、顾客满意，协同发展。</w:t>
            </w:r>
          </w:p>
          <w:p>
            <w:pPr>
              <w:adjustRightInd w:val="0"/>
              <w:snapToGrid w:val="0"/>
              <w:spacing w:line="276" w:lineRule="auto"/>
              <w:ind w:firstLine="480" w:firstLineChars="200"/>
              <w:rPr>
                <w:rFonts w:ascii="宋体" w:hAnsi="宋体" w:cs="宋体"/>
                <w:sz w:val="24"/>
                <w:szCs w:val="24"/>
                <w:u w:val="single"/>
              </w:rPr>
            </w:pPr>
            <w:r>
              <w:rPr>
                <w:rFonts w:hint="eastAsia" w:ascii="宋体" w:hAnsi="宋体" w:cs="宋体"/>
                <w:sz w:val="24"/>
                <w:szCs w:val="24"/>
                <w:u w:val="single"/>
              </w:rPr>
              <w:t>环境方针：预防为主、防治结合、综合治理、保护环境。</w:t>
            </w:r>
          </w:p>
          <w:p>
            <w:pPr>
              <w:adjustRightInd w:val="0"/>
              <w:snapToGrid w:val="0"/>
              <w:spacing w:line="276" w:lineRule="auto"/>
              <w:ind w:firstLine="480" w:firstLineChars="200"/>
              <w:rPr>
                <w:rFonts w:ascii="宋体" w:hAnsi="宋体" w:cs="宋体"/>
                <w:sz w:val="24"/>
                <w:szCs w:val="24"/>
                <w:u w:val="single"/>
              </w:rPr>
            </w:pPr>
            <w:r>
              <w:rPr>
                <w:rFonts w:hint="eastAsia" w:ascii="宋体" w:hAnsi="宋体" w:cs="宋体"/>
                <w:sz w:val="24"/>
                <w:szCs w:val="24"/>
                <w:u w:val="single"/>
              </w:rPr>
              <w:t>职业健康安全方针：以人为本、关爱生命、遵章守纪、保障安全。</w:t>
            </w:r>
          </w:p>
          <w:p>
            <w:pPr>
              <w:adjustRightInd w:val="0"/>
              <w:snapToGrid w:val="0"/>
              <w:spacing w:line="276" w:lineRule="auto"/>
              <w:ind w:firstLine="480" w:firstLineChars="200"/>
              <w:rPr>
                <w:rFonts w:ascii="宋体" w:hAnsi="宋体" w:cs="宋体"/>
                <w:sz w:val="24"/>
                <w:szCs w:val="24"/>
                <w:u w:val="single"/>
              </w:rPr>
            </w:pPr>
            <w:r>
              <w:rPr>
                <w:rFonts w:hint="eastAsia" w:ascii="宋体" w:hAnsi="宋体" w:cs="宋体"/>
                <w:sz w:val="24"/>
                <w:szCs w:val="24"/>
                <w:u w:val="single"/>
              </w:rPr>
              <w:t>能源方针：依法节能、持续改进、降低能耗、提高能效。</w:t>
            </w:r>
          </w:p>
          <w:p>
            <w:pPr>
              <w:jc w:val="left"/>
              <w:rPr>
                <w:rFonts w:ascii="宋体" w:hAnsi="宋体" w:cs="宋体"/>
                <w:sz w:val="24"/>
                <w:szCs w:val="24"/>
              </w:rPr>
            </w:pPr>
            <w:r>
              <w:rPr>
                <w:rFonts w:hint="eastAsia" w:ascii="宋体" w:hAnsi="宋体" w:cs="宋体"/>
                <w:sz w:val="24"/>
                <w:szCs w:val="24"/>
              </w:rPr>
              <w:t>——查其内容基本适应组织的宗旨和环境并支持其战略方向；为制定质量目标提供框架；包括满足适用要求的承诺；包括持续改进质量管理体系的承诺，内容基本符合标准要求。</w:t>
            </w:r>
          </w:p>
          <w:p>
            <w:pPr>
              <w:jc w:val="left"/>
              <w:rPr>
                <w:rFonts w:ascii="宋体" w:hAnsi="宋体" w:cs="宋体"/>
                <w:sz w:val="24"/>
                <w:szCs w:val="24"/>
              </w:rPr>
            </w:pPr>
            <w:r>
              <w:rPr>
                <w:rFonts w:hint="eastAsia" w:ascii="宋体" w:hAnsi="宋体" w:cs="宋体"/>
                <w:sz w:val="24"/>
                <w:szCs w:val="24"/>
              </w:rPr>
              <w:t>查质量方针已经形成文件，并在组织内得到沟通、理解和应用；在适宜时，可向有关相关方提供；</w:t>
            </w:r>
          </w:p>
        </w:tc>
        <w:tc>
          <w:tcPr>
            <w:tcW w:w="905" w:type="dxa"/>
          </w:tc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2160" w:type="dxa"/>
          </w:tcPr>
          <w:p>
            <w:pPr>
              <w:jc w:val="left"/>
              <w:rPr>
                <w:rFonts w:ascii="宋体" w:hAnsi="宋体" w:cs="宋体"/>
                <w:sz w:val="24"/>
                <w:szCs w:val="24"/>
              </w:rPr>
            </w:pPr>
            <w:r>
              <w:rPr>
                <w:rFonts w:hint="eastAsia" w:ascii="宋体" w:hAnsi="宋体" w:cs="宋体"/>
                <w:sz w:val="24"/>
                <w:szCs w:val="24"/>
              </w:rPr>
              <w:t>组织的岗位、职责和权限</w:t>
            </w:r>
          </w:p>
          <w:p>
            <w:pPr>
              <w:jc w:val="left"/>
              <w:rPr>
                <w:rFonts w:ascii="宋体" w:hAnsi="宋体" w:cs="宋体"/>
                <w:sz w:val="24"/>
                <w:szCs w:val="24"/>
              </w:rPr>
            </w:pP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jc w:val="left"/>
              <w:rPr>
                <w:rFonts w:ascii="宋体" w:hAnsi="宋体" w:cs="宋体"/>
                <w:sz w:val="24"/>
                <w:szCs w:val="24"/>
              </w:rPr>
            </w:pPr>
            <w:r>
              <w:rPr>
                <w:rFonts w:hint="eastAsia" w:ascii="宋体" w:hAnsi="宋体" w:cs="宋体"/>
                <w:sz w:val="24"/>
                <w:szCs w:val="24"/>
              </w:rPr>
              <w:t xml:space="preserve">5.3 </w:t>
            </w:r>
          </w:p>
          <w:p>
            <w:pPr>
              <w:jc w:val="left"/>
              <w:rPr>
                <w:rFonts w:ascii="宋体" w:hAnsi="宋体" w:cs="宋体"/>
                <w:sz w:val="24"/>
                <w:szCs w:val="24"/>
              </w:rPr>
            </w:pPr>
          </w:p>
        </w:tc>
        <w:tc>
          <w:tcPr>
            <w:tcW w:w="10684" w:type="dxa"/>
          </w:tcPr>
          <w:p>
            <w:pPr>
              <w:jc w:val="left"/>
            </w:pPr>
            <w:r>
              <w:rPr>
                <w:rFonts w:hint="eastAsia" w:ascii="宋体" w:hAnsi="宋体" w:cs="宋体"/>
                <w:sz w:val="24"/>
                <w:szCs w:val="24"/>
              </w:rPr>
              <w:t>为保证管理体系的有效运行，本着精干高效的原则，公司设置了科学合理的管理体系组织机构，并规定的各部门的职责权限，组织机构图和职能分配表见本管理手册附录。在设定公司组织机构及部门职责权限的基础上，总经理责成各部门制定并实施部门的《岗位职责》，以明确规定各部门内部各类人员的职责、权限，以确保管理体系符合标准的要求、确保各过程获得其预期输出，不在此叙述。总经理在公司高层领导中指定一名管理体系的管理者代表，其在管理体系中职责权限规定。党政办公室应通过文件发放、人员培训等方式确保全体员工充分理解本岗位的职责权限。</w:t>
            </w:r>
          </w:p>
        </w:tc>
        <w:tc>
          <w:tcPr>
            <w:tcW w:w="905" w:type="dxa"/>
          </w:tc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2160" w:type="dxa"/>
          </w:tcPr>
          <w:p>
            <w:pPr>
              <w:jc w:val="left"/>
              <w:rPr>
                <w:rFonts w:ascii="宋体" w:hAnsi="宋体" w:cs="宋体"/>
                <w:sz w:val="24"/>
              </w:rPr>
            </w:pPr>
            <w:r>
              <w:rPr>
                <w:rFonts w:hint="eastAsia" w:ascii="宋体" w:hAnsi="宋体" w:cs="宋体"/>
                <w:sz w:val="24"/>
              </w:rPr>
              <w:t>员工的参与和协商</w:t>
            </w:r>
          </w:p>
          <w:p/>
        </w:tc>
        <w:tc>
          <w:tcPr>
            <w:tcW w:w="960" w:type="dxa"/>
          </w:tcPr>
          <w:p>
            <w:pPr>
              <w:jc w:val="left"/>
              <w:rPr>
                <w:rFonts w:ascii="宋体" w:hAnsi="宋体" w:cs="宋体"/>
                <w:sz w:val="24"/>
                <w:szCs w:val="24"/>
              </w:rPr>
            </w:pPr>
            <w:r>
              <w:rPr>
                <w:rFonts w:hint="eastAsia" w:ascii="宋体" w:hAnsi="宋体" w:cs="宋体"/>
                <w:sz w:val="24"/>
                <w:szCs w:val="24"/>
              </w:rPr>
              <w:t>5.4 （O）</w:t>
            </w:r>
          </w:p>
          <w:p>
            <w:pPr>
              <w:jc w:val="left"/>
              <w:rPr>
                <w:rFonts w:ascii="宋体" w:hAnsi="宋体" w:cs="宋体"/>
                <w:sz w:val="24"/>
                <w:szCs w:val="24"/>
              </w:rPr>
            </w:pPr>
          </w:p>
        </w:tc>
        <w:tc>
          <w:tcPr>
            <w:tcW w:w="10684" w:type="dxa"/>
          </w:tcPr>
          <w:p>
            <w:pPr>
              <w:jc w:val="left"/>
              <w:rPr>
                <w:rFonts w:ascii="宋体" w:hAnsi="宋体" w:cs="宋体"/>
                <w:sz w:val="24"/>
                <w:szCs w:val="24"/>
              </w:rPr>
            </w:pPr>
            <w:r>
              <w:rPr>
                <w:rFonts w:hint="eastAsia" w:ascii="宋体" w:hAnsi="宋体" w:cs="宋体"/>
                <w:sz w:val="24"/>
                <w:szCs w:val="24"/>
              </w:rPr>
              <w:t>确定员工参与和协商的方式：</w:t>
            </w:r>
          </w:p>
          <w:p>
            <w:pPr>
              <w:jc w:val="left"/>
              <w:rPr>
                <w:rFonts w:ascii="宋体" w:hAnsi="宋体" w:cs="宋体"/>
                <w:sz w:val="24"/>
                <w:szCs w:val="24"/>
              </w:rPr>
            </w:pPr>
            <w:r>
              <w:rPr>
                <w:rFonts w:hint="eastAsia" w:ascii="宋体" w:hAnsi="宋体" w:cs="宋体"/>
                <w:sz w:val="24"/>
                <w:szCs w:val="24"/>
              </w:rPr>
              <w:t>确定了参与和协商提供所需的机制、时间、培训和资源包括设立了员工代表、成立工会、员工协商小组、时间、培训、人力物力财力基本满足。</w:t>
            </w:r>
          </w:p>
          <w:p>
            <w:pPr>
              <w:jc w:val="left"/>
              <w:rPr>
                <w:rFonts w:ascii="宋体" w:hAnsi="宋体" w:cs="宋体"/>
                <w:sz w:val="24"/>
                <w:szCs w:val="24"/>
              </w:rPr>
            </w:pPr>
            <w:r>
              <w:rPr>
                <w:rFonts w:hint="eastAsia" w:ascii="宋体" w:hAnsi="宋体" w:cs="宋体"/>
                <w:sz w:val="24"/>
                <w:szCs w:val="24"/>
              </w:rPr>
              <w:t>及时提供获取清晰的，易于理解的有关职业健康安全管理体系相关的信息的渠道——设立意见建议箱、提供公司内部邮件处理系统并及时反馈；</w:t>
            </w:r>
          </w:p>
          <w:p>
            <w:pPr>
              <w:jc w:val="left"/>
              <w:rPr>
                <w:rFonts w:ascii="宋体" w:hAnsi="宋体" w:cs="宋体"/>
                <w:sz w:val="24"/>
                <w:szCs w:val="24"/>
              </w:rPr>
            </w:pPr>
            <w:r>
              <w:rPr>
                <w:rFonts w:hint="eastAsia" w:ascii="宋体" w:hAnsi="宋体" w:cs="宋体"/>
                <w:sz w:val="24"/>
                <w:szCs w:val="24"/>
              </w:rPr>
              <w:t>另经询问得知：不存在包括对工作人员的意见或建议未作出响应,语言或文字障碍、报复或者报复性的威胁、以及防碍或不利于员工参与的制度或实践的障碍和屏障，现场也未发现类似情况的发生。</w:t>
            </w:r>
          </w:p>
          <w:p>
            <w:pPr>
              <w:jc w:val="left"/>
              <w:rPr>
                <w:rFonts w:ascii="宋体" w:hAnsi="宋体" w:cs="宋体"/>
                <w:sz w:val="24"/>
                <w:szCs w:val="24"/>
              </w:rPr>
            </w:pPr>
            <w:r>
              <w:rPr>
                <w:rFonts w:hint="eastAsia" w:ascii="宋体" w:hAnsi="宋体" w:cs="宋体"/>
                <w:sz w:val="24"/>
                <w:szCs w:val="24"/>
              </w:rPr>
              <w:t>另组织在下述方面强调非管理岗位员工的协商：</w:t>
            </w:r>
          </w:p>
          <w:p>
            <w:pPr>
              <w:jc w:val="left"/>
              <w:rPr>
                <w:rFonts w:ascii="宋体" w:hAnsi="宋体" w:cs="宋体"/>
                <w:sz w:val="24"/>
                <w:szCs w:val="24"/>
              </w:rPr>
            </w:pPr>
            <w:r>
              <w:rPr>
                <w:rFonts w:hint="eastAsia" w:ascii="宋体" w:hAnsi="宋体" w:cs="宋体"/>
                <w:sz w:val="24"/>
                <w:szCs w:val="24"/>
              </w:rPr>
              <w:t>确定相关方的需求和期望 ；</w:t>
            </w:r>
          </w:p>
          <w:p>
            <w:pPr>
              <w:jc w:val="left"/>
              <w:rPr>
                <w:rFonts w:ascii="宋体" w:hAnsi="宋体" w:cs="宋体"/>
                <w:sz w:val="24"/>
                <w:szCs w:val="24"/>
              </w:rPr>
            </w:pPr>
            <w:r>
              <w:rPr>
                <w:rFonts w:hint="eastAsia" w:ascii="宋体" w:hAnsi="宋体" w:cs="宋体"/>
                <w:sz w:val="24"/>
                <w:szCs w:val="24"/>
              </w:rPr>
              <w:t>制定职业健康安全方针 ；</w:t>
            </w:r>
          </w:p>
          <w:p>
            <w:pPr>
              <w:jc w:val="left"/>
              <w:rPr>
                <w:rFonts w:ascii="宋体" w:hAnsi="宋体" w:cs="宋体"/>
                <w:sz w:val="24"/>
                <w:szCs w:val="24"/>
              </w:rPr>
            </w:pPr>
            <w:r>
              <w:rPr>
                <w:rFonts w:hint="eastAsia" w:ascii="宋体" w:hAnsi="宋体" w:cs="宋体"/>
                <w:sz w:val="24"/>
                <w:szCs w:val="24"/>
              </w:rPr>
              <w:t>适用时，分配组织的角色、职责和权限 ；</w:t>
            </w:r>
          </w:p>
          <w:p>
            <w:pPr>
              <w:jc w:val="left"/>
              <w:rPr>
                <w:rFonts w:ascii="宋体" w:hAnsi="宋体" w:cs="宋体"/>
                <w:sz w:val="24"/>
                <w:szCs w:val="24"/>
              </w:rPr>
            </w:pPr>
            <w:r>
              <w:rPr>
                <w:rFonts w:hint="eastAsia" w:ascii="宋体" w:hAnsi="宋体" w:cs="宋体"/>
                <w:sz w:val="24"/>
                <w:szCs w:val="24"/>
              </w:rPr>
              <w:t>确定如何履行法律法规要求和其他要求 ；</w:t>
            </w:r>
          </w:p>
          <w:p>
            <w:pPr>
              <w:jc w:val="left"/>
              <w:rPr>
                <w:rFonts w:ascii="宋体" w:hAnsi="宋体" w:cs="宋体"/>
                <w:sz w:val="24"/>
                <w:szCs w:val="24"/>
              </w:rPr>
            </w:pPr>
            <w:r>
              <w:rPr>
                <w:rFonts w:hint="eastAsia" w:ascii="宋体" w:hAnsi="宋体" w:cs="宋体"/>
                <w:sz w:val="24"/>
                <w:szCs w:val="24"/>
              </w:rPr>
              <w:t>制定职业健康安全目标和实现目标的策划 ；</w:t>
            </w:r>
          </w:p>
          <w:p>
            <w:pPr>
              <w:jc w:val="left"/>
              <w:rPr>
                <w:rFonts w:ascii="宋体" w:hAnsi="宋体" w:cs="宋体"/>
                <w:sz w:val="24"/>
                <w:szCs w:val="24"/>
              </w:rPr>
            </w:pPr>
            <w:r>
              <w:rPr>
                <w:rFonts w:hint="eastAsia" w:ascii="宋体" w:hAnsi="宋体" w:cs="宋体"/>
                <w:sz w:val="24"/>
                <w:szCs w:val="24"/>
              </w:rPr>
              <w:t>对外包、采购和承包商确定适用的的控制 ；</w:t>
            </w:r>
          </w:p>
          <w:p>
            <w:pPr>
              <w:jc w:val="left"/>
              <w:rPr>
                <w:rFonts w:ascii="宋体" w:hAnsi="宋体" w:cs="宋体"/>
                <w:sz w:val="24"/>
                <w:szCs w:val="24"/>
              </w:rPr>
            </w:pPr>
            <w:r>
              <w:rPr>
                <w:rFonts w:hint="eastAsia" w:ascii="宋体" w:hAnsi="宋体" w:cs="宋体"/>
                <w:sz w:val="24"/>
                <w:szCs w:val="24"/>
              </w:rPr>
              <w:t>确定需要监视、测量和评价的内容 ；</w:t>
            </w:r>
          </w:p>
          <w:p>
            <w:pPr>
              <w:jc w:val="left"/>
              <w:rPr>
                <w:rFonts w:ascii="宋体" w:hAnsi="宋体" w:cs="宋体"/>
                <w:sz w:val="24"/>
                <w:szCs w:val="24"/>
              </w:rPr>
            </w:pPr>
            <w:r>
              <w:rPr>
                <w:rFonts w:hint="eastAsia" w:ascii="宋体" w:hAnsi="宋体" w:cs="宋体"/>
                <w:sz w:val="24"/>
                <w:szCs w:val="24"/>
              </w:rPr>
              <w:t>策划、建立、实施并保持审核方案 ；</w:t>
            </w:r>
          </w:p>
          <w:p>
            <w:pPr>
              <w:jc w:val="left"/>
              <w:rPr>
                <w:rFonts w:ascii="宋体" w:hAnsi="宋体" w:cs="宋体"/>
                <w:sz w:val="24"/>
                <w:szCs w:val="24"/>
              </w:rPr>
            </w:pPr>
            <w:r>
              <w:rPr>
                <w:rFonts w:hint="eastAsia" w:ascii="宋体" w:hAnsi="宋体" w:cs="宋体"/>
                <w:sz w:val="24"/>
                <w:szCs w:val="24"/>
              </w:rPr>
              <w:t>确保持续改进 。</w:t>
            </w:r>
          </w:p>
          <w:p>
            <w:pPr>
              <w:jc w:val="left"/>
              <w:rPr>
                <w:rFonts w:ascii="宋体" w:hAnsi="宋体" w:cs="宋体"/>
                <w:sz w:val="24"/>
                <w:szCs w:val="24"/>
              </w:rPr>
            </w:pPr>
            <w:r>
              <w:rPr>
                <w:rFonts w:hint="eastAsia" w:ascii="宋体" w:hAnsi="宋体" w:cs="宋体"/>
                <w:sz w:val="24"/>
                <w:szCs w:val="24"/>
              </w:rPr>
              <w:t>在下述方面强调非管理岗位员工的参与：</w:t>
            </w:r>
          </w:p>
          <w:p>
            <w:pPr>
              <w:jc w:val="left"/>
              <w:rPr>
                <w:rFonts w:ascii="宋体" w:hAnsi="宋体" w:cs="宋体"/>
                <w:sz w:val="24"/>
                <w:szCs w:val="24"/>
              </w:rPr>
            </w:pPr>
            <w:r>
              <w:rPr>
                <w:rFonts w:hint="eastAsia" w:ascii="宋体" w:hAnsi="宋体" w:cs="宋体"/>
                <w:sz w:val="24"/>
                <w:szCs w:val="24"/>
              </w:rPr>
              <w:t>确定使他们参与和协商的机制；</w:t>
            </w:r>
          </w:p>
          <w:p>
            <w:pPr>
              <w:jc w:val="left"/>
              <w:rPr>
                <w:rFonts w:ascii="宋体" w:hAnsi="宋体" w:cs="宋体"/>
                <w:sz w:val="24"/>
                <w:szCs w:val="24"/>
              </w:rPr>
            </w:pPr>
            <w:r>
              <w:rPr>
                <w:rFonts w:hint="eastAsia" w:ascii="宋体" w:hAnsi="宋体" w:cs="宋体"/>
                <w:sz w:val="24"/>
                <w:szCs w:val="24"/>
              </w:rPr>
              <w:t>辨识危险源及评价风险和机遇 ；</w:t>
            </w:r>
          </w:p>
          <w:p>
            <w:pPr>
              <w:jc w:val="left"/>
              <w:rPr>
                <w:rFonts w:ascii="宋体" w:hAnsi="宋体" w:cs="宋体"/>
                <w:sz w:val="24"/>
                <w:szCs w:val="24"/>
              </w:rPr>
            </w:pPr>
            <w:r>
              <w:rPr>
                <w:rFonts w:hint="eastAsia" w:ascii="宋体" w:hAnsi="宋体" w:cs="宋体"/>
                <w:sz w:val="24"/>
                <w:szCs w:val="24"/>
              </w:rPr>
              <w:t>确定消除危险源以及降低职业健康安全风险的措施 ；</w:t>
            </w:r>
          </w:p>
          <w:p>
            <w:pPr>
              <w:jc w:val="left"/>
              <w:rPr>
                <w:rFonts w:ascii="宋体" w:hAnsi="宋体" w:cs="宋体"/>
                <w:sz w:val="24"/>
                <w:szCs w:val="24"/>
              </w:rPr>
            </w:pPr>
            <w:r>
              <w:rPr>
                <w:rFonts w:hint="eastAsia" w:ascii="宋体" w:hAnsi="宋体" w:cs="宋体"/>
                <w:sz w:val="24"/>
                <w:szCs w:val="24"/>
              </w:rPr>
              <w:t>确定能力要求、培训需求、培训以及对培训进行评价 ；</w:t>
            </w:r>
          </w:p>
          <w:p>
            <w:pPr>
              <w:jc w:val="left"/>
              <w:rPr>
                <w:rFonts w:ascii="宋体" w:hAnsi="宋体" w:cs="宋体"/>
                <w:sz w:val="24"/>
                <w:szCs w:val="24"/>
              </w:rPr>
            </w:pPr>
            <w:r>
              <w:rPr>
                <w:rFonts w:hint="eastAsia" w:ascii="宋体" w:hAnsi="宋体" w:cs="宋体"/>
                <w:sz w:val="24"/>
                <w:szCs w:val="24"/>
              </w:rPr>
              <w:t>确定需要沟通的内容以及如何进行沟通 ；</w:t>
            </w:r>
          </w:p>
          <w:p>
            <w:pPr>
              <w:jc w:val="left"/>
              <w:rPr>
                <w:rFonts w:ascii="宋体" w:hAnsi="宋体" w:cs="宋体"/>
                <w:sz w:val="24"/>
                <w:szCs w:val="24"/>
              </w:rPr>
            </w:pPr>
            <w:r>
              <w:rPr>
                <w:rFonts w:hint="eastAsia" w:ascii="宋体" w:hAnsi="宋体" w:cs="宋体"/>
                <w:sz w:val="24"/>
                <w:szCs w:val="24"/>
              </w:rPr>
              <w:t>确定控制措施以及这些措施的有效实施和应用 ；</w:t>
            </w:r>
          </w:p>
          <w:p>
            <w:pPr>
              <w:jc w:val="left"/>
              <w:rPr>
                <w:rFonts w:ascii="宋体" w:hAnsi="宋体" w:cs="宋体"/>
                <w:sz w:val="24"/>
                <w:szCs w:val="24"/>
              </w:rPr>
            </w:pPr>
            <w:r>
              <w:rPr>
                <w:rFonts w:hint="eastAsia" w:ascii="宋体" w:hAnsi="宋体" w:cs="宋体"/>
                <w:sz w:val="24"/>
                <w:szCs w:val="24"/>
              </w:rPr>
              <w:t>对事件和不符合进行调查以及确定纠正措施。</w:t>
            </w:r>
          </w:p>
          <w:p>
            <w:pPr>
              <w:jc w:val="left"/>
              <w:rPr>
                <w:rFonts w:ascii="宋体" w:hAnsi="宋体" w:cs="宋体"/>
                <w:sz w:val="24"/>
                <w:szCs w:val="24"/>
              </w:rPr>
            </w:pPr>
            <w:r>
              <w:rPr>
                <w:rFonts w:hint="eastAsia" w:ascii="宋体" w:hAnsi="宋体" w:cs="宋体"/>
                <w:sz w:val="24"/>
                <w:szCs w:val="24"/>
              </w:rPr>
              <w:t>另根据安全生产法相关内容要求参与和协商：</w:t>
            </w:r>
          </w:p>
          <w:p>
            <w:pPr>
              <w:jc w:val="left"/>
              <w:rPr>
                <w:rFonts w:ascii="宋体" w:hAnsi="宋体" w:cs="宋体"/>
                <w:sz w:val="24"/>
                <w:szCs w:val="24"/>
              </w:rPr>
            </w:pPr>
            <w:r>
              <w:rPr>
                <w:rFonts w:hint="eastAsia" w:ascii="宋体" w:hAnsi="宋体" w:cs="宋体"/>
                <w:sz w:val="24"/>
                <w:szCs w:val="24"/>
              </w:rPr>
              <w:t>内部协商和参与：适当参与危险源辨识、风险评估、控制措施的确定的、适当参与事件调查的；参与职业健康方针和目标制定和评审；对影响他们职业健康安全的任何变化进行协商；对职业健康安全事物发表意见的；</w:t>
            </w:r>
          </w:p>
          <w:p>
            <w:pPr>
              <w:jc w:val="left"/>
              <w:rPr>
                <w:rFonts w:ascii="宋体" w:hAnsi="宋体" w:cs="宋体"/>
                <w:sz w:val="24"/>
                <w:szCs w:val="24"/>
              </w:rPr>
            </w:pPr>
            <w:r>
              <w:rPr>
                <w:rFonts w:hint="eastAsia" w:ascii="宋体" w:hAnsi="宋体" w:cs="宋体"/>
                <w:sz w:val="24"/>
                <w:szCs w:val="24"/>
              </w:rPr>
              <w:t>与承包方的协商：新的或不熟悉的危险源、新的或改进的控制措施；材料、设备、有害暴露等的变化；应急安排的变化；法律法规和其他要求的变化等；</w:t>
            </w:r>
          </w:p>
        </w:tc>
        <w:tc>
          <w:tcPr>
            <w:tcW w:w="90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jc w:val="left"/>
              <w:rPr>
                <w:rFonts w:ascii="宋体" w:hAnsi="宋体" w:cs="宋体"/>
                <w:sz w:val="24"/>
                <w:szCs w:val="24"/>
              </w:rPr>
            </w:pPr>
            <w:r>
              <w:rPr>
                <w:rFonts w:hint="eastAsia" w:ascii="宋体" w:hAnsi="宋体" w:cs="宋体"/>
                <w:sz w:val="24"/>
                <w:szCs w:val="24"/>
              </w:rPr>
              <w:t>应对风险和机遇的措施</w:t>
            </w:r>
          </w:p>
          <w:p>
            <w:pPr>
              <w:jc w:val="left"/>
              <w:rPr>
                <w:rFonts w:ascii="宋体" w:hAnsi="宋体" w:cs="宋体"/>
                <w:sz w:val="24"/>
                <w:szCs w:val="24"/>
              </w:rPr>
            </w:pPr>
          </w:p>
        </w:tc>
        <w:tc>
          <w:tcPr>
            <w:tcW w:w="960" w:type="dxa"/>
          </w:tcPr>
          <w:p>
            <w:pPr>
              <w:snapToGrid w:val="0"/>
              <w:spacing w:line="260" w:lineRule="exact"/>
              <w:rPr>
                <w:rFonts w:ascii="宋体" w:hAnsi="宋体" w:cs="宋体"/>
                <w:sz w:val="24"/>
                <w:szCs w:val="24"/>
              </w:rPr>
            </w:pPr>
            <w:r>
              <w:rPr>
                <w:rFonts w:hint="eastAsia" w:ascii="宋体" w:hAnsi="宋体" w:cs="宋体"/>
                <w:sz w:val="24"/>
                <w:szCs w:val="24"/>
              </w:rPr>
              <w:t>QESEn:</w:t>
            </w:r>
          </w:p>
          <w:p>
            <w:pPr>
              <w:jc w:val="left"/>
              <w:rPr>
                <w:rFonts w:ascii="宋体" w:hAnsi="宋体" w:cs="宋体"/>
                <w:sz w:val="24"/>
                <w:szCs w:val="24"/>
              </w:rPr>
            </w:pPr>
            <w:r>
              <w:rPr>
                <w:rFonts w:hint="eastAsia" w:ascii="宋体" w:hAnsi="宋体" w:cs="宋体"/>
                <w:sz w:val="24"/>
                <w:szCs w:val="24"/>
              </w:rPr>
              <w:t>6.1</w:t>
            </w:r>
            <w:r>
              <w:rPr>
                <w:rFonts w:ascii="宋体" w:hAnsi="宋体" w:cs="宋体"/>
                <w:sz w:val="24"/>
                <w:szCs w:val="24"/>
              </w:rPr>
              <w:t>.1</w:t>
            </w:r>
          </w:p>
          <w:p>
            <w:pPr>
              <w:jc w:val="left"/>
              <w:rPr>
                <w:rFonts w:ascii="宋体" w:hAnsi="宋体" w:cs="宋体"/>
                <w:sz w:val="24"/>
                <w:szCs w:val="24"/>
              </w:rPr>
            </w:pPr>
          </w:p>
        </w:tc>
        <w:tc>
          <w:tcPr>
            <w:tcW w:w="10684" w:type="dxa"/>
          </w:tcPr>
          <w:p>
            <w:pPr>
              <w:jc w:val="left"/>
              <w:rPr>
                <w:rFonts w:ascii="宋体" w:hAnsi="宋体" w:cs="宋体"/>
                <w:sz w:val="24"/>
                <w:szCs w:val="24"/>
              </w:rPr>
            </w:pPr>
            <w:r>
              <w:rPr>
                <w:rFonts w:hint="eastAsia" w:ascii="宋体" w:hAnsi="宋体" w:cs="宋体"/>
                <w:sz w:val="24"/>
                <w:szCs w:val="24"/>
              </w:rPr>
              <w:t>编制了《风险和机遇控制程序》、《风险与机遇评价及应对措施策划表》、在确定风险机遇时考虑到了“内外部因素、环境问题、合规义务、相关方及其需求、风险类别、风险机遇描述、应对措施的策划、措施有效性评价、执行和责任部门”、及“所处的环境”、“所提及的议题”、“相关方”所提及的要求和 “职业健康安全管理体系范围”，并确定所需应对的风险和机遇 ；另查组织还考虑了：“危险源、职业健康安全风险和其他风险、职业健康安全机遇和其他机遇、法律法规要求和其他要求”等内容；</w:t>
            </w:r>
          </w:p>
          <w:p>
            <w:pPr>
              <w:jc w:val="left"/>
              <w:rPr>
                <w:rFonts w:ascii="宋体" w:hAnsi="宋体" w:cs="宋体"/>
                <w:sz w:val="24"/>
                <w:szCs w:val="24"/>
              </w:rPr>
            </w:pPr>
            <w:r>
              <w:rPr>
                <w:rFonts w:hint="eastAsia" w:ascii="宋体" w:hAnsi="宋体" w:cs="宋体"/>
                <w:sz w:val="24"/>
                <w:szCs w:val="24"/>
              </w:rPr>
              <w:t>识别的环境、安全风险21项包括“战略决策风险、环境风险、财务风险、管理风险、经营风险、政策、合规义务、顾客满意、有意环境影响、有害环境影响、质量投诉、履约、市场监督管理、相关方影响”等；</w:t>
            </w:r>
          </w:p>
          <w:p>
            <w:pPr>
              <w:jc w:val="left"/>
              <w:rPr>
                <w:rFonts w:ascii="宋体" w:hAnsi="宋体" w:cs="宋体"/>
                <w:sz w:val="24"/>
                <w:szCs w:val="24"/>
              </w:rPr>
            </w:pPr>
            <w:r>
              <w:rPr>
                <w:rFonts w:hint="eastAsia" w:ascii="宋体" w:hAnsi="宋体" w:cs="宋体"/>
                <w:sz w:val="24"/>
                <w:szCs w:val="24"/>
              </w:rPr>
              <w:t>相应的控制措施为：“避免风险、 承担风险、消除风险源、改变风险的可能性和后果、分担风险、延缓风险”等；</w:t>
            </w:r>
          </w:p>
          <w:p>
            <w:pPr>
              <w:jc w:val="left"/>
              <w:rPr>
                <w:rFonts w:ascii="宋体" w:hAnsi="宋体" w:cs="宋体"/>
                <w:sz w:val="24"/>
                <w:szCs w:val="24"/>
              </w:rPr>
            </w:pPr>
            <w:r>
              <w:rPr>
                <w:rFonts w:hint="eastAsia" w:ascii="宋体" w:hAnsi="宋体" w:cs="宋体"/>
                <w:sz w:val="24"/>
                <w:szCs w:val="24"/>
              </w:rPr>
              <w:t>通过应对措施将风险转换为机遇“采用新实践、推出新产品、开辟新市场、赢得新客户、建立合作伙伴关系、使用新技术以及能够解决组织或其顾客需求的其他有利可能性”等内容；</w:t>
            </w:r>
          </w:p>
          <w:p>
            <w:pPr>
              <w:jc w:val="left"/>
              <w:rPr>
                <w:rFonts w:ascii="宋体" w:hAnsi="宋体" w:cs="宋体"/>
                <w:sz w:val="24"/>
                <w:szCs w:val="24"/>
              </w:rPr>
            </w:pPr>
            <w:r>
              <w:rPr>
                <w:rFonts w:hint="eastAsia" w:ascii="宋体" w:hAnsi="宋体" w:cs="宋体"/>
                <w:sz w:val="24"/>
                <w:szCs w:val="24"/>
              </w:rPr>
              <w:t>措施评审结论“有效”、有责任部门和相关人员的评审和评价要求信息——查应对措施与其对产品和服务符合性的潜在影响基本相适应、文件有编审批、更新日期2021.6.26.；</w:t>
            </w:r>
          </w:p>
          <w:p>
            <w:pPr>
              <w:jc w:val="left"/>
              <w:rPr>
                <w:rFonts w:ascii="宋体" w:hAnsi="宋体" w:cs="宋体"/>
                <w:sz w:val="24"/>
                <w:szCs w:val="24"/>
              </w:rPr>
            </w:pPr>
            <w:r>
              <w:rPr>
                <w:rFonts w:hint="eastAsia" w:ascii="宋体" w:hAnsi="宋体" w:cs="宋体"/>
                <w:sz w:val="24"/>
                <w:szCs w:val="24"/>
              </w:rPr>
              <w:t xml:space="preserve">另查潜在紧急情况主要是“火灾”、相应的控制措施包括“日常巡查安检教育培训”等；查措施评价结论“有效”； </w:t>
            </w:r>
          </w:p>
        </w:tc>
        <w:tc>
          <w:tcPr>
            <w:tcW w:w="905" w:type="dxa"/>
          </w:tc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2160" w:type="dxa"/>
          </w:tcPr>
          <w:p>
            <w:pPr>
              <w:spacing w:line="0" w:lineRule="atLeast"/>
              <w:jc w:val="left"/>
            </w:pPr>
            <w:r>
              <w:rPr>
                <w:rFonts w:hint="eastAsia" w:ascii="宋体" w:hAnsi="宋体" w:cs="宋体"/>
                <w:color w:val="000000"/>
                <w:kern w:val="0"/>
                <w:sz w:val="24"/>
                <w:szCs w:val="24"/>
              </w:rPr>
              <w:t>变更</w:t>
            </w:r>
          </w:p>
        </w:tc>
        <w:tc>
          <w:tcPr>
            <w:tcW w:w="960"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u w:val="single"/>
              </w:rPr>
              <w:t>Q6.3</w:t>
            </w:r>
          </w:p>
        </w:tc>
        <w:tc>
          <w:tcPr>
            <w:tcW w:w="10684"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当公司确定对管理体系变更，或出现导致管理体系变更的情况，如法规、公司组织机构、生产工艺、设备设施等发生变化时。质量工艺技术部应组织有关部门及时对变更进行策划，写出相应的变更申请报告，经公司级主管领导批准后，组织有关部门按所策划的方式实施；在策划变更时应考虑：变更目的及其潜在后果； 管理体系的完整性； 资源的可获得性；职责和权限的分配或再分配；体系文件的增加、修订或删减。</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——查目前组织的《管理手册》（三标）、编号NMGCNL-SC-2022 ；版本：A/0</w:t>
            </w:r>
          </w:p>
        </w:tc>
        <w:tc>
          <w:tcPr>
            <w:tcW w:w="905" w:type="dxa"/>
          </w:tc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60"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 xml:space="preserve">资源 </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总则</w:t>
            </w:r>
          </w:p>
        </w:tc>
        <w:tc>
          <w:tcPr>
            <w:tcW w:w="960" w:type="dxa"/>
          </w:tcPr>
          <w:p>
            <w:pPr>
              <w:snapToGrid w:val="0"/>
              <w:spacing w:line="260" w:lineRule="exact"/>
              <w:rPr>
                <w:rFonts w:ascii="宋体" w:hAnsi="宋体" w:cs="宋体"/>
                <w:color w:val="000000"/>
                <w:kern w:val="0"/>
                <w:sz w:val="24"/>
                <w:szCs w:val="24"/>
              </w:rPr>
            </w:pPr>
            <w:r>
              <w:rPr>
                <w:rFonts w:hint="eastAsia" w:ascii="宋体" w:hAnsi="宋体" w:cs="宋体"/>
                <w:sz w:val="24"/>
                <w:szCs w:val="24"/>
              </w:rPr>
              <w:t>QESEn:</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 xml:space="preserve">7.1 </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7.1.1</w:t>
            </w:r>
          </w:p>
          <w:p>
            <w:pPr>
              <w:spacing w:line="0" w:lineRule="atLeast"/>
              <w:jc w:val="left"/>
              <w:rPr>
                <w:rFonts w:ascii="宋体" w:hAnsi="宋体" w:cs="宋体"/>
                <w:color w:val="000000"/>
                <w:kern w:val="0"/>
                <w:sz w:val="24"/>
                <w:szCs w:val="24"/>
              </w:rPr>
            </w:pPr>
          </w:p>
        </w:tc>
        <w:tc>
          <w:tcPr>
            <w:tcW w:w="10684" w:type="dxa"/>
          </w:tcPr>
          <w:p>
            <w:pPr>
              <w:jc w:val="left"/>
              <w:outlineLvl w:val="2"/>
              <w:rPr>
                <w:rFonts w:ascii="宋体" w:hAnsi="宋体"/>
                <w:sz w:val="24"/>
                <w:szCs w:val="22"/>
              </w:rPr>
            </w:pPr>
            <w:r>
              <w:rPr>
                <w:rFonts w:hint="eastAsia" w:ascii="宋体" w:hAnsi="宋体"/>
                <w:sz w:val="24"/>
                <w:szCs w:val="22"/>
              </w:rPr>
              <w:t>管理体系所需的资源包括人员、基础设施、各相关过程的运行环境、监视和测量资源、知识。</w:t>
            </w:r>
          </w:p>
          <w:p>
            <w:pPr>
              <w:jc w:val="left"/>
              <w:outlineLvl w:val="2"/>
              <w:rPr>
                <w:rFonts w:ascii="宋体" w:hAnsi="宋体"/>
                <w:sz w:val="24"/>
                <w:szCs w:val="22"/>
              </w:rPr>
            </w:pPr>
            <w:r>
              <w:rPr>
                <w:rFonts w:hint="eastAsia" w:ascii="宋体" w:hAnsi="宋体"/>
                <w:sz w:val="24"/>
                <w:szCs w:val="22"/>
              </w:rPr>
              <w:t>各部门应按各自的职责分工及时确定并提供为建立、实施、保持和持续改进管理体系所需的资源。并应充分考虑：a.现有内部资源的能力和局限性；b.需要从外部供方获得的资源；c.资源的质量、数量、何时提供等因素。</w:t>
            </w:r>
          </w:p>
          <w:p>
            <w:pPr>
              <w:jc w:val="left"/>
              <w:outlineLvl w:val="2"/>
              <w:rPr>
                <w:rFonts w:ascii="宋体" w:hAnsi="宋体" w:cs="宋体"/>
                <w:color w:val="000000"/>
                <w:kern w:val="0"/>
                <w:sz w:val="24"/>
                <w:szCs w:val="24"/>
              </w:rPr>
            </w:pPr>
            <w:r>
              <w:rPr>
                <w:rFonts w:hint="eastAsia" w:ascii="宋体" w:hAnsi="宋体"/>
                <w:sz w:val="24"/>
                <w:szCs w:val="22"/>
              </w:rPr>
              <w:t>——查目前组织的人力物力财力基本满足四标管理体系的要求；</w:t>
            </w:r>
          </w:p>
        </w:tc>
        <w:tc>
          <w:tcPr>
            <w:tcW w:w="905" w:type="dxa"/>
          </w:tcPr>
          <w:p/>
          <w:p>
            <w:pPr>
              <w:pStyle w:val="2"/>
            </w:pPr>
          </w:p>
          <w:p>
            <w:pPr>
              <w:pStyle w:val="2"/>
            </w:pPr>
            <w:r>
              <w:rPr>
                <w:rFonts w:hint="eastAsia"/>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60"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沟通交流</w:t>
            </w:r>
          </w:p>
        </w:tc>
        <w:tc>
          <w:tcPr>
            <w:tcW w:w="960"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QESEn:</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7.</w:t>
            </w:r>
            <w:r>
              <w:rPr>
                <w:rFonts w:ascii="宋体" w:hAnsi="宋体" w:cs="宋体"/>
                <w:color w:val="000000"/>
                <w:kern w:val="0"/>
                <w:sz w:val="24"/>
                <w:szCs w:val="24"/>
              </w:rPr>
              <w:t>4</w:t>
            </w:r>
            <w:r>
              <w:rPr>
                <w:rFonts w:hint="eastAsia" w:ascii="宋体" w:hAnsi="宋体" w:cs="宋体"/>
                <w:color w:val="000000"/>
                <w:kern w:val="0"/>
                <w:sz w:val="24"/>
                <w:szCs w:val="24"/>
              </w:rPr>
              <w:t xml:space="preserve"> </w:t>
            </w:r>
          </w:p>
        </w:tc>
        <w:tc>
          <w:tcPr>
            <w:tcW w:w="10684"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策划编制的程序文件《信息沟通控制程序》及管理手册的相关章节规定了企业内、外部沟通和员工就质量/环境职业健康安全事务/能源参与、协商的要求，经查阅和交谈符合标准要求。</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总经理负责在公司建立畅通的沟通渠道。管理者代表是公司内部和外部信息交流和沟通的负责人。综合部是公司内部和外部信息交流和协商的归口部门。负责与上级主管部门及周边单位的信息交流；负责与管理体系、法律法规等有关的内部和外部信息交流；供应部负责与采购供方、客户等相关方之间的沟通。各部门收集到有关职业健康安全方面的信息，包括法律法规等，及时向综合管理部反馈。业务经营部负责顾客要求方面的有关事宜的沟通。</w:t>
            </w:r>
          </w:p>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目前各项沟通都较为及时、顺畅、效果较好。</w:t>
            </w:r>
          </w:p>
        </w:tc>
        <w:tc>
          <w:tcPr>
            <w:tcW w:w="905" w:type="dxa"/>
          </w:tcPr>
          <w:p>
            <w:pPr>
              <w:spacing w:line="0" w:lineRule="atLeast"/>
              <w:jc w:val="left"/>
              <w:rPr>
                <w:rFonts w:ascii="宋体" w:hAnsi="宋体" w:cs="宋体"/>
                <w:color w:val="000000"/>
                <w:kern w:val="0"/>
                <w:sz w:val="24"/>
                <w:szCs w:val="24"/>
              </w:rPr>
            </w:pP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cs="宋体"/>
                <w:color w:val="000000"/>
                <w:sz w:val="24"/>
                <w:szCs w:val="24"/>
              </w:rPr>
            </w:pPr>
            <w:r>
              <w:rPr>
                <w:rFonts w:hint="eastAsia" w:ascii="宋体" w:hAnsi="宋体" w:cs="宋体"/>
                <w:color w:val="000000"/>
                <w:sz w:val="24"/>
                <w:szCs w:val="24"/>
              </w:rPr>
              <w:t>管理评审</w:t>
            </w:r>
          </w:p>
          <w:p/>
        </w:tc>
        <w:tc>
          <w:tcPr>
            <w:tcW w:w="960" w:type="dxa"/>
          </w:tcPr>
          <w:p>
            <w:pPr>
              <w:jc w:val="left"/>
              <w:outlineLvl w:val="2"/>
              <w:rPr>
                <w:rFonts w:ascii="宋体" w:hAnsi="宋体"/>
                <w:sz w:val="24"/>
                <w:szCs w:val="22"/>
              </w:rPr>
            </w:pPr>
            <w:r>
              <w:rPr>
                <w:rFonts w:hint="eastAsia" w:ascii="宋体" w:hAnsi="宋体"/>
                <w:sz w:val="24"/>
                <w:szCs w:val="22"/>
              </w:rPr>
              <w:t>QESEn</w:t>
            </w:r>
          </w:p>
          <w:p>
            <w:pPr>
              <w:jc w:val="left"/>
              <w:outlineLvl w:val="2"/>
              <w:rPr>
                <w:rFonts w:ascii="宋体" w:hAnsi="宋体"/>
                <w:sz w:val="24"/>
                <w:szCs w:val="22"/>
              </w:rPr>
            </w:pPr>
            <w:r>
              <w:rPr>
                <w:rFonts w:hint="eastAsia" w:ascii="宋体" w:hAnsi="宋体"/>
                <w:sz w:val="24"/>
                <w:szCs w:val="22"/>
              </w:rPr>
              <w:t xml:space="preserve">9.3 </w:t>
            </w:r>
          </w:p>
          <w:p>
            <w:pPr>
              <w:jc w:val="left"/>
              <w:outlineLvl w:val="2"/>
              <w:rPr>
                <w:rFonts w:ascii="宋体" w:hAnsi="宋体"/>
                <w:sz w:val="24"/>
                <w:szCs w:val="22"/>
              </w:rPr>
            </w:pPr>
          </w:p>
        </w:tc>
        <w:tc>
          <w:tcPr>
            <w:tcW w:w="10684" w:type="dxa"/>
          </w:tcPr>
          <w:p>
            <w:pPr>
              <w:jc w:val="left"/>
              <w:outlineLvl w:val="2"/>
              <w:rPr>
                <w:rFonts w:ascii="宋体" w:hAnsi="宋体" w:cs="宋体"/>
                <w:sz w:val="24"/>
                <w:szCs w:val="24"/>
                <w:highlight w:val="yellow"/>
              </w:rPr>
            </w:pPr>
            <w:r>
              <w:rPr>
                <w:rFonts w:hint="eastAsia" w:ascii="宋体" w:hAnsi="宋体"/>
                <w:sz w:val="24"/>
                <w:szCs w:val="22"/>
              </w:rPr>
              <w:t>提供《管评计划》日期202</w:t>
            </w:r>
            <w:r>
              <w:rPr>
                <w:rFonts w:ascii="宋体" w:hAnsi="宋体"/>
                <w:sz w:val="24"/>
                <w:szCs w:val="22"/>
              </w:rPr>
              <w:t>2</w:t>
            </w:r>
            <w:r>
              <w:rPr>
                <w:rFonts w:hint="eastAsia" w:ascii="宋体" w:hAnsi="宋体"/>
                <w:sz w:val="24"/>
                <w:szCs w:val="22"/>
              </w:rPr>
              <w:t>年1</w:t>
            </w:r>
            <w:r>
              <w:rPr>
                <w:rFonts w:ascii="宋体" w:hAnsi="宋体"/>
                <w:sz w:val="24"/>
                <w:szCs w:val="22"/>
              </w:rPr>
              <w:t>1</w:t>
            </w:r>
            <w:r>
              <w:rPr>
                <w:rFonts w:hint="eastAsia" w:ascii="宋体" w:hAnsi="宋体"/>
                <w:sz w:val="24"/>
                <w:szCs w:val="22"/>
              </w:rPr>
              <w:t>月15日、主持人：总经理 刘飞； 参加人：各部门负责人；提供《管评通知单》包括“管理层、综合部、工程技术部、生产部、机电部、安全部、销售部、财务部</w:t>
            </w:r>
            <w:r>
              <w:rPr>
                <w:rFonts w:hint="eastAsia" w:ascii="宋体" w:hAnsi="宋体" w:cs="宋体"/>
                <w:sz w:val="24"/>
                <w:szCs w:val="24"/>
              </w:rPr>
              <w:t>;</w:t>
            </w:r>
            <w:r>
              <w:rPr>
                <w:rFonts w:hint="eastAsia" w:ascii="宋体" w:hAnsi="宋体"/>
                <w:sz w:val="24"/>
                <w:szCs w:val="22"/>
              </w:rPr>
              <w:t>提供各部门的管评输入信息、和《管评报告》内容包括“各部门负责人参加了会议，会上体系负责人和各部门均按管理评审计划通知的要求对本部门工作做了汇报，围绕公司质量、环境、职业健康安全和能源管理方针、目标和指标对照现有组织机构、文件规定、各项管理工作及资源展开了讨论和评价，大家认为：</w:t>
            </w:r>
          </w:p>
          <w:p>
            <w:pPr>
              <w:jc w:val="left"/>
              <w:outlineLvl w:val="2"/>
              <w:rPr>
                <w:rFonts w:ascii="宋体" w:hAnsi="宋体"/>
                <w:sz w:val="24"/>
                <w:szCs w:val="22"/>
              </w:rPr>
            </w:pPr>
            <w:r>
              <w:rPr>
                <w:rFonts w:hint="eastAsia" w:ascii="宋体" w:hAnsi="宋体"/>
                <w:sz w:val="24"/>
                <w:szCs w:val="22"/>
              </w:rPr>
              <w:t>1、公司质量/环境/安全/能源策划情况：公司针对本次贯标工作做了大量的工作，包括管理手册及程序文件的制定、标准知识的宣贯、基于风险的管理意识、产品生命周期的观点、全员积极参与体系管理等，公司质量、环境、职业健康安全和能源管理体系的实施为我公司的管理水平提升了一定的高度。</w:t>
            </w:r>
          </w:p>
          <w:p>
            <w:pPr>
              <w:jc w:val="left"/>
              <w:outlineLvl w:val="2"/>
              <w:rPr>
                <w:rFonts w:ascii="宋体" w:hAnsi="宋体"/>
                <w:sz w:val="24"/>
                <w:szCs w:val="22"/>
              </w:rPr>
            </w:pPr>
            <w:r>
              <w:rPr>
                <w:rFonts w:hint="eastAsia" w:ascii="宋体" w:hAnsi="宋体"/>
                <w:sz w:val="24"/>
                <w:szCs w:val="22"/>
              </w:rPr>
              <w:t>2、公司制订的质量、环境、职业健康安全和能源管理方针、目标和指标是适宜的可行的，服务宗旨和方向是正确的。</w:t>
            </w:r>
          </w:p>
          <w:p>
            <w:pPr>
              <w:jc w:val="left"/>
              <w:outlineLvl w:val="2"/>
              <w:rPr>
                <w:rFonts w:ascii="宋体" w:hAnsi="宋体"/>
                <w:sz w:val="24"/>
                <w:szCs w:val="22"/>
              </w:rPr>
            </w:pPr>
            <w:r>
              <w:rPr>
                <w:rFonts w:hint="eastAsia" w:ascii="宋体" w:hAnsi="宋体"/>
                <w:sz w:val="24"/>
                <w:szCs w:val="22"/>
              </w:rPr>
              <w:t>3、公司现有的组织机构适应新建立的质量、环境、职业健康安全和能源管理体系有效运行。</w:t>
            </w:r>
          </w:p>
          <w:p>
            <w:pPr>
              <w:jc w:val="left"/>
              <w:outlineLvl w:val="2"/>
              <w:rPr>
                <w:rFonts w:ascii="宋体" w:hAnsi="宋体"/>
                <w:sz w:val="24"/>
                <w:szCs w:val="22"/>
              </w:rPr>
            </w:pPr>
            <w:r>
              <w:rPr>
                <w:rFonts w:hint="eastAsia" w:ascii="宋体" w:hAnsi="宋体"/>
                <w:sz w:val="24"/>
                <w:szCs w:val="22"/>
              </w:rPr>
              <w:t>4、公司制订的质量、环境、职业健康安全和能源管理方针、目标和指标的要求符合当前的实际，基本能够达到。</w:t>
            </w:r>
          </w:p>
          <w:p>
            <w:pPr>
              <w:jc w:val="left"/>
              <w:outlineLvl w:val="2"/>
              <w:rPr>
                <w:rFonts w:ascii="宋体" w:hAnsi="宋体"/>
                <w:sz w:val="24"/>
                <w:szCs w:val="22"/>
              </w:rPr>
            </w:pPr>
            <w:r>
              <w:rPr>
                <w:rFonts w:hint="eastAsia" w:ascii="宋体" w:hAnsi="宋体"/>
                <w:sz w:val="24"/>
                <w:szCs w:val="22"/>
              </w:rPr>
              <w:t>5、从内部审核报告以及合规评价结果可以看出，质量、环境、职业健康安全和能源管理体系运行以来，公司各项管理已逐步走上正规化、程序化的轨道，重要环境因素和重大危险源已得到控制，各部门工作思路清晰，有法可依，相互之间工作协调，积极配合。</w:t>
            </w:r>
          </w:p>
          <w:p>
            <w:pPr>
              <w:jc w:val="left"/>
              <w:outlineLvl w:val="2"/>
              <w:rPr>
                <w:rFonts w:ascii="宋体" w:hAnsi="宋体"/>
                <w:sz w:val="24"/>
                <w:szCs w:val="22"/>
              </w:rPr>
            </w:pPr>
            <w:r>
              <w:rPr>
                <w:rFonts w:hint="eastAsia" w:ascii="宋体" w:hAnsi="宋体"/>
                <w:sz w:val="24"/>
                <w:szCs w:val="22"/>
              </w:rPr>
              <w:t>6、质量、环境、职业健康安全和能源管理体系运行是有效的，制订的手册、程序、制度、方针、目标适宜”；</w:t>
            </w:r>
          </w:p>
          <w:p>
            <w:pPr>
              <w:jc w:val="left"/>
              <w:outlineLvl w:val="2"/>
              <w:rPr>
                <w:rFonts w:hint="eastAsia" w:ascii="宋体" w:hAnsi="宋体"/>
                <w:sz w:val="24"/>
                <w:szCs w:val="22"/>
              </w:rPr>
            </w:pPr>
            <w:r>
              <w:rPr>
                <w:rFonts w:ascii="宋体" w:hAnsi="宋体"/>
                <w:sz w:val="24"/>
                <w:szCs w:val="22"/>
              </w:rPr>
              <w:drawing>
                <wp:inline distT="0" distB="0" distL="114300" distR="114300">
                  <wp:extent cx="2218690" cy="2344420"/>
                  <wp:effectExtent l="0" t="0" r="3810" b="5080"/>
                  <wp:docPr id="31" name="图片 1" descr="C:\Users\Administrator\Documents\WeChat Files\wxid_ac7ho112pygs22\FileStorage\Temp\167368076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Administrator\Documents\WeChat Files\wxid_ac7ho112pygs22\FileStorage\Temp\1673680764304.png"/>
                          <pic:cNvPicPr>
                            <a:picLocks noChangeAspect="1"/>
                          </pic:cNvPicPr>
                        </pic:nvPicPr>
                        <pic:blipFill>
                          <a:blip r:embed="rId6"/>
                          <a:stretch>
                            <a:fillRect/>
                          </a:stretch>
                        </pic:blipFill>
                        <pic:spPr>
                          <a:xfrm>
                            <a:off x="0" y="0"/>
                            <a:ext cx="2218690" cy="2344420"/>
                          </a:xfrm>
                          <a:prstGeom prst="rect">
                            <a:avLst/>
                          </a:prstGeom>
                          <a:noFill/>
                          <a:ln>
                            <a:noFill/>
                          </a:ln>
                        </pic:spPr>
                      </pic:pic>
                    </a:graphicData>
                  </a:graphic>
                </wp:inline>
              </w:drawing>
            </w:r>
          </w:p>
          <w:p>
            <w:pPr>
              <w:jc w:val="left"/>
              <w:outlineLvl w:val="2"/>
              <w:rPr>
                <w:rFonts w:hint="eastAsia" w:ascii="宋体" w:hAnsi="宋体"/>
                <w:sz w:val="24"/>
                <w:szCs w:val="22"/>
              </w:rPr>
            </w:pPr>
          </w:p>
          <w:p>
            <w:pPr>
              <w:jc w:val="left"/>
              <w:outlineLvl w:val="2"/>
              <w:rPr>
                <w:rFonts w:ascii="宋体" w:hAnsi="宋体"/>
                <w:sz w:val="24"/>
                <w:szCs w:val="22"/>
              </w:rPr>
            </w:pPr>
            <w:r>
              <w:rPr>
                <w:rFonts w:hint="eastAsia" w:ascii="宋体" w:hAnsi="宋体"/>
                <w:sz w:val="24"/>
                <w:szCs w:val="22"/>
              </w:rPr>
              <w:t>会议主持和报告批准：总经理</w:t>
            </w:r>
            <w:r>
              <w:rPr>
                <w:rFonts w:hint="eastAsia" w:ascii="宋体" w:hAnsi="宋体" w:cs="宋体"/>
                <w:sz w:val="24"/>
              </w:rPr>
              <w:t>刘飞</w:t>
            </w:r>
            <w:r>
              <w:rPr>
                <w:rFonts w:hint="eastAsia" w:ascii="宋体" w:hAnsi="宋体"/>
                <w:sz w:val="24"/>
                <w:szCs w:val="22"/>
              </w:rPr>
              <w:t>；202</w:t>
            </w:r>
            <w:r>
              <w:rPr>
                <w:rFonts w:ascii="宋体" w:hAnsi="宋体"/>
                <w:sz w:val="24"/>
                <w:szCs w:val="22"/>
              </w:rPr>
              <w:t>2</w:t>
            </w:r>
            <w:r>
              <w:rPr>
                <w:rFonts w:hint="eastAsia" w:ascii="宋体" w:hAnsi="宋体"/>
                <w:sz w:val="24"/>
                <w:szCs w:val="22"/>
              </w:rPr>
              <w:t>.1</w:t>
            </w:r>
            <w:r>
              <w:rPr>
                <w:rFonts w:ascii="宋体" w:hAnsi="宋体"/>
                <w:sz w:val="24"/>
                <w:szCs w:val="22"/>
              </w:rPr>
              <w:t>1</w:t>
            </w:r>
            <w:r>
              <w:rPr>
                <w:rFonts w:hint="eastAsia" w:ascii="宋体" w:hAnsi="宋体"/>
                <w:sz w:val="24"/>
                <w:szCs w:val="22"/>
              </w:rPr>
              <w:t>.15；</w:t>
            </w:r>
          </w:p>
        </w:tc>
        <w:tc>
          <w:tcPr>
            <w:tcW w:w="90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 xml:space="preserve">  Y</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tcPr>
          <w:p>
            <w:pPr>
              <w:jc w:val="left"/>
              <w:outlineLvl w:val="2"/>
              <w:rPr>
                <w:rFonts w:ascii="宋体" w:hAnsi="宋体"/>
                <w:sz w:val="24"/>
                <w:szCs w:val="22"/>
              </w:rPr>
            </w:pPr>
            <w:r>
              <w:rPr>
                <w:rFonts w:hint="eastAsia" w:ascii="宋体" w:hAnsi="宋体"/>
                <w:sz w:val="24"/>
                <w:szCs w:val="22"/>
              </w:rPr>
              <w:t>总则</w:t>
            </w:r>
          </w:p>
          <w:p>
            <w:pPr>
              <w:jc w:val="left"/>
              <w:outlineLvl w:val="2"/>
              <w:rPr>
                <w:rFonts w:ascii="宋体" w:hAnsi="宋体"/>
                <w:sz w:val="24"/>
                <w:szCs w:val="22"/>
              </w:rPr>
            </w:pPr>
            <w:r>
              <w:rPr>
                <w:rFonts w:hint="eastAsia" w:ascii="宋体" w:hAnsi="宋体"/>
                <w:sz w:val="24"/>
                <w:szCs w:val="22"/>
              </w:rPr>
              <w:t>持续改进</w:t>
            </w:r>
          </w:p>
          <w:p>
            <w:pPr>
              <w:jc w:val="left"/>
              <w:outlineLvl w:val="2"/>
              <w:rPr>
                <w:rFonts w:ascii="宋体" w:hAnsi="宋体"/>
                <w:sz w:val="24"/>
                <w:szCs w:val="22"/>
              </w:rPr>
            </w:pPr>
          </w:p>
        </w:tc>
        <w:tc>
          <w:tcPr>
            <w:tcW w:w="960" w:type="dxa"/>
          </w:tcPr>
          <w:p>
            <w:pPr>
              <w:jc w:val="left"/>
              <w:outlineLvl w:val="2"/>
              <w:rPr>
                <w:rFonts w:ascii="宋体" w:hAnsi="宋体"/>
                <w:sz w:val="24"/>
                <w:szCs w:val="22"/>
              </w:rPr>
            </w:pPr>
            <w:r>
              <w:rPr>
                <w:rFonts w:hint="eastAsia" w:ascii="宋体" w:hAnsi="宋体"/>
                <w:sz w:val="24"/>
                <w:szCs w:val="22"/>
              </w:rPr>
              <w:t>QES</w:t>
            </w:r>
          </w:p>
          <w:p>
            <w:pPr>
              <w:jc w:val="left"/>
              <w:outlineLvl w:val="2"/>
              <w:rPr>
                <w:rFonts w:ascii="宋体" w:hAnsi="宋体"/>
                <w:sz w:val="24"/>
                <w:szCs w:val="22"/>
              </w:rPr>
            </w:pPr>
            <w:r>
              <w:rPr>
                <w:rFonts w:hint="eastAsia" w:ascii="宋体" w:hAnsi="宋体"/>
                <w:sz w:val="24"/>
                <w:szCs w:val="22"/>
              </w:rPr>
              <w:t>10.1、10.3</w:t>
            </w:r>
          </w:p>
          <w:p>
            <w:pPr>
              <w:snapToGrid w:val="0"/>
              <w:spacing w:line="280" w:lineRule="exact"/>
              <w:jc w:val="left"/>
              <w:rPr>
                <w:szCs w:val="21"/>
              </w:rPr>
            </w:pPr>
            <w:r>
              <w:rPr>
                <w:rFonts w:hint="eastAsia"/>
                <w:szCs w:val="21"/>
              </w:rPr>
              <w:t>En:10.2</w:t>
            </w:r>
          </w:p>
        </w:tc>
        <w:tc>
          <w:tcPr>
            <w:tcW w:w="10684" w:type="dxa"/>
          </w:tcPr>
          <w:p>
            <w:pPr>
              <w:jc w:val="left"/>
              <w:outlineLvl w:val="2"/>
            </w:pPr>
            <w:r>
              <w:rPr>
                <w:rFonts w:hint="eastAsia"/>
              </w:rPr>
              <w:t>公司通过方针、目标、审核结果、数据分析、纠正和预防措施以及管理评审，促进质量/环境/职业健康安全/能源管理体系的改进。</w:t>
            </w:r>
          </w:p>
          <w:p>
            <w:pPr>
              <w:jc w:val="left"/>
              <w:outlineLvl w:val="2"/>
              <w:rPr>
                <w:rFonts w:hint="eastAsia"/>
              </w:rPr>
            </w:pPr>
            <w:r>
              <w:rPr>
                <w:rFonts w:hint="eastAsia"/>
              </w:rPr>
              <w:t>通过对管理评审的审核、确定了组织的管理体系的适宜性、充分性和有效性——基本满足标准的要求，组织的持续改进绩效明显；</w:t>
            </w:r>
          </w:p>
          <w:p>
            <w:pPr>
              <w:pStyle w:val="2"/>
            </w:pPr>
          </w:p>
        </w:tc>
        <w:tc>
          <w:tcPr>
            <w:tcW w:w="905" w:type="dxa"/>
          </w:tcPr>
          <w:p>
            <w:pPr>
              <w:jc w:val="left"/>
              <w:outlineLvl w:val="2"/>
            </w:pPr>
          </w:p>
          <w:p>
            <w:pPr>
              <w:pStyle w:val="2"/>
              <w:rPr>
                <w:rFonts w:ascii="宋体" w:hAnsi="宋体"/>
                <w:szCs w:val="22"/>
              </w:rPr>
            </w:pPr>
            <w:r>
              <w:rPr>
                <w:rFonts w:hint="eastAsia" w:ascii="宋体" w:hAnsi="宋体"/>
                <w:szCs w:val="22"/>
              </w:rPr>
              <w:t xml:space="preserve"> Y</w:t>
            </w:r>
          </w:p>
          <w:p>
            <w:pPr>
              <w:pStyle w:val="2"/>
              <w:rPr>
                <w:rFonts w:ascii="宋体" w:hAnsi="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outlineLvl w:val="2"/>
              <w:rPr>
                <w:rFonts w:ascii="宋体" w:hAnsi="宋体"/>
                <w:sz w:val="24"/>
                <w:szCs w:val="22"/>
              </w:rPr>
            </w:pPr>
            <w:r>
              <w:rPr>
                <w:rFonts w:hint="eastAsia" w:ascii="宋体" w:hAnsi="宋体"/>
                <w:sz w:val="24"/>
                <w:szCs w:val="22"/>
              </w:rPr>
              <w:t>资质验证/</w:t>
            </w:r>
          </w:p>
          <w:p>
            <w:pPr>
              <w:jc w:val="left"/>
              <w:outlineLvl w:val="2"/>
              <w:rPr>
                <w:rFonts w:ascii="宋体" w:hAnsi="宋体"/>
                <w:sz w:val="24"/>
                <w:szCs w:val="22"/>
              </w:rPr>
            </w:pPr>
          </w:p>
          <w:p>
            <w:pPr>
              <w:jc w:val="left"/>
              <w:outlineLvl w:val="2"/>
              <w:rPr>
                <w:rFonts w:ascii="宋体" w:hAnsi="宋体"/>
                <w:sz w:val="24"/>
                <w:szCs w:val="22"/>
              </w:rPr>
            </w:pPr>
          </w:p>
          <w:p>
            <w:pPr>
              <w:jc w:val="left"/>
              <w:outlineLvl w:val="2"/>
              <w:rPr>
                <w:rFonts w:ascii="宋体" w:hAnsi="宋体"/>
                <w:sz w:val="24"/>
                <w:szCs w:val="22"/>
              </w:rPr>
            </w:pPr>
          </w:p>
          <w:p>
            <w:pPr>
              <w:jc w:val="left"/>
              <w:outlineLvl w:val="2"/>
              <w:rPr>
                <w:rFonts w:ascii="宋体" w:hAnsi="宋体"/>
                <w:sz w:val="24"/>
                <w:szCs w:val="22"/>
              </w:rPr>
            </w:pPr>
            <w:r>
              <w:rPr>
                <w:rFonts w:hint="eastAsia" w:ascii="宋体" w:hAnsi="宋体"/>
                <w:sz w:val="24"/>
                <w:szCs w:val="22"/>
              </w:rPr>
              <w:t>范围再确认/</w:t>
            </w:r>
          </w:p>
          <w:p>
            <w:pPr>
              <w:jc w:val="left"/>
              <w:outlineLvl w:val="2"/>
              <w:rPr>
                <w:rFonts w:ascii="宋体" w:hAnsi="宋体"/>
                <w:sz w:val="24"/>
                <w:szCs w:val="22"/>
              </w:rPr>
            </w:pPr>
          </w:p>
          <w:p>
            <w:pPr>
              <w:jc w:val="left"/>
              <w:outlineLvl w:val="2"/>
              <w:rPr>
                <w:rFonts w:ascii="宋体" w:hAnsi="宋体"/>
                <w:sz w:val="24"/>
                <w:szCs w:val="22"/>
              </w:rPr>
            </w:pPr>
            <w:r>
              <w:rPr>
                <w:rFonts w:hint="eastAsia" w:ascii="宋体" w:hAnsi="宋体"/>
                <w:sz w:val="24"/>
                <w:szCs w:val="22"/>
              </w:rPr>
              <w:t>一阶段问题验证/投诉或事故/</w:t>
            </w:r>
          </w:p>
          <w:p>
            <w:pPr>
              <w:jc w:val="left"/>
              <w:outlineLvl w:val="2"/>
              <w:rPr>
                <w:rFonts w:ascii="宋体" w:hAnsi="宋体"/>
                <w:sz w:val="24"/>
                <w:szCs w:val="22"/>
              </w:rPr>
            </w:pPr>
          </w:p>
          <w:p>
            <w:pPr>
              <w:jc w:val="left"/>
              <w:outlineLvl w:val="2"/>
              <w:rPr>
                <w:rFonts w:ascii="宋体" w:hAnsi="宋体"/>
                <w:sz w:val="24"/>
                <w:szCs w:val="22"/>
              </w:rPr>
            </w:pPr>
            <w:r>
              <w:rPr>
                <w:rFonts w:hint="eastAsia" w:ascii="宋体" w:hAnsi="宋体"/>
                <w:sz w:val="24"/>
                <w:szCs w:val="22"/>
              </w:rPr>
              <w:t>政府主管部门监督抽查情况。</w:t>
            </w:r>
          </w:p>
          <w:p>
            <w:pPr>
              <w:jc w:val="left"/>
              <w:outlineLvl w:val="2"/>
              <w:rPr>
                <w:rFonts w:ascii="宋体" w:hAnsi="宋体"/>
                <w:sz w:val="24"/>
                <w:szCs w:val="22"/>
              </w:rPr>
            </w:pPr>
          </w:p>
          <w:p>
            <w:pPr>
              <w:jc w:val="left"/>
              <w:outlineLvl w:val="2"/>
              <w:rPr>
                <w:rFonts w:ascii="宋体" w:hAnsi="宋体"/>
                <w:sz w:val="24"/>
                <w:szCs w:val="22"/>
              </w:rPr>
            </w:pPr>
            <w:r>
              <w:rPr>
                <w:rFonts w:hint="eastAsia" w:ascii="宋体" w:hAnsi="宋体"/>
                <w:sz w:val="24"/>
                <w:szCs w:val="22"/>
              </w:rPr>
              <w:t>Q8.3不适合条款的确认</w:t>
            </w:r>
          </w:p>
        </w:tc>
        <w:tc>
          <w:tcPr>
            <w:tcW w:w="960" w:type="dxa"/>
          </w:tcPr>
          <w:p>
            <w:pPr>
              <w:jc w:val="left"/>
              <w:outlineLvl w:val="2"/>
              <w:rPr>
                <w:rFonts w:ascii="宋体" w:hAnsi="宋体"/>
                <w:sz w:val="24"/>
                <w:szCs w:val="22"/>
              </w:rPr>
            </w:pPr>
          </w:p>
        </w:tc>
        <w:tc>
          <w:tcPr>
            <w:tcW w:w="10684" w:type="dxa"/>
          </w:tcPr>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资质验证：《营业执照》代码911506215973146265、有效期至2042-06-05；</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 xml:space="preserve">         《安全生产许可证》编号：（蒙）FM安许证字【2013】K243；有效期至：2025.7.8日；</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 xml:space="preserve">         《采矿许可证》证号：C1500002012081120126757，有效期至：2023年8月6日；</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《固定污染源排污登记回执》（编号911506215973146265001Q）、有效期至2025年06月05日；</w:t>
            </w:r>
          </w:p>
          <w:p>
            <w:pPr>
              <w:jc w:val="left"/>
              <w:outlineLvl w:val="2"/>
            </w:pPr>
          </w:p>
          <w:p>
            <w:pPr>
              <w:jc w:val="left"/>
              <w:outlineLvl w:val="2"/>
            </w:pPr>
            <w:r>
              <w:rPr>
                <w:rFonts w:hint="eastAsia"/>
              </w:rPr>
              <w:t>认证范围：</w:t>
            </w:r>
          </w:p>
          <w:p>
            <w:pPr>
              <w:jc w:val="left"/>
              <w:outlineLvl w:val="2"/>
            </w:pPr>
            <w:bookmarkStart w:id="2" w:name="审核范围"/>
            <w:r>
              <w:rPr>
                <w:rFonts w:hint="eastAsia"/>
              </w:rPr>
              <w:t>Q：硬煤（烟煤）的开采</w:t>
            </w:r>
          </w:p>
          <w:p>
            <w:pPr>
              <w:jc w:val="left"/>
              <w:outlineLvl w:val="2"/>
            </w:pPr>
            <w:r>
              <w:rPr>
                <w:rFonts w:hint="eastAsia"/>
              </w:rPr>
              <w:t>E：硬煤（烟煤）的开采所涉及场所的相关环境管理活动</w:t>
            </w:r>
          </w:p>
          <w:p>
            <w:pPr>
              <w:jc w:val="left"/>
              <w:outlineLvl w:val="2"/>
            </w:pPr>
            <w:r>
              <w:rPr>
                <w:rFonts w:hint="eastAsia"/>
              </w:rPr>
              <w:t>O：硬煤（烟煤）的开采所涉及场所的相关职业健康安全管理活动</w:t>
            </w:r>
          </w:p>
          <w:p>
            <w:pPr>
              <w:jc w:val="left"/>
              <w:outlineLvl w:val="2"/>
              <w:rPr>
                <w:rFonts w:hint="eastAsia"/>
              </w:rPr>
            </w:pPr>
            <w:r>
              <w:rPr>
                <w:rFonts w:hint="eastAsia"/>
              </w:rPr>
              <w:t>EnMS：硬煤（烟煤）的</w:t>
            </w:r>
            <w:bookmarkEnd w:id="2"/>
            <w:r>
              <w:rPr>
                <w:rFonts w:hint="eastAsia"/>
              </w:rPr>
              <w:t>开采相关的能源管理活动；</w:t>
            </w:r>
          </w:p>
          <w:p>
            <w:pPr>
              <w:pStyle w:val="2"/>
            </w:pPr>
          </w:p>
          <w:p>
            <w:pPr>
              <w:jc w:val="left"/>
              <w:outlineLvl w:val="2"/>
            </w:pPr>
            <w:r>
              <w:rPr>
                <w:rFonts w:hint="eastAsia"/>
              </w:rPr>
              <w:t>一阶段提出的问题已经整改完成；</w:t>
            </w:r>
          </w:p>
          <w:p>
            <w:pPr>
              <w:jc w:val="left"/>
              <w:outlineLvl w:val="2"/>
            </w:pPr>
            <w:r>
              <w:rPr>
                <w:rFonts w:hint="eastAsia"/>
              </w:rPr>
              <w:t>无投诉或事故情况发生；</w:t>
            </w:r>
          </w:p>
          <w:p>
            <w:pPr>
              <w:jc w:val="left"/>
              <w:outlineLvl w:val="2"/>
              <w:rPr>
                <w:rFonts w:hint="eastAsia"/>
              </w:rPr>
            </w:pPr>
            <w:r>
              <w:rPr>
                <w:rFonts w:hint="eastAsia"/>
              </w:rPr>
              <w:t>政府抽查结论合格；</w:t>
            </w:r>
          </w:p>
          <w:p>
            <w:pPr>
              <w:pStyle w:val="2"/>
            </w:pPr>
          </w:p>
          <w:p>
            <w:pPr>
              <w:pStyle w:val="4"/>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已经删减，经现场审核，露天煤矿开采没有设计开发事项，删减合理；</w:t>
            </w:r>
          </w:p>
          <w:p>
            <w:pPr>
              <w:pStyle w:val="5"/>
            </w:pPr>
          </w:p>
        </w:tc>
        <w:tc>
          <w:tcPr>
            <w:tcW w:w="905" w:type="dxa"/>
          </w:tcPr>
          <w:p>
            <w:pPr>
              <w:jc w:val="left"/>
              <w:outlineLvl w:val="2"/>
            </w:pPr>
          </w:p>
          <w:p>
            <w:pPr>
              <w:pStyle w:val="2"/>
              <w:rPr>
                <w:rFonts w:ascii="宋体" w:hAnsi="宋体"/>
                <w:szCs w:val="22"/>
              </w:rPr>
            </w:pPr>
          </w:p>
          <w:p>
            <w:pPr>
              <w:pStyle w:val="2"/>
              <w:rPr>
                <w:rFonts w:ascii="宋体" w:hAnsi="宋体"/>
                <w:szCs w:val="22"/>
              </w:rPr>
            </w:pPr>
          </w:p>
          <w:p>
            <w:pPr>
              <w:pStyle w:val="2"/>
              <w:rPr>
                <w:rFonts w:ascii="宋体" w:hAnsi="宋体"/>
                <w:szCs w:val="22"/>
              </w:rPr>
            </w:pPr>
          </w:p>
          <w:p>
            <w:pPr>
              <w:pStyle w:val="2"/>
              <w:rPr>
                <w:rFonts w:ascii="宋体" w:hAnsi="宋体"/>
                <w:szCs w:val="22"/>
              </w:rPr>
            </w:pPr>
          </w:p>
          <w:p>
            <w:pPr>
              <w:pStyle w:val="2"/>
              <w:rPr>
                <w:rFonts w:ascii="宋体" w:hAnsi="宋体"/>
                <w:szCs w:val="22"/>
              </w:rPr>
            </w:pPr>
          </w:p>
          <w:p>
            <w:pPr>
              <w:pStyle w:val="2"/>
              <w:rPr>
                <w:rFonts w:ascii="宋体" w:hAnsi="宋体"/>
                <w:szCs w:val="22"/>
              </w:rPr>
            </w:pPr>
          </w:p>
          <w:p>
            <w:pPr>
              <w:pStyle w:val="2"/>
              <w:rPr>
                <w:rFonts w:ascii="宋体" w:hAnsi="宋体"/>
                <w:szCs w:val="22"/>
              </w:rPr>
            </w:pPr>
            <w:r>
              <w:rPr>
                <w:rFonts w:hint="eastAsia" w:ascii="宋体" w:hAnsi="宋体"/>
                <w:szCs w:val="22"/>
              </w:rPr>
              <w:t xml:space="preserve">  Y</w:t>
            </w:r>
          </w:p>
          <w:p>
            <w:pPr>
              <w:pStyle w:val="2"/>
              <w:rPr>
                <w:rFonts w:ascii="宋体" w:hAnsi="宋体"/>
                <w:szCs w:val="22"/>
              </w:rPr>
            </w:pPr>
          </w:p>
        </w:tc>
      </w:tr>
    </w:tbl>
    <w:p>
      <w:pPr>
        <w:pStyle w:val="9"/>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bookmarkStart w:id="3" w:name="_GoBack"/>
      <w:bookmarkEnd w:id="3"/>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178"/>
        <w:gridCol w:w="1066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178"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62" w:type="dxa"/>
            <w:vAlign w:val="center"/>
          </w:tcPr>
          <w:p>
            <w:pPr>
              <w:rPr>
                <w:sz w:val="24"/>
                <w:szCs w:val="24"/>
              </w:rPr>
            </w:pPr>
            <w:r>
              <w:rPr>
                <w:rFonts w:hint="eastAsia"/>
                <w:sz w:val="24"/>
                <w:szCs w:val="24"/>
              </w:rPr>
              <w:t xml:space="preserve">受审核部门：生产部 </w:t>
            </w:r>
            <w:r>
              <w:rPr>
                <w:rFonts w:hint="eastAsia" w:ascii="楷体_GB2312" w:eastAsia="楷体_GB2312"/>
                <w:szCs w:val="21"/>
              </w:rPr>
              <w:t xml:space="preserve">    </w:t>
            </w:r>
            <w:r>
              <w:rPr>
                <w:rFonts w:ascii="楷体_GB2312" w:eastAsia="楷体_GB2312"/>
                <w:szCs w:val="21"/>
              </w:rPr>
              <w:t xml:space="preserve">       </w:t>
            </w:r>
            <w:r>
              <w:rPr>
                <w:rFonts w:hint="eastAsia"/>
                <w:sz w:val="24"/>
                <w:szCs w:val="24"/>
              </w:rPr>
              <w:t xml:space="preserve">主管领导：张浩 </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陪同人员：弓永波</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1178" w:type="dxa"/>
            <w:vMerge w:val="continue"/>
            <w:vAlign w:val="center"/>
          </w:tcPr>
          <w:p/>
        </w:tc>
        <w:tc>
          <w:tcPr>
            <w:tcW w:w="10662" w:type="dxa"/>
            <w:vAlign w:val="center"/>
          </w:tcPr>
          <w:p>
            <w:pPr>
              <w:spacing w:before="120"/>
            </w:pPr>
            <w:r>
              <w:rPr>
                <w:rFonts w:hint="eastAsia"/>
                <w:sz w:val="24"/>
                <w:szCs w:val="24"/>
              </w:rPr>
              <w:t>审核员：周涛        审核时间：</w:t>
            </w:r>
            <w:r>
              <w:t>2023年01月</w:t>
            </w:r>
            <w:r>
              <w:rPr>
                <w:rFonts w:hint="eastAsia"/>
              </w:rPr>
              <w:t>1</w:t>
            </w:r>
            <w:r>
              <w:t xml:space="preserve">3-16日 </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1178" w:type="dxa"/>
            <w:vMerge w:val="continue"/>
            <w:vAlign w:val="center"/>
          </w:tcPr>
          <w:p/>
        </w:tc>
        <w:tc>
          <w:tcPr>
            <w:tcW w:w="10662" w:type="dxa"/>
            <w:vAlign w:val="center"/>
          </w:tcPr>
          <w:p>
            <w:pPr>
              <w:spacing w:line="260" w:lineRule="exact"/>
              <w:jc w:val="left"/>
              <w:rPr>
                <w:rFonts w:ascii="宋体" w:hAnsi="宋体" w:cs="宋体"/>
                <w:bCs/>
                <w:szCs w:val="21"/>
              </w:rPr>
            </w:pPr>
            <w:r>
              <w:rPr>
                <w:rFonts w:hint="eastAsia"/>
                <w:sz w:val="24"/>
                <w:szCs w:val="24"/>
              </w:rPr>
              <w:t>审核条款：</w:t>
            </w:r>
            <w:r>
              <w:rPr>
                <w:rFonts w:hint="eastAsia"/>
                <w:szCs w:val="21"/>
              </w:rPr>
              <w:t>Q:</w:t>
            </w:r>
            <w:r>
              <w:rPr>
                <w:rFonts w:hint="eastAsia"/>
                <w:color w:val="00B0F0"/>
                <w:szCs w:val="21"/>
              </w:rPr>
              <w:t>5.3/6.2/7.1.4/7.1.6/8.1/8.5.1/8.5.2/8.5.3/8.5.4/8.5.6/8.6/8.7</w:t>
            </w:r>
            <w:r>
              <w:rPr>
                <w:rFonts w:hint="eastAsia"/>
                <w:szCs w:val="21"/>
              </w:rPr>
              <w:t>/</w:t>
            </w:r>
            <w:r>
              <w:rPr>
                <w:rFonts w:hint="eastAsia"/>
                <w:color w:val="00B0F0"/>
                <w:szCs w:val="21"/>
              </w:rPr>
              <w:t>9.1.1</w:t>
            </w:r>
            <w:r>
              <w:rPr>
                <w:rFonts w:hint="eastAsia"/>
                <w:szCs w:val="21"/>
              </w:rPr>
              <w:t>/</w:t>
            </w:r>
            <w:r>
              <w:rPr>
                <w:rFonts w:hint="eastAsia"/>
                <w:color w:val="00B0F0"/>
                <w:szCs w:val="21"/>
              </w:rPr>
              <w:t>9.1.3</w:t>
            </w:r>
            <w:r>
              <w:rPr>
                <w:szCs w:val="21"/>
              </w:rPr>
              <w:t>/</w:t>
            </w:r>
            <w:r>
              <w:rPr>
                <w:color w:val="00B0F0"/>
                <w:szCs w:val="21"/>
              </w:rPr>
              <w:t>10.2</w:t>
            </w:r>
          </w:p>
          <w:p>
            <w:pPr>
              <w:ind w:firstLine="1260" w:firstLineChars="600"/>
              <w:rPr>
                <w:szCs w:val="21"/>
              </w:rPr>
            </w:pPr>
            <w:r>
              <w:rPr>
                <w:rFonts w:hint="eastAsia"/>
                <w:szCs w:val="21"/>
              </w:rPr>
              <w:t>EO:</w:t>
            </w:r>
            <w:r>
              <w:rPr>
                <w:rFonts w:hint="eastAsia"/>
                <w:color w:val="00B0F0"/>
                <w:szCs w:val="21"/>
              </w:rPr>
              <w:t>5.3</w:t>
            </w:r>
            <w:r>
              <w:rPr>
                <w:rFonts w:hint="eastAsia"/>
                <w:szCs w:val="21"/>
              </w:rPr>
              <w:t>/</w:t>
            </w:r>
            <w:r>
              <w:rPr>
                <w:rFonts w:hint="eastAsia"/>
                <w:color w:val="00B0F0"/>
                <w:szCs w:val="21"/>
              </w:rPr>
              <w:t>6.2</w:t>
            </w:r>
            <w:r>
              <w:rPr>
                <w:rFonts w:hint="eastAsia"/>
                <w:szCs w:val="21"/>
              </w:rPr>
              <w:t>/</w:t>
            </w:r>
            <w:r>
              <w:rPr>
                <w:rFonts w:hint="eastAsia"/>
                <w:color w:val="00B0F0"/>
                <w:szCs w:val="21"/>
              </w:rPr>
              <w:t xml:space="preserve">10.2;  </w:t>
            </w:r>
            <w:r>
              <w:rPr>
                <w:color w:val="00B0F0"/>
                <w:szCs w:val="21"/>
              </w:rPr>
              <w:t xml:space="preserve">    </w:t>
            </w:r>
          </w:p>
          <w:p>
            <w:pPr>
              <w:ind w:firstLine="1260" w:firstLineChars="600"/>
              <w:rPr>
                <w:szCs w:val="21"/>
              </w:rPr>
            </w:pPr>
            <w:r>
              <w:rPr>
                <w:rFonts w:hint="eastAsia"/>
                <w:szCs w:val="21"/>
              </w:rPr>
              <w:t>O:</w:t>
            </w:r>
            <w:r>
              <w:rPr>
                <w:rFonts w:hint="eastAsia"/>
                <w:color w:val="00B0F0"/>
                <w:szCs w:val="21"/>
              </w:rPr>
              <w:t>6.1.2</w:t>
            </w:r>
            <w:r>
              <w:rPr>
                <w:rFonts w:hint="eastAsia"/>
                <w:szCs w:val="21"/>
              </w:rPr>
              <w:t>/</w:t>
            </w:r>
            <w:r>
              <w:rPr>
                <w:rFonts w:hint="eastAsia"/>
                <w:color w:val="00B0F0"/>
                <w:szCs w:val="21"/>
              </w:rPr>
              <w:t>8.1</w:t>
            </w:r>
            <w:r>
              <w:rPr>
                <w:rFonts w:hint="eastAsia"/>
                <w:szCs w:val="21"/>
              </w:rPr>
              <w:t>/</w:t>
            </w:r>
            <w:r>
              <w:rPr>
                <w:rFonts w:hint="eastAsia"/>
                <w:color w:val="00B0F0"/>
                <w:szCs w:val="21"/>
              </w:rPr>
              <w:t>8.2</w:t>
            </w:r>
            <w:r>
              <w:rPr>
                <w:color w:val="00B0F0"/>
                <w:szCs w:val="21"/>
              </w:rPr>
              <w:t xml:space="preserve">     </w:t>
            </w:r>
            <w:r>
              <w:rPr>
                <w:rFonts w:hint="eastAsia"/>
                <w:szCs w:val="21"/>
              </w:rPr>
              <w:t xml:space="preserve"> </w:t>
            </w:r>
            <w:r>
              <w:rPr>
                <w:szCs w:val="21"/>
              </w:rPr>
              <w:t xml:space="preserve">       </w:t>
            </w:r>
            <w:r>
              <w:rPr>
                <w:rFonts w:hint="eastAsia"/>
                <w:szCs w:val="21"/>
              </w:rPr>
              <w:t>E:</w:t>
            </w:r>
            <w:r>
              <w:rPr>
                <w:rFonts w:hint="eastAsia"/>
                <w:color w:val="00B0F0"/>
                <w:szCs w:val="21"/>
              </w:rPr>
              <w:t>6.1.2</w:t>
            </w:r>
            <w:r>
              <w:rPr>
                <w:rFonts w:hint="eastAsia"/>
                <w:szCs w:val="21"/>
              </w:rPr>
              <w:t>/6.1.3/6.1.4/</w:t>
            </w:r>
            <w:r>
              <w:rPr>
                <w:rFonts w:hint="eastAsia"/>
                <w:color w:val="00B0F0"/>
                <w:szCs w:val="21"/>
              </w:rPr>
              <w:t>8.1</w:t>
            </w:r>
            <w:r>
              <w:rPr>
                <w:rFonts w:hint="eastAsia"/>
                <w:szCs w:val="21"/>
              </w:rPr>
              <w:t>/</w:t>
            </w:r>
            <w:r>
              <w:rPr>
                <w:rFonts w:hint="eastAsia"/>
                <w:color w:val="00B0F0"/>
                <w:szCs w:val="21"/>
              </w:rPr>
              <w:t>8.2</w:t>
            </w:r>
          </w:p>
          <w:p>
            <w:pPr>
              <w:ind w:firstLine="1260" w:firstLineChars="600"/>
              <w:rPr>
                <w:szCs w:val="21"/>
              </w:rPr>
            </w:pPr>
            <w:r>
              <w:rPr>
                <w:rFonts w:hint="eastAsia"/>
                <w:szCs w:val="21"/>
              </w:rPr>
              <w:t>En:</w:t>
            </w:r>
            <w:r>
              <w:rPr>
                <w:rFonts w:hint="eastAsia"/>
                <w:color w:val="00B0F0"/>
                <w:szCs w:val="21"/>
              </w:rPr>
              <w:t>5.3</w:t>
            </w:r>
            <w:r>
              <w:rPr>
                <w:rFonts w:hint="eastAsia"/>
                <w:szCs w:val="21"/>
              </w:rPr>
              <w:t>/</w:t>
            </w:r>
            <w:r>
              <w:rPr>
                <w:rFonts w:hint="eastAsia"/>
                <w:color w:val="00B0F0"/>
                <w:szCs w:val="21"/>
              </w:rPr>
              <w:t>6.2</w:t>
            </w:r>
            <w:r>
              <w:rPr>
                <w:rFonts w:hint="eastAsia"/>
                <w:szCs w:val="21"/>
              </w:rPr>
              <w:t>/</w:t>
            </w:r>
            <w:r>
              <w:rPr>
                <w:color w:val="00B0F0"/>
                <w:szCs w:val="21"/>
              </w:rPr>
              <w:t>8.1</w:t>
            </w:r>
            <w:r>
              <w:rPr>
                <w:szCs w:val="21"/>
              </w:rPr>
              <w:t>/</w:t>
            </w:r>
            <w:r>
              <w:rPr>
                <w:rFonts w:hint="eastAsia"/>
                <w:color w:val="00B0F0"/>
                <w:szCs w:val="21"/>
              </w:rPr>
              <w:t>10.1</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160" w:type="dxa"/>
          </w:tcPr>
          <w:p>
            <w:pPr>
              <w:rPr>
                <w:rFonts w:asciiTheme="majorEastAsia" w:hAnsiTheme="majorEastAsia" w:eastAsiaTheme="majorEastAsia" w:cstheme="majorEastAsia"/>
              </w:rPr>
            </w:pPr>
            <w:r>
              <w:rPr>
                <w:rFonts w:hint="eastAsia" w:asciiTheme="majorEastAsia" w:hAnsiTheme="majorEastAsia" w:eastAsiaTheme="majorEastAsia" w:cstheme="majorEastAsia"/>
                <w:szCs w:val="21"/>
              </w:rPr>
              <w:t>部门职责</w:t>
            </w:r>
          </w:p>
        </w:tc>
        <w:tc>
          <w:tcPr>
            <w:tcW w:w="1178" w:type="dxa"/>
          </w:tcPr>
          <w:p>
            <w:r>
              <w:rPr>
                <w:rFonts w:hint="eastAsia"/>
              </w:rPr>
              <w:t>QEOEn5.3</w:t>
            </w:r>
          </w:p>
        </w:tc>
        <w:tc>
          <w:tcPr>
            <w:tcW w:w="10662" w:type="dxa"/>
          </w:tcPr>
          <w:p>
            <w:pPr>
              <w:spacing w:before="156" w:beforeLines="50"/>
            </w:pPr>
            <w:r>
              <w:rPr>
                <w:rFonts w:hint="eastAsia"/>
              </w:rPr>
              <w:t>生产部负责人张浩介绍：张浩介绍：生产部有</w:t>
            </w:r>
            <w:r>
              <w:t>400</w:t>
            </w:r>
            <w:r>
              <w:rPr>
                <w:rFonts w:hint="eastAsia"/>
              </w:rPr>
              <w:t>人，三班两倒，倒班时间：早8：:30—20:30；10:30—8:30；白班2</w:t>
            </w:r>
            <w:r>
              <w:t>00</w:t>
            </w:r>
            <w:r>
              <w:rPr>
                <w:rFonts w:hint="eastAsia"/>
              </w:rPr>
              <w:t>人、夜班2</w:t>
            </w:r>
            <w:r>
              <w:t>00</w:t>
            </w:r>
            <w:r>
              <w:rPr>
                <w:rFonts w:hint="eastAsia"/>
              </w:rPr>
              <w:t>人；生产部属于连续生产（每月或有一天检修），</w:t>
            </w:r>
          </w:p>
          <w:p>
            <w:pPr>
              <w:spacing w:before="156" w:beforeLines="50"/>
            </w:pPr>
            <w:r>
              <w:rPr>
                <w:rFonts w:hint="eastAsia"/>
              </w:rPr>
              <w:t>职责：</w:t>
            </w:r>
          </w:p>
          <w:p>
            <w:pPr>
              <w:spacing w:before="156" w:beforeLines="50"/>
              <w:ind w:firstLine="420" w:firstLineChars="200"/>
            </w:pPr>
            <w:r>
              <w:rPr>
                <w:rFonts w:hint="eastAsia"/>
              </w:rPr>
              <w:t>1、主要负责组织硬煤（烟煤）的开采、运输工作，生产部负责设备维修保养（日常的盘车、加油、清洁等）等配合科研、项目建设等职能。</w:t>
            </w:r>
          </w:p>
          <w:p>
            <w:pPr>
              <w:ind w:firstLine="420" w:firstLineChars="200"/>
            </w:pPr>
            <w:r>
              <w:rPr>
                <w:rFonts w:hint="eastAsia"/>
              </w:rPr>
              <w:t>认真组织落实煤矿生产任务，按期完成生产各项指标。</w:t>
            </w:r>
          </w:p>
          <w:p>
            <w:pPr>
              <w:ind w:firstLine="420" w:firstLineChars="200"/>
            </w:pPr>
            <w:r>
              <w:rPr>
                <w:rFonts w:hint="eastAsia"/>
              </w:rPr>
              <w:t>3、主持召开生产方面的工作会议时，及时了解掌握生产作业现场的生产安全情况，研究解决存在的问题，保证安全生产无事故。</w:t>
            </w:r>
          </w:p>
          <w:p>
            <w:pPr>
              <w:ind w:firstLine="420" w:firstLineChars="200"/>
            </w:pPr>
            <w:r>
              <w:rPr>
                <w:rFonts w:hint="eastAsia"/>
              </w:rPr>
              <w:t>4.负责分管范围内的隐患排查治理和风险管控相关工作，定期组织检查并分析原因，管控风险消除事故隐患。</w:t>
            </w:r>
          </w:p>
          <w:p>
            <w:pPr>
              <w:ind w:firstLine="420" w:firstLineChars="200"/>
            </w:pPr>
            <w:r>
              <w:rPr>
                <w:rFonts w:hint="eastAsia"/>
              </w:rPr>
              <w:t>5.监督检查分管范围内的岗位安全生产责任制及各项安全生产管理制度落实情况。经常深入现场，检查工程质量和安全工作，善于发现并及时处理安全生产上的问题。</w:t>
            </w:r>
          </w:p>
          <w:p>
            <w:pPr>
              <w:ind w:firstLine="420" w:firstLineChars="200"/>
            </w:pPr>
            <w:r>
              <w:t>6</w:t>
            </w:r>
            <w:r>
              <w:rPr>
                <w:rFonts w:hint="eastAsia"/>
              </w:rPr>
              <w:t>.组织开展冬季和雨季“三防”工作；</w:t>
            </w:r>
          </w:p>
          <w:p>
            <w:pPr>
              <w:ind w:firstLine="420" w:firstLineChars="200"/>
            </w:pPr>
            <w:r>
              <w:t>7</w:t>
            </w:r>
            <w:r>
              <w:rPr>
                <w:rFonts w:hint="eastAsia"/>
              </w:rPr>
              <w:t>.组织或参与生产安全事故应急救援演练。组织或协助矿长做好事故的抢险救灾工作，并参与事故调查、分析和处理工作。</w:t>
            </w:r>
          </w:p>
          <w:p>
            <w:pPr>
              <w:ind w:firstLine="420" w:firstLineChars="200"/>
            </w:pPr>
            <w:r>
              <w:t>8</w:t>
            </w:r>
            <w:r>
              <w:rPr>
                <w:rFonts w:hint="eastAsia"/>
              </w:rPr>
              <w:t>.履行法律法规规定的其它安全生产职责；督促落实职责范围内的生产安全事故防范措施；督促落实职责范围内的安全生产监管监察指令；落实矿长安排的其他安全生产职责。</w:t>
            </w:r>
          </w:p>
          <w:p>
            <w:pPr>
              <w:spacing w:before="156" w:beforeLines="50"/>
            </w:pPr>
            <w:r>
              <w:rPr>
                <w:rFonts w:hint="eastAsia"/>
              </w:rPr>
              <w:t>对职能基本清楚。</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160" w:type="dxa"/>
          </w:tcPr>
          <w:p>
            <w:pPr>
              <w:rPr>
                <w:rFonts w:asciiTheme="majorEastAsia" w:hAnsiTheme="majorEastAsia" w:eastAsiaTheme="majorEastAsia" w:cstheme="majorEastAsia"/>
              </w:rPr>
            </w:pPr>
            <w:r>
              <w:rPr>
                <w:rFonts w:hint="eastAsia" w:asciiTheme="majorEastAsia" w:hAnsiTheme="majorEastAsia" w:eastAsiaTheme="majorEastAsia" w:cstheme="majorEastAsia"/>
                <w:szCs w:val="21"/>
              </w:rPr>
              <w:t>目标</w:t>
            </w:r>
          </w:p>
        </w:tc>
        <w:tc>
          <w:tcPr>
            <w:tcW w:w="1178" w:type="dxa"/>
          </w:tcPr>
          <w:p>
            <w:r>
              <w:rPr>
                <w:rFonts w:hint="eastAsia"/>
              </w:rPr>
              <w:t>QEOEn6.2</w:t>
            </w:r>
          </w:p>
        </w:tc>
        <w:tc>
          <w:tcPr>
            <w:tcW w:w="10662" w:type="dxa"/>
          </w:tcPr>
          <w:p>
            <w:pPr>
              <w:spacing w:before="156" w:beforeLines="50"/>
              <w:jc w:val="left"/>
              <w:rPr>
                <w:szCs w:val="22"/>
              </w:rPr>
            </w:pPr>
            <w:r>
              <w:rPr>
                <w:rFonts w:hint="eastAsia"/>
                <w:szCs w:val="22"/>
              </w:rPr>
              <w:t>提供：内蒙古鄂尔多斯市潮脑梁煤炭有限公司目标责任书（2022年度）：</w:t>
            </w:r>
          </w:p>
          <w:p>
            <w:pPr>
              <w:spacing w:before="156" w:beforeLines="50"/>
              <w:jc w:val="left"/>
              <w:rPr>
                <w:szCs w:val="22"/>
              </w:rPr>
            </w:pPr>
            <w:r>
              <w:rPr>
                <w:rFonts w:hint="eastAsia"/>
                <w:szCs w:val="22"/>
              </w:rPr>
              <w:t>生产部；全年实现以下总体目标：</w:t>
            </w:r>
          </w:p>
          <w:p>
            <w:pPr>
              <w:pStyle w:val="2"/>
              <w:rPr>
                <w:sz w:val="21"/>
                <w:szCs w:val="22"/>
              </w:rPr>
            </w:pPr>
            <w:r>
              <w:rPr>
                <w:sz w:val="21"/>
                <w:szCs w:val="22"/>
              </w:rPr>
              <w:drawing>
                <wp:inline distT="0" distB="0" distL="0" distR="0">
                  <wp:extent cx="6633210" cy="1403985"/>
                  <wp:effectExtent l="0" t="0" r="889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633210" cy="1403985"/>
                          </a:xfrm>
                          <a:prstGeom prst="rect">
                            <a:avLst/>
                          </a:prstGeom>
                        </pic:spPr>
                      </pic:pic>
                    </a:graphicData>
                  </a:graphic>
                </wp:inline>
              </w:drawing>
            </w:r>
          </w:p>
          <w:p>
            <w:pPr>
              <w:spacing w:before="156" w:beforeLines="50"/>
              <w:jc w:val="left"/>
              <w:rPr>
                <w:szCs w:val="22"/>
              </w:rPr>
            </w:pPr>
            <w:r>
              <w:rPr>
                <w:rFonts w:hint="eastAsia"/>
                <w:szCs w:val="22"/>
              </w:rPr>
              <w:t xml:space="preserve"> 2022年生产部QEO目标完成情况较好。</w:t>
            </w:r>
          </w:p>
          <w:p>
            <w:pPr>
              <w:spacing w:before="156" w:beforeLines="50"/>
              <w:jc w:val="left"/>
              <w:rPr>
                <w:szCs w:val="22"/>
              </w:rPr>
            </w:pPr>
            <w:r>
              <w:rPr>
                <w:rFonts w:hint="eastAsia"/>
                <w:szCs w:val="22"/>
              </w:rPr>
              <w:t>能源目标笼统，没有量化也没有进行考核——观察项</w:t>
            </w:r>
          </w:p>
        </w:tc>
        <w:tc>
          <w:tcPr>
            <w:tcW w:w="709" w:type="dxa"/>
          </w:tcPr>
          <w:p>
            <w:r>
              <w:rPr>
                <w:rFonts w:hint="eastAsia"/>
              </w:rPr>
              <w:t>y</w:t>
            </w:r>
          </w:p>
          <w:p>
            <w:pPr>
              <w:pStyle w:val="2"/>
            </w:pPr>
          </w:p>
          <w:p>
            <w:pPr>
              <w:pStyle w:val="3"/>
              <w:ind w:firstLine="210"/>
            </w:pPr>
          </w:p>
          <w:p/>
          <w:p>
            <w:pPr>
              <w:pStyle w:val="2"/>
            </w:pPr>
          </w:p>
          <w:p>
            <w:pPr>
              <w:pStyle w:val="3"/>
              <w:ind w:firstLine="210"/>
            </w:pPr>
          </w:p>
          <w:p/>
          <w:p>
            <w:pPr>
              <w:pStyle w:val="2"/>
            </w:pPr>
          </w:p>
          <w:p>
            <w:pPr>
              <w:pStyle w:val="3"/>
              <w:ind w:firstLine="210"/>
            </w:pPr>
          </w:p>
          <w:p>
            <w:pPr>
              <w:pStyle w:val="2"/>
            </w:pPr>
          </w:p>
          <w:p>
            <w:pPr>
              <w:pStyle w:val="3"/>
              <w:ind w:left="0" w:leftChars="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环境因素识别及评价</w:t>
            </w:r>
          </w:p>
        </w:tc>
        <w:tc>
          <w:tcPr>
            <w:tcW w:w="1178" w:type="dxa"/>
          </w:tcPr>
          <w:p>
            <w:r>
              <w:rPr>
                <w:rFonts w:hint="eastAsia"/>
              </w:rPr>
              <w:t>E6.1.2</w:t>
            </w:r>
          </w:p>
        </w:tc>
        <w:tc>
          <w:tcPr>
            <w:tcW w:w="10662" w:type="dxa"/>
          </w:tcPr>
          <w:p>
            <w:pPr>
              <w:spacing w:before="156" w:beforeLines="50"/>
            </w:pPr>
            <w:r>
              <w:rPr>
                <w:rFonts w:hint="eastAsia"/>
              </w:rPr>
              <w:t>提供生产部环境因素清单：</w:t>
            </w:r>
          </w:p>
          <w:p>
            <w:pPr>
              <w:spacing w:before="156" w:beforeLines="50"/>
            </w:pPr>
            <w:r>
              <w:drawing>
                <wp:inline distT="0" distB="0" distL="0" distR="0">
                  <wp:extent cx="6633210" cy="21653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633210" cy="2165350"/>
                          </a:xfrm>
                          <a:prstGeom prst="rect">
                            <a:avLst/>
                          </a:prstGeom>
                        </pic:spPr>
                      </pic:pic>
                    </a:graphicData>
                  </a:graphic>
                </wp:inline>
              </w:drawing>
            </w:r>
          </w:p>
          <w:p>
            <w:pPr>
              <w:pStyle w:val="2"/>
              <w:spacing w:before="156" w:beforeLines="50"/>
            </w:pPr>
            <w:r>
              <w:drawing>
                <wp:inline distT="0" distB="0" distL="0" distR="0">
                  <wp:extent cx="6633210" cy="2799715"/>
                  <wp:effectExtent l="0" t="0" r="889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6633210" cy="2799715"/>
                          </a:xfrm>
                          <a:prstGeom prst="rect">
                            <a:avLst/>
                          </a:prstGeom>
                        </pic:spPr>
                      </pic:pic>
                    </a:graphicData>
                  </a:graphic>
                </wp:inline>
              </w:drawing>
            </w:r>
          </w:p>
          <w:p>
            <w:pPr>
              <w:pStyle w:val="2"/>
              <w:spacing w:before="156" w:beforeLines="50"/>
            </w:pPr>
            <w:r>
              <w:drawing>
                <wp:inline distT="0" distB="0" distL="0" distR="0">
                  <wp:extent cx="6633210" cy="18732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6633210" cy="1873250"/>
                          </a:xfrm>
                          <a:prstGeom prst="rect">
                            <a:avLst/>
                          </a:prstGeom>
                        </pic:spPr>
                      </pic:pic>
                    </a:graphicData>
                  </a:graphic>
                </wp:inline>
              </w:drawing>
            </w:r>
          </w:p>
          <w:p>
            <w:pPr>
              <w:rPr>
                <w:szCs w:val="22"/>
                <w:highlight w:val="cyan"/>
              </w:rPr>
            </w:pPr>
            <w:r>
              <w:rPr>
                <w:rFonts w:hint="eastAsia"/>
                <w:szCs w:val="21"/>
              </w:rPr>
              <w:t>生产部环境因素识别和评价基本符合要求</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危险源的识别、评价</w:t>
            </w:r>
          </w:p>
        </w:tc>
        <w:tc>
          <w:tcPr>
            <w:tcW w:w="1178" w:type="dxa"/>
          </w:tcPr>
          <w:p>
            <w:r>
              <w:rPr>
                <w:rFonts w:hint="eastAsia"/>
              </w:rPr>
              <w:t>O6.1.2</w:t>
            </w:r>
          </w:p>
        </w:tc>
        <w:tc>
          <w:tcPr>
            <w:tcW w:w="10662" w:type="dxa"/>
          </w:tcPr>
          <w:p>
            <w:pPr>
              <w:spacing w:before="156" w:beforeLines="50"/>
            </w:pPr>
            <w:r>
              <w:rPr>
                <w:rFonts w:hint="eastAsia"/>
              </w:rPr>
              <w:t>提供安全风险管控制度和危险源清单：利用矩阵评价法进行评价：</w:t>
            </w:r>
          </w:p>
          <w:p>
            <w:pPr>
              <w:pStyle w:val="2"/>
            </w:pPr>
            <w:r>
              <w:drawing>
                <wp:inline distT="0" distB="0" distL="0" distR="0">
                  <wp:extent cx="6633210" cy="2639695"/>
                  <wp:effectExtent l="0" t="0" r="889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6633210" cy="2639695"/>
                          </a:xfrm>
                          <a:prstGeom prst="rect">
                            <a:avLst/>
                          </a:prstGeom>
                        </pic:spPr>
                      </pic:pic>
                    </a:graphicData>
                  </a:graphic>
                </wp:inline>
              </w:drawing>
            </w:r>
          </w:p>
          <w:p>
            <w:r>
              <w:drawing>
                <wp:inline distT="0" distB="0" distL="0" distR="0">
                  <wp:extent cx="6633210" cy="2216150"/>
                  <wp:effectExtent l="0" t="0" r="889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6633210" cy="2216150"/>
                          </a:xfrm>
                          <a:prstGeom prst="rect">
                            <a:avLst/>
                          </a:prstGeom>
                        </pic:spPr>
                      </pic:pic>
                    </a:graphicData>
                  </a:graphic>
                </wp:inline>
              </w:drawing>
            </w:r>
          </w:p>
          <w:p>
            <w:r>
              <w:drawing>
                <wp:inline distT="0" distB="0" distL="0" distR="0">
                  <wp:extent cx="6633210" cy="2828925"/>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6633210" cy="2828925"/>
                          </a:xfrm>
                          <a:prstGeom prst="rect">
                            <a:avLst/>
                          </a:prstGeom>
                        </pic:spPr>
                      </pic:pic>
                    </a:graphicData>
                  </a:graphic>
                </wp:inline>
              </w:drawing>
            </w:r>
          </w:p>
          <w:p>
            <w:pPr>
              <w:pStyle w:val="2"/>
            </w:pPr>
          </w:p>
          <w:p>
            <w:pPr>
              <w:pStyle w:val="3"/>
              <w:ind w:left="0" w:leftChars="0" w:firstLine="0" w:firstLineChars="0"/>
            </w:pPr>
            <w:r>
              <w:rPr>
                <w:rFonts w:hint="eastAsia"/>
              </w:rPr>
              <w:t>利用矩阵评价法，评出</w:t>
            </w:r>
            <w:r>
              <w:t>4</w:t>
            </w:r>
            <w:r>
              <w:rPr>
                <w:rFonts w:hint="eastAsia"/>
              </w:rPr>
              <w:t>项重大危险源，如下表：</w:t>
            </w:r>
          </w:p>
          <w:tbl>
            <w:tblPr>
              <w:tblStyle w:val="15"/>
              <w:tblpPr w:leftFromText="180" w:rightFromText="180" w:vertAnchor="text" w:horzAnchor="page" w:tblpX="405" w:tblpY="117"/>
              <w:tblOverlap w:val="never"/>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521"/>
              <w:gridCol w:w="99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71" w:type="dxa"/>
                  <w:vAlign w:val="center"/>
                </w:tcPr>
                <w:p>
                  <w:pPr>
                    <w:adjustRightInd w:val="0"/>
                    <w:snapToGrid w:val="0"/>
                    <w:spacing w:line="360" w:lineRule="auto"/>
                    <w:jc w:val="center"/>
                  </w:pPr>
                  <w:r>
                    <w:rPr>
                      <w:rFonts w:hint="eastAsia"/>
                    </w:rPr>
                    <w:t>危险源</w:t>
                  </w:r>
                </w:p>
              </w:tc>
              <w:tc>
                <w:tcPr>
                  <w:tcW w:w="6521" w:type="dxa"/>
                  <w:vAlign w:val="center"/>
                </w:tcPr>
                <w:p>
                  <w:pPr>
                    <w:adjustRightInd w:val="0"/>
                    <w:snapToGrid w:val="0"/>
                    <w:spacing w:line="360" w:lineRule="auto"/>
                    <w:jc w:val="center"/>
                  </w:pPr>
                  <w:r>
                    <w:rPr>
                      <w:rFonts w:hint="eastAsia"/>
                    </w:rPr>
                    <w:t>风险描述</w:t>
                  </w:r>
                </w:p>
              </w:tc>
              <w:tc>
                <w:tcPr>
                  <w:tcW w:w="992" w:type="dxa"/>
                  <w:vAlign w:val="center"/>
                </w:tcPr>
                <w:p>
                  <w:pPr>
                    <w:adjustRightInd w:val="0"/>
                    <w:snapToGrid w:val="0"/>
                    <w:spacing w:line="360" w:lineRule="auto"/>
                    <w:jc w:val="center"/>
                  </w:pPr>
                  <w:r>
                    <w:rPr>
                      <w:rFonts w:hint="eastAsia"/>
                    </w:rPr>
                    <w:t>风险值</w:t>
                  </w:r>
                </w:p>
              </w:tc>
              <w:tc>
                <w:tcPr>
                  <w:tcW w:w="1176" w:type="dxa"/>
                  <w:vAlign w:val="center"/>
                </w:tcPr>
                <w:p>
                  <w:pPr>
                    <w:adjustRightInd w:val="0"/>
                    <w:snapToGrid w:val="0"/>
                    <w:spacing w:line="360" w:lineRule="auto"/>
                    <w:jc w:val="center"/>
                  </w:pPr>
                  <w:r>
                    <w:rPr>
                      <w:rFonts w:hint="eastAsia"/>
                    </w:rPr>
                    <w:t>风险类别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adjustRightInd w:val="0"/>
                    <w:snapToGrid w:val="0"/>
                    <w:spacing w:line="360" w:lineRule="auto"/>
                    <w:jc w:val="center"/>
                  </w:pPr>
                  <w:r>
                    <w:rPr>
                      <w:rFonts w:hint="eastAsia"/>
                    </w:rPr>
                    <w:t>运输</w:t>
                  </w:r>
                </w:p>
              </w:tc>
              <w:tc>
                <w:tcPr>
                  <w:tcW w:w="6521" w:type="dxa"/>
                  <w:vAlign w:val="center"/>
                </w:tcPr>
                <w:p>
                  <w:pPr>
                    <w:pStyle w:val="30"/>
                    <w:pageBreakBefore w:val="0"/>
                    <w:widowControl w:val="0"/>
                    <w:kinsoku/>
                    <w:wordWrap/>
                    <w:overflowPunct/>
                    <w:topLinePunct w:val="0"/>
                    <w:autoSpaceDE/>
                    <w:autoSpaceDN/>
                    <w:bidi w:val="0"/>
                    <w:adjustRightInd/>
                    <w:snapToGrid/>
                    <w:spacing w:before="0" w:line="240" w:lineRule="exact"/>
                    <w:ind w:firstLine="0" w:firstLineChars="0"/>
                    <w:textAlignment w:val="auto"/>
                    <w:rPr>
                      <w:rFonts w:ascii="Times New Roman" w:hAnsi="Times New Roman"/>
                      <w:b w:val="0"/>
                      <w:bCs w:val="0"/>
                      <w:kern w:val="2"/>
                      <w:szCs w:val="20"/>
                    </w:rPr>
                  </w:pPr>
                  <w:r>
                    <w:rPr>
                      <w:rFonts w:hint="eastAsia" w:ascii="Times New Roman" w:hAnsi="Times New Roman"/>
                      <w:b w:val="0"/>
                      <w:bCs w:val="0"/>
                      <w:kern w:val="2"/>
                      <w:szCs w:val="20"/>
                    </w:rPr>
                    <w:t>作业区域内车辆遇雨雪极端天气，导致道路湿滑可能存在发生侧翻、溜车的风险。</w:t>
                  </w:r>
                </w:p>
              </w:tc>
              <w:tc>
                <w:tcPr>
                  <w:tcW w:w="992" w:type="dxa"/>
                  <w:vAlign w:val="center"/>
                </w:tcPr>
                <w:p>
                  <w:pPr>
                    <w:adjustRightInd w:val="0"/>
                    <w:snapToGrid w:val="0"/>
                    <w:spacing w:line="360" w:lineRule="auto"/>
                    <w:jc w:val="center"/>
                  </w:pPr>
                  <w:r>
                    <w:rPr>
                      <w:rFonts w:hint="eastAsia"/>
                    </w:rPr>
                    <w:t>3×6</w:t>
                  </w:r>
                </w:p>
              </w:tc>
              <w:tc>
                <w:tcPr>
                  <w:tcW w:w="1176" w:type="dxa"/>
                  <w:vAlign w:val="center"/>
                </w:tcPr>
                <w:p>
                  <w:pPr>
                    <w:adjustRightInd w:val="0"/>
                    <w:snapToGrid w:val="0"/>
                    <w:spacing w:line="360" w:lineRule="auto"/>
                    <w:jc w:val="center"/>
                  </w:pPr>
                  <w:r>
                    <w:rPr>
                      <w:rFonts w:hint="eastAsia"/>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adjustRightInd w:val="0"/>
                    <w:snapToGrid w:val="0"/>
                    <w:spacing w:line="360" w:lineRule="auto"/>
                    <w:jc w:val="center"/>
                  </w:pPr>
                  <w:r>
                    <w:rPr>
                      <w:rFonts w:hint="eastAsia"/>
                    </w:rPr>
                    <w:t>爆破</w:t>
                  </w:r>
                </w:p>
              </w:tc>
              <w:tc>
                <w:tcPr>
                  <w:tcW w:w="6521" w:type="dxa"/>
                  <w:vAlign w:val="center"/>
                </w:tcPr>
                <w:p>
                  <w:pPr>
                    <w:pageBreakBefore w:val="0"/>
                    <w:widowControl w:val="0"/>
                    <w:kinsoku/>
                    <w:wordWrap/>
                    <w:overflowPunct/>
                    <w:topLinePunct w:val="0"/>
                    <w:autoSpaceDE/>
                    <w:autoSpaceDN/>
                    <w:bidi w:val="0"/>
                    <w:adjustRightInd/>
                    <w:snapToGrid/>
                    <w:spacing w:line="240" w:lineRule="exact"/>
                    <w:jc w:val="left"/>
                    <w:textAlignment w:val="auto"/>
                  </w:pPr>
                  <w:r>
                    <w:rPr>
                      <w:rFonts w:hint="eastAsia"/>
                    </w:rPr>
                    <w:t>在爆破作业中装药环节、填塞环节、连线环节可能存在操作失误发生意外爆炸的风险。</w:t>
                  </w:r>
                </w:p>
              </w:tc>
              <w:tc>
                <w:tcPr>
                  <w:tcW w:w="992" w:type="dxa"/>
                  <w:vAlign w:val="center"/>
                </w:tcPr>
                <w:p>
                  <w:pPr>
                    <w:adjustRightInd w:val="0"/>
                    <w:snapToGrid w:val="0"/>
                    <w:spacing w:line="360" w:lineRule="auto"/>
                    <w:jc w:val="center"/>
                  </w:pPr>
                  <w:r>
                    <w:rPr>
                      <w:rFonts w:hint="eastAsia"/>
                    </w:rPr>
                    <w:t>3×6</w:t>
                  </w:r>
                </w:p>
              </w:tc>
              <w:tc>
                <w:tcPr>
                  <w:tcW w:w="1176" w:type="dxa"/>
                  <w:vAlign w:val="center"/>
                </w:tcPr>
                <w:p>
                  <w:pPr>
                    <w:adjustRightInd w:val="0"/>
                    <w:snapToGrid w:val="0"/>
                    <w:spacing w:line="360" w:lineRule="auto"/>
                    <w:jc w:val="center"/>
                  </w:pPr>
                  <w:r>
                    <w:rPr>
                      <w:rFonts w:hint="eastAsia"/>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堆煤 自燃</w:t>
                  </w:r>
                </w:p>
              </w:tc>
              <w:tc>
                <w:tcPr>
                  <w:tcW w:w="65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pPr>
                  <w:r>
                    <w:rPr>
                      <w:rFonts w:hint="eastAsia"/>
                    </w:rPr>
                    <w:t>煤棚内松散堆煤后容易进入空气可能存在自燃的风险。</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3×6</w:t>
                  </w:r>
                </w:p>
              </w:tc>
              <w:tc>
                <w:tcPr>
                  <w:tcW w:w="11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边坡</w:t>
                  </w:r>
                </w:p>
              </w:tc>
              <w:tc>
                <w:tcPr>
                  <w:tcW w:w="6521" w:type="dxa"/>
                  <w:vAlign w:val="center"/>
                </w:tcPr>
                <w:p>
                  <w:pPr>
                    <w:pStyle w:val="30"/>
                    <w:keepNext w:val="0"/>
                    <w:keepLines w:val="0"/>
                    <w:pageBreakBefore w:val="0"/>
                    <w:widowControl w:val="0"/>
                    <w:kinsoku/>
                    <w:wordWrap/>
                    <w:overflowPunct/>
                    <w:topLinePunct w:val="0"/>
                    <w:autoSpaceDE/>
                    <w:autoSpaceDN/>
                    <w:bidi w:val="0"/>
                    <w:spacing w:line="240" w:lineRule="exact"/>
                    <w:ind w:firstLine="0" w:firstLineChars="0"/>
                    <w:textAlignment w:val="auto"/>
                    <w:rPr>
                      <w:rFonts w:ascii="Times New Roman" w:hAnsi="Times New Roman"/>
                      <w:b w:val="0"/>
                      <w:bCs w:val="0"/>
                      <w:kern w:val="2"/>
                      <w:szCs w:val="20"/>
                    </w:rPr>
                  </w:pPr>
                  <w:r>
                    <w:rPr>
                      <w:rFonts w:hint="eastAsia" w:ascii="Times New Roman" w:hAnsi="Times New Roman"/>
                      <w:b w:val="0"/>
                      <w:bCs w:val="0"/>
                      <w:kern w:val="2"/>
                      <w:szCs w:val="20"/>
                    </w:rPr>
                    <w:t>长时间暴露的边坡或岩石力学发生变化，可能存在发生位移、滑动、坍塌等事故风险。</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3×6</w:t>
                  </w:r>
                </w:p>
              </w:tc>
              <w:tc>
                <w:tcPr>
                  <w:tcW w:w="11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pPr>
                  <w:r>
                    <w:rPr>
                      <w:rFonts w:hint="eastAsia"/>
                    </w:rPr>
                    <w:t>重大</w:t>
                  </w:r>
                </w:p>
              </w:tc>
            </w:tr>
          </w:tbl>
          <w:p>
            <w:pPr>
              <w:pStyle w:val="2"/>
            </w:pPr>
          </w:p>
          <w:p>
            <w:pPr>
              <w:pStyle w:val="3"/>
              <w:ind w:left="0" w:leftChars="0" w:firstLine="0" w:firstLineChars="0"/>
            </w:pPr>
            <w:r>
              <w:rPr>
                <w:rFonts w:hint="eastAsia"/>
              </w:rPr>
              <w:t>针对4项重大危险源制定了控制措施：见《潮脑梁煤矿2022年重大风险管控方案》</w:t>
            </w:r>
          </w:p>
          <w:p>
            <w:r>
              <w:rPr>
                <w:rFonts w:hint="eastAsia"/>
              </w:rPr>
              <w:t>公司危险源识别、评价，控制措施符合要求。</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asciiTheme="majorEastAsia" w:hAnsiTheme="majorEastAsia" w:eastAsiaTheme="majorEastAsia" w:cstheme="majorEastAsia"/>
                <w:szCs w:val="21"/>
              </w:rPr>
            </w:pPr>
            <w:r>
              <w:rPr>
                <w:rFonts w:asciiTheme="majorEastAsia" w:hAnsiTheme="majorEastAsia" w:eastAsiaTheme="majorEastAsia" w:cstheme="majorEastAsia"/>
                <w:szCs w:val="21"/>
              </w:rPr>
              <w:t>合规义务</w:t>
            </w:r>
          </w:p>
        </w:tc>
        <w:tc>
          <w:tcPr>
            <w:tcW w:w="1178" w:type="dxa"/>
          </w:tcPr>
          <w:p>
            <w:r>
              <w:rPr>
                <w:rFonts w:hint="eastAsia"/>
                <w:szCs w:val="21"/>
              </w:rPr>
              <w:t>E6.1.3</w:t>
            </w:r>
          </w:p>
        </w:tc>
        <w:tc>
          <w:tcPr>
            <w:tcW w:w="10662" w:type="dxa"/>
          </w:tcPr>
          <w:p>
            <w:pPr>
              <w:spacing w:before="156" w:beforeLines="50"/>
            </w:pPr>
            <w:r>
              <w:rPr>
                <w:rFonts w:hint="eastAsia"/>
              </w:rPr>
              <w:t>提供《</w:t>
            </w:r>
            <w:r>
              <w:t>环境因素法律法规合规性评价表</w:t>
            </w:r>
            <w:r>
              <w:rPr>
                <w:rFonts w:hint="eastAsia"/>
              </w:rPr>
              <w:t>》</w:t>
            </w:r>
          </w:p>
          <w:p>
            <w:pPr>
              <w:pStyle w:val="2"/>
            </w:pPr>
            <w:r>
              <w:drawing>
                <wp:inline distT="0" distB="0" distL="0" distR="0">
                  <wp:extent cx="6333490" cy="23749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6333490" cy="2374900"/>
                          </a:xfrm>
                          <a:prstGeom prst="rect">
                            <a:avLst/>
                          </a:prstGeom>
                        </pic:spPr>
                      </pic:pic>
                    </a:graphicData>
                  </a:graphic>
                </wp:inline>
              </w:drawing>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asciiTheme="majorEastAsia" w:hAnsiTheme="majorEastAsia" w:eastAsiaTheme="majorEastAsia" w:cstheme="majorEastAsia"/>
                <w:szCs w:val="21"/>
              </w:rPr>
            </w:pPr>
            <w:r>
              <w:rPr>
                <w:rFonts w:asciiTheme="majorEastAsia" w:hAnsiTheme="majorEastAsia" w:eastAsiaTheme="majorEastAsia" w:cstheme="majorEastAsia"/>
                <w:szCs w:val="21"/>
              </w:rPr>
              <w:t>措施的策划</w:t>
            </w:r>
          </w:p>
        </w:tc>
        <w:tc>
          <w:tcPr>
            <w:tcW w:w="1178" w:type="dxa"/>
          </w:tcPr>
          <w:p>
            <w:pPr>
              <w:rPr>
                <w:szCs w:val="21"/>
              </w:rPr>
            </w:pPr>
            <w:r>
              <w:rPr>
                <w:rFonts w:hint="eastAsia"/>
                <w:szCs w:val="21"/>
              </w:rPr>
              <w:t>E6.1.4</w:t>
            </w:r>
          </w:p>
        </w:tc>
        <w:tc>
          <w:tcPr>
            <w:tcW w:w="10662" w:type="dxa"/>
          </w:tcPr>
          <w:p>
            <w:pPr>
              <w:pStyle w:val="31"/>
              <w:ind w:firstLine="0" w:firstLineChars="0"/>
              <w:rPr>
                <w:rFonts w:asciiTheme="majorEastAsia" w:hAnsiTheme="majorEastAsia" w:eastAsiaTheme="majorEastAsia" w:cstheme="majorEastAsia"/>
                <w:iCs w:val="0"/>
                <w:snapToGrid/>
                <w:kern w:val="2"/>
                <w:sz w:val="21"/>
                <w:szCs w:val="21"/>
              </w:rPr>
            </w:pPr>
            <w:r>
              <w:rPr>
                <w:rFonts w:hint="eastAsia" w:asciiTheme="majorEastAsia" w:hAnsiTheme="majorEastAsia" w:eastAsiaTheme="majorEastAsia" w:cstheme="majorEastAsia"/>
                <w:iCs w:val="0"/>
                <w:snapToGrid/>
                <w:kern w:val="2"/>
                <w:sz w:val="21"/>
                <w:szCs w:val="21"/>
              </w:rPr>
              <w:t>提供《内蒙古鄂尔多斯市潮脑梁煤炭有限公司环境保护设施落实情况》：</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1、煤矿办公区</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煤矿设置垃圾分类箱子进行垃圾分类，同时进行分类处理。锅炉产生的废气、颗粒物、噪声等都配置响应的环保设备，进行脱硫、脱硝、进行水浴除尘。办公区域内进行大量绿化。进矿的运煤道路全部进行水泥硬化处理。道路两旁都设置喷淋。</w:t>
            </w:r>
          </w:p>
          <w:p>
            <w:pPr>
              <w:pStyle w:val="7"/>
              <w:rPr>
                <w:rFonts w:asciiTheme="majorEastAsia" w:hAnsiTheme="majorEastAsia" w:eastAsiaTheme="majorEastAsia" w:cstheme="majorEastAsia"/>
                <w:szCs w:val="21"/>
              </w:rPr>
            </w:pPr>
            <w:r>
              <w:rPr>
                <w:rFonts w:asciiTheme="majorEastAsia" w:hAnsiTheme="majorEastAsia" w:eastAsiaTheme="majorEastAsia" w:cstheme="majorEastAsia"/>
                <w:szCs w:val="21"/>
              </w:rPr>
              <w:drawing>
                <wp:inline distT="0" distB="0" distL="114300" distR="114300">
                  <wp:extent cx="1292860" cy="1313815"/>
                  <wp:effectExtent l="0" t="0" r="2540" b="6985"/>
                  <wp:docPr id="11" name="图片 11" descr="d590cfffb276f4c1e4e41cad6a5b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590cfffb276f4c1e4e41cad6a5bdb8"/>
                          <pic:cNvPicPr>
                            <a:picLocks noChangeAspect="1"/>
                          </pic:cNvPicPr>
                        </pic:nvPicPr>
                        <pic:blipFill>
                          <a:blip r:embed="rId15"/>
                          <a:stretch>
                            <a:fillRect/>
                          </a:stretch>
                        </pic:blipFill>
                        <pic:spPr>
                          <a:xfrm>
                            <a:off x="0" y="0"/>
                            <a:ext cx="1296693" cy="1313815"/>
                          </a:xfrm>
                          <a:prstGeom prst="rect">
                            <a:avLst/>
                          </a:prstGeom>
                        </pic:spPr>
                      </pic:pic>
                    </a:graphicData>
                  </a:graphic>
                </wp:inline>
              </w:drawing>
            </w:r>
          </w:p>
          <w:p>
            <w:pPr>
              <w:numPr>
                <w:ilvl w:val="0"/>
                <w:numId w:val="1"/>
              </w:num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煤场生产区</w:t>
            </w:r>
          </w:p>
          <w:p>
            <w:pPr>
              <w:pStyle w:val="7"/>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煤场建盖了大约70000平方米的储煤棚，防止生产加工煤时候扬尘外泄，同时煤场周围也设置抑尘屏障。运输道路也进行洒水，2022年3月份引入抑尘剂，喷洒一次可以有效的保持1个星期不起尘。同时运输道路中间区域用绿色网进行覆盖。煤棚内加工设备都在进行安装喷淋设施，进行自动化监测，粉尘达到一定浓度进行自动喷淋。</w:t>
            </w:r>
          </w:p>
          <w:p>
            <w:pPr>
              <w:pStyle w:val="10"/>
              <w:ind w:firstLine="210"/>
              <w:rPr>
                <w:rFonts w:asciiTheme="majorEastAsia" w:hAnsiTheme="majorEastAsia" w:eastAsiaTheme="majorEastAsia" w:cstheme="majorEastAsia"/>
                <w:szCs w:val="21"/>
              </w:rPr>
            </w:pPr>
          </w:p>
          <w:p>
            <w:pPr>
              <w:rPr>
                <w:rFonts w:asciiTheme="majorEastAsia" w:hAnsiTheme="majorEastAsia" w:eastAsiaTheme="majorEastAsia" w:cstheme="majorEastAsia"/>
                <w:szCs w:val="21"/>
              </w:rPr>
            </w:pPr>
            <w:r>
              <w:rPr>
                <w:rFonts w:asciiTheme="majorEastAsia" w:hAnsiTheme="majorEastAsia" w:eastAsiaTheme="majorEastAsia" w:cstheme="majorEastAsia"/>
                <w:szCs w:val="21"/>
              </w:rPr>
              <w:drawing>
                <wp:inline distT="0" distB="0" distL="114300" distR="114300">
                  <wp:extent cx="1508760" cy="1080770"/>
                  <wp:effectExtent l="0" t="0" r="0" b="5080"/>
                  <wp:docPr id="12" name="图片 12" descr="c115a0983f77069624445457e400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115a0983f77069624445457e4007f9"/>
                          <pic:cNvPicPr>
                            <a:picLocks noChangeAspect="1"/>
                          </pic:cNvPicPr>
                        </pic:nvPicPr>
                        <pic:blipFill>
                          <a:blip r:embed="rId16"/>
                          <a:stretch>
                            <a:fillRect/>
                          </a:stretch>
                        </pic:blipFill>
                        <pic:spPr>
                          <a:xfrm>
                            <a:off x="0" y="0"/>
                            <a:ext cx="1516646" cy="1086459"/>
                          </a:xfrm>
                          <a:prstGeom prst="rect">
                            <a:avLst/>
                          </a:prstGeom>
                        </pic:spPr>
                      </pic:pic>
                    </a:graphicData>
                  </a:graphic>
                </wp:inline>
              </w:drawing>
            </w:r>
            <w:r>
              <w:rPr>
                <w:rFonts w:asciiTheme="majorEastAsia" w:hAnsiTheme="majorEastAsia" w:eastAsiaTheme="majorEastAsia" w:cstheme="majorEastAsia"/>
                <w:szCs w:val="21"/>
              </w:rPr>
              <w:drawing>
                <wp:inline distT="0" distB="0" distL="114300" distR="114300">
                  <wp:extent cx="2049780" cy="1027430"/>
                  <wp:effectExtent l="0" t="0" r="7620" b="1270"/>
                  <wp:docPr id="20" name="图片 20" descr="eb237975b4a7923c904df644169c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b237975b4a7923c904df644169c351"/>
                          <pic:cNvPicPr>
                            <a:picLocks noChangeAspect="1"/>
                          </pic:cNvPicPr>
                        </pic:nvPicPr>
                        <pic:blipFill>
                          <a:blip r:embed="rId17"/>
                          <a:stretch>
                            <a:fillRect/>
                          </a:stretch>
                        </pic:blipFill>
                        <pic:spPr>
                          <a:xfrm>
                            <a:off x="0" y="0"/>
                            <a:ext cx="2055749" cy="1030482"/>
                          </a:xfrm>
                          <a:prstGeom prst="rect">
                            <a:avLst/>
                          </a:prstGeom>
                        </pic:spPr>
                      </pic:pic>
                    </a:graphicData>
                  </a:graphic>
                </wp:inline>
              </w:drawing>
            </w:r>
            <w:r>
              <w:rPr>
                <w:rFonts w:asciiTheme="majorEastAsia" w:hAnsiTheme="majorEastAsia" w:eastAsiaTheme="majorEastAsia" w:cstheme="majorEastAsia"/>
                <w:szCs w:val="21"/>
              </w:rPr>
              <w:drawing>
                <wp:inline distT="0" distB="0" distL="114300" distR="114300">
                  <wp:extent cx="1402080" cy="1051560"/>
                  <wp:effectExtent l="0" t="0" r="7620" b="0"/>
                  <wp:docPr id="14" name="图片 14" descr="268bdeb3120e5b5c38dc0353c5e0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8bdeb3120e5b5c38dc0353c5e0a47"/>
                          <pic:cNvPicPr>
                            <a:picLocks noChangeAspect="1"/>
                          </pic:cNvPicPr>
                        </pic:nvPicPr>
                        <pic:blipFill>
                          <a:blip r:embed="rId18"/>
                          <a:stretch>
                            <a:fillRect/>
                          </a:stretch>
                        </pic:blipFill>
                        <pic:spPr>
                          <a:xfrm>
                            <a:off x="0" y="0"/>
                            <a:ext cx="1402080" cy="1051560"/>
                          </a:xfrm>
                          <a:prstGeom prst="rect">
                            <a:avLst/>
                          </a:prstGeom>
                        </pic:spPr>
                      </pic:pic>
                    </a:graphicData>
                  </a:graphic>
                </wp:inline>
              </w:drawing>
            </w:r>
            <w:r>
              <w:rPr>
                <w:rFonts w:asciiTheme="majorEastAsia" w:hAnsiTheme="majorEastAsia" w:eastAsiaTheme="majorEastAsia" w:cstheme="majorEastAsia"/>
                <w:szCs w:val="21"/>
              </w:rPr>
              <w:drawing>
                <wp:inline distT="0" distB="0" distL="114300" distR="114300">
                  <wp:extent cx="1432560" cy="1043940"/>
                  <wp:effectExtent l="0" t="0" r="0" b="3810"/>
                  <wp:docPr id="15" name="图片 15" descr="4ff91d66d7f28859c9b60f1ae93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ff91d66d7f28859c9b60f1ae930045"/>
                          <pic:cNvPicPr>
                            <a:picLocks noChangeAspect="1"/>
                          </pic:cNvPicPr>
                        </pic:nvPicPr>
                        <pic:blipFill>
                          <a:blip r:embed="rId19"/>
                          <a:stretch>
                            <a:fillRect/>
                          </a:stretch>
                        </pic:blipFill>
                        <pic:spPr>
                          <a:xfrm>
                            <a:off x="0" y="0"/>
                            <a:ext cx="1435669" cy="1046082"/>
                          </a:xfrm>
                          <a:prstGeom prst="rect">
                            <a:avLst/>
                          </a:prstGeom>
                        </pic:spPr>
                      </pic:pic>
                    </a:graphicData>
                  </a:graphic>
                </wp:inline>
              </w:drawing>
            </w:r>
          </w:p>
          <w:p>
            <w:pPr>
              <w:numPr>
                <w:ilvl w:val="0"/>
                <w:numId w:val="1"/>
              </w:num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采区工作区</w:t>
            </w:r>
          </w:p>
          <w:p>
            <w:pPr>
              <w:pStyle w:val="7"/>
              <w:ind w:left="420"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采区运煤道路进行不间断洒水，煤矿设置大约有23辆水车，同时运煤道路中间区域也设置喷灌，喷洒抑尘剂。</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drawing>
                <wp:inline distT="0" distB="0" distL="114300" distR="114300">
                  <wp:extent cx="1173480" cy="1482090"/>
                  <wp:effectExtent l="0" t="0" r="7620" b="3810"/>
                  <wp:docPr id="16" name="图片 16" descr="a7011ab7d7bb4e9871b771b7755e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7011ab7d7bb4e9871b771b7755e9c3"/>
                          <pic:cNvPicPr>
                            <a:picLocks noChangeAspect="1"/>
                          </pic:cNvPicPr>
                        </pic:nvPicPr>
                        <pic:blipFill>
                          <a:blip r:embed="rId20"/>
                          <a:stretch>
                            <a:fillRect/>
                          </a:stretch>
                        </pic:blipFill>
                        <pic:spPr>
                          <a:xfrm>
                            <a:off x="0" y="0"/>
                            <a:ext cx="1175436" cy="1484740"/>
                          </a:xfrm>
                          <a:prstGeom prst="rect">
                            <a:avLst/>
                          </a:prstGeom>
                        </pic:spPr>
                      </pic:pic>
                    </a:graphicData>
                  </a:graphic>
                </wp:inline>
              </w:drawing>
            </w:r>
            <w:r>
              <w:rPr>
                <w:rFonts w:hint="eastAsia" w:asciiTheme="majorEastAsia" w:hAnsiTheme="majorEastAsia" w:eastAsiaTheme="majorEastAsia" w:cstheme="majorEastAsia"/>
                <w:szCs w:val="21"/>
              </w:rPr>
              <w:drawing>
                <wp:inline distT="0" distB="0" distL="114300" distR="114300">
                  <wp:extent cx="1485900" cy="1651635"/>
                  <wp:effectExtent l="0" t="6668" r="0" b="0"/>
                  <wp:docPr id="18" name="图片 18" descr="f262510616654e8c999aae043f01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262510616654e8c999aae043f0177b"/>
                          <pic:cNvPicPr>
                            <a:picLocks noChangeAspect="1"/>
                          </pic:cNvPicPr>
                        </pic:nvPicPr>
                        <pic:blipFill>
                          <a:blip r:embed="rId21"/>
                          <a:stretch>
                            <a:fillRect/>
                          </a:stretch>
                        </pic:blipFill>
                        <pic:spPr>
                          <a:xfrm rot="5400000">
                            <a:off x="0" y="0"/>
                            <a:ext cx="1491830" cy="1658030"/>
                          </a:xfrm>
                          <a:prstGeom prst="rect">
                            <a:avLst/>
                          </a:prstGeom>
                        </pic:spPr>
                      </pic:pic>
                    </a:graphicData>
                  </a:graphic>
                </wp:inline>
              </w:drawing>
            </w:r>
            <w:r>
              <w:rPr>
                <w:rFonts w:hint="eastAsia" w:asciiTheme="majorEastAsia" w:hAnsiTheme="majorEastAsia" w:eastAsiaTheme="majorEastAsia" w:cstheme="majorEastAsia"/>
                <w:szCs w:val="21"/>
              </w:rPr>
              <w:drawing>
                <wp:inline distT="0" distB="0" distL="114300" distR="114300">
                  <wp:extent cx="2034540" cy="1464310"/>
                  <wp:effectExtent l="0" t="0" r="3810" b="2540"/>
                  <wp:docPr id="19" name="图片 19" descr="9a4d1f2bb1d9be941553443746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4d1f2bb1d9be94155344374615558"/>
                          <pic:cNvPicPr>
                            <a:picLocks noChangeAspect="1"/>
                          </pic:cNvPicPr>
                        </pic:nvPicPr>
                        <pic:blipFill>
                          <a:blip r:embed="rId22"/>
                          <a:stretch>
                            <a:fillRect/>
                          </a:stretch>
                        </pic:blipFill>
                        <pic:spPr>
                          <a:xfrm>
                            <a:off x="0" y="0"/>
                            <a:ext cx="2052841" cy="1477761"/>
                          </a:xfrm>
                          <a:prstGeom prst="rect">
                            <a:avLst/>
                          </a:prstGeom>
                        </pic:spPr>
                      </pic:pic>
                    </a:graphicData>
                  </a:graphic>
                </wp:inline>
              </w:drawing>
            </w:r>
          </w:p>
          <w:p>
            <w:pPr>
              <w:pStyle w:val="10"/>
              <w:ind w:firstLine="280"/>
              <w:rPr>
                <w:rFonts w:asciiTheme="majorEastAsia" w:hAnsiTheme="majorEastAsia" w:eastAsiaTheme="majorEastAsia" w:cstheme="majorEastAsia"/>
                <w:szCs w:val="21"/>
              </w:rPr>
            </w:pP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pPr>
              <w:rPr>
                <w:rFonts w:ascii="楷体_GB2312" w:eastAsia="楷体_GB2312"/>
                <w:szCs w:val="21"/>
              </w:rPr>
            </w:pPr>
            <w:r>
              <w:rPr>
                <w:rFonts w:hint="eastAsia" w:asciiTheme="majorEastAsia" w:hAnsiTheme="majorEastAsia" w:eastAsiaTheme="majorEastAsia" w:cstheme="majorEastAsia"/>
                <w:szCs w:val="21"/>
              </w:rPr>
              <w:t>生产的提供和控制/现场巡视</w:t>
            </w:r>
          </w:p>
        </w:tc>
        <w:tc>
          <w:tcPr>
            <w:tcW w:w="1178" w:type="dxa"/>
          </w:tcPr>
          <w:p>
            <w:pPr>
              <w:pStyle w:val="2"/>
            </w:pPr>
            <w:r>
              <w:rPr>
                <w:rFonts w:hint="eastAsia"/>
                <w:sz w:val="21"/>
                <w:szCs w:val="22"/>
              </w:rPr>
              <w:t>QEOEn8.1</w:t>
            </w:r>
          </w:p>
        </w:tc>
        <w:tc>
          <w:tcPr>
            <w:tcW w:w="10662" w:type="dxa"/>
          </w:tcPr>
          <w:p>
            <w:pPr>
              <w:pStyle w:val="2"/>
              <w:rPr>
                <w:rStyle w:val="33"/>
                <w:rFonts w:hint="default"/>
                <w:szCs w:val="21"/>
                <w:lang w:bidi="ar"/>
              </w:rPr>
            </w:pPr>
            <w:r>
              <w:rPr>
                <w:rStyle w:val="33"/>
                <w:szCs w:val="21"/>
                <w:lang w:bidi="ar"/>
              </w:rPr>
              <w:t>硬煤（烟煤）的开采工艺流程：</w:t>
            </w:r>
          </w:p>
          <w:p>
            <w:pPr>
              <w:pStyle w:val="2"/>
              <w:rPr>
                <w:rStyle w:val="33"/>
                <w:rFonts w:hint="default"/>
                <w:szCs w:val="21"/>
                <w:lang w:bidi="ar"/>
              </w:rPr>
            </w:pPr>
            <w:r>
              <w:rPr>
                <w:rStyle w:val="33"/>
                <w:szCs w:val="21"/>
                <w:lang w:bidi="ar"/>
              </w:rPr>
              <w:t>钻孔-----填炸药------爆破------采剥------排土------铲装------运输</w:t>
            </w:r>
          </w:p>
          <w:p>
            <w:pPr>
              <w:pStyle w:val="2"/>
              <w:spacing w:before="156" w:beforeLines="50"/>
              <w:rPr>
                <w:rStyle w:val="33"/>
                <w:rFonts w:hint="default"/>
                <w:szCs w:val="21"/>
                <w:lang w:bidi="ar"/>
              </w:rPr>
            </w:pPr>
            <w:r>
              <w:rPr>
                <w:rStyle w:val="33"/>
                <w:szCs w:val="21"/>
                <w:lang w:bidi="ar"/>
              </w:rPr>
              <w:t>提供生产部设备操作规程包括：装载机司机操作规程、挖掘机司机操作规程、钻机司机操作规程、空压机操作规程、爆破工操作规程、自卸车司机操作规程、推土机司机操作规程、洒水车司机操作规程、加油车司机操作规程、电工操作规程、水泵工操作规程、锅炉工操作规程、皮带工操作规程、测尘员操作规程等。</w:t>
            </w:r>
          </w:p>
          <w:p>
            <w:pPr>
              <w:pStyle w:val="3"/>
              <w:ind w:left="0" w:leftChars="0" w:firstLine="0" w:firstLineChars="0"/>
              <w:rPr>
                <w:sz w:val="21"/>
                <w:szCs w:val="22"/>
                <w:highlight w:val="yellow"/>
              </w:rPr>
            </w:pPr>
            <w:r>
              <w:rPr>
                <w:rStyle w:val="33"/>
                <w:szCs w:val="21"/>
                <w:lang w:bidi="ar"/>
              </w:rPr>
              <w:t>特殊过程为爆破过程，已经外包，具体控制情况见-外部供方控制；</w:t>
            </w:r>
          </w:p>
          <w:p>
            <w:pPr>
              <w:pStyle w:val="2"/>
              <w:spacing w:before="156" w:beforeLines="50"/>
              <w:rPr>
                <w:rStyle w:val="33"/>
                <w:rFonts w:hint="default"/>
                <w:sz w:val="21"/>
                <w:szCs w:val="21"/>
                <w:lang w:bidi="ar"/>
              </w:rPr>
            </w:pPr>
            <w:r>
              <w:rPr>
                <w:rStyle w:val="33"/>
                <w:rFonts w:hint="default"/>
                <w:sz w:val="21"/>
                <w:szCs w:val="21"/>
                <w:lang w:bidi="ar"/>
              </w:rPr>
              <w:t>1办公固废（废弃打印纸、废弃包装物、废弃宣传册、硒鼓、墨盒等）</w:t>
            </w:r>
            <w:r>
              <w:rPr>
                <w:rStyle w:val="33"/>
                <w:sz w:val="21"/>
                <w:szCs w:val="21"/>
                <w:lang w:bidi="ar"/>
              </w:rPr>
              <w:t>的控制措施：</w:t>
            </w:r>
          </w:p>
          <w:p>
            <w:pPr>
              <w:widowControl/>
              <w:jc w:val="left"/>
              <w:textAlignment w:val="center"/>
              <w:rPr>
                <w:rStyle w:val="33"/>
                <w:rFonts w:hint="default"/>
                <w:szCs w:val="21"/>
                <w:lang w:bidi="ar"/>
              </w:rPr>
            </w:pPr>
            <w:r>
              <w:rPr>
                <w:rStyle w:val="33"/>
                <w:rFonts w:hint="default"/>
                <w:szCs w:val="21"/>
                <w:lang w:bidi="ar"/>
              </w:rPr>
              <w:t>固体废弃物应分类存放，废纸进行回收变卖、硒鼓和墨盒重复使用；防疫物资由指定单位回收处理；</w:t>
            </w:r>
          </w:p>
          <w:p>
            <w:pPr>
              <w:pStyle w:val="2"/>
              <w:rPr>
                <w:rStyle w:val="33"/>
                <w:rFonts w:hint="default"/>
                <w:sz w:val="21"/>
                <w:szCs w:val="21"/>
                <w:lang w:bidi="ar"/>
              </w:rPr>
            </w:pPr>
            <w:r>
              <w:rPr>
                <w:rFonts w:hint="eastAsia"/>
                <w:lang w:bidi="ar"/>
              </w:rPr>
              <w:t>2</w:t>
            </w:r>
            <w:r>
              <w:rPr>
                <w:rStyle w:val="33"/>
                <w:rFonts w:hint="default"/>
                <w:sz w:val="21"/>
                <w:szCs w:val="21"/>
                <w:lang w:bidi="ar"/>
              </w:rPr>
              <w:t>废矿物油、废油桶、废电池</w:t>
            </w:r>
            <w:r>
              <w:rPr>
                <w:rStyle w:val="33"/>
                <w:sz w:val="21"/>
                <w:szCs w:val="21"/>
                <w:lang w:bidi="ar"/>
              </w:rPr>
              <w:t>处理措施：</w:t>
            </w:r>
          </w:p>
          <w:p>
            <w:pPr>
              <w:pStyle w:val="3"/>
              <w:ind w:left="0" w:leftChars="0" w:firstLine="0" w:firstLineChars="0"/>
              <w:rPr>
                <w:rStyle w:val="33"/>
                <w:rFonts w:hint="default"/>
                <w:szCs w:val="21"/>
                <w:lang w:bidi="ar"/>
              </w:rPr>
            </w:pPr>
            <w:r>
              <w:rPr>
                <w:rStyle w:val="33"/>
                <w:rFonts w:hint="default"/>
                <w:szCs w:val="21"/>
                <w:lang w:bidi="ar"/>
              </w:rPr>
              <w:t>专业公司处置，制定应急预案</w:t>
            </w:r>
            <w:r>
              <w:rPr>
                <w:rStyle w:val="33"/>
                <w:szCs w:val="21"/>
                <w:lang w:bidi="ar"/>
              </w:rPr>
              <w:t>；</w:t>
            </w:r>
          </w:p>
          <w:p>
            <w:pPr>
              <w:rPr>
                <w:rStyle w:val="33"/>
                <w:rFonts w:hint="default"/>
                <w:szCs w:val="21"/>
                <w:lang w:bidi="ar"/>
              </w:rPr>
            </w:pPr>
            <w:r>
              <w:rPr>
                <w:rFonts w:hint="eastAsia"/>
                <w:lang w:bidi="ar"/>
              </w:rPr>
              <w:t>3</w:t>
            </w:r>
            <w:r>
              <w:rPr>
                <w:rStyle w:val="33"/>
                <w:rFonts w:hint="default"/>
                <w:szCs w:val="21"/>
                <w:lang w:bidi="ar"/>
              </w:rPr>
              <w:t>装载机、运输机等设备运行噪声</w:t>
            </w:r>
            <w:r>
              <w:rPr>
                <w:rStyle w:val="33"/>
                <w:szCs w:val="21"/>
                <w:lang w:bidi="ar"/>
              </w:rPr>
              <w:t>控制措施：</w:t>
            </w:r>
          </w:p>
          <w:p>
            <w:pPr>
              <w:pStyle w:val="2"/>
              <w:rPr>
                <w:rStyle w:val="33"/>
                <w:rFonts w:hint="default"/>
                <w:sz w:val="21"/>
                <w:szCs w:val="21"/>
                <w:lang w:bidi="ar"/>
              </w:rPr>
            </w:pPr>
            <w:r>
              <w:rPr>
                <w:rStyle w:val="33"/>
                <w:rFonts w:hint="default"/>
                <w:sz w:val="21"/>
                <w:szCs w:val="21"/>
                <w:lang w:bidi="ar"/>
              </w:rPr>
              <w:t>制度管理。</w:t>
            </w:r>
          </w:p>
          <w:p>
            <w:pPr>
              <w:pStyle w:val="3"/>
              <w:ind w:left="0" w:leftChars="0" w:firstLine="0" w:firstLineChars="0"/>
              <w:rPr>
                <w:rStyle w:val="33"/>
                <w:rFonts w:hint="default"/>
                <w:szCs w:val="21"/>
                <w:lang w:bidi="ar"/>
              </w:rPr>
            </w:pPr>
            <w:r>
              <w:rPr>
                <w:rFonts w:hint="eastAsia"/>
                <w:lang w:bidi="ar"/>
              </w:rPr>
              <w:t>4</w:t>
            </w:r>
            <w:r>
              <w:rPr>
                <w:rStyle w:val="33"/>
                <w:rFonts w:hint="default"/>
                <w:szCs w:val="21"/>
                <w:lang w:bidi="ar"/>
              </w:rPr>
              <w:t>收尘和喷雾装置，煤场防风抑尘网</w:t>
            </w:r>
            <w:r>
              <w:rPr>
                <w:rStyle w:val="33"/>
                <w:szCs w:val="21"/>
                <w:lang w:bidi="ar"/>
              </w:rPr>
              <w:t>的控制措施：</w:t>
            </w:r>
          </w:p>
          <w:p>
            <w:pPr>
              <w:rPr>
                <w:rStyle w:val="33"/>
                <w:rFonts w:hint="default"/>
                <w:szCs w:val="21"/>
                <w:lang w:bidi="ar"/>
              </w:rPr>
            </w:pPr>
            <w:r>
              <w:rPr>
                <w:rStyle w:val="33"/>
                <w:rFonts w:hint="default"/>
                <w:szCs w:val="21"/>
                <w:lang w:bidi="ar"/>
              </w:rPr>
              <w:t>设置抑尘装置，制度管理</w:t>
            </w:r>
            <w:r>
              <w:rPr>
                <w:rStyle w:val="33"/>
                <w:szCs w:val="21"/>
                <w:lang w:bidi="ar"/>
              </w:rPr>
              <w:t>；</w:t>
            </w:r>
          </w:p>
          <w:p>
            <w:pPr>
              <w:pStyle w:val="2"/>
              <w:rPr>
                <w:rStyle w:val="34"/>
                <w:rFonts w:hint="default"/>
                <w:sz w:val="21"/>
                <w:szCs w:val="21"/>
                <w:lang w:bidi="ar"/>
              </w:rPr>
            </w:pPr>
            <w:r>
              <w:rPr>
                <w:rFonts w:hint="eastAsia"/>
                <w:lang w:bidi="ar"/>
              </w:rPr>
              <w:t>5</w:t>
            </w:r>
            <w:r>
              <w:rPr>
                <w:rStyle w:val="34"/>
                <w:rFonts w:hint="default"/>
                <w:sz w:val="21"/>
                <w:szCs w:val="21"/>
                <w:lang w:bidi="ar"/>
              </w:rPr>
              <w:t>采煤过程中发生火灾</w:t>
            </w:r>
          </w:p>
          <w:p>
            <w:pPr>
              <w:pStyle w:val="3"/>
              <w:ind w:left="0" w:leftChars="0" w:firstLine="0" w:firstLineChars="0"/>
              <w:rPr>
                <w:rStyle w:val="33"/>
                <w:rFonts w:hint="default"/>
                <w:szCs w:val="21"/>
                <w:lang w:bidi="ar"/>
              </w:rPr>
            </w:pPr>
            <w:r>
              <w:rPr>
                <w:rStyle w:val="33"/>
                <w:rFonts w:hint="default"/>
                <w:szCs w:val="21"/>
                <w:lang w:bidi="ar"/>
              </w:rPr>
              <w:t>设置消防设施，掌握消防设备使用方法，对电器线路进行检测、防止明火。</w:t>
            </w:r>
          </w:p>
          <w:p>
            <w:pPr>
              <w:rPr>
                <w:lang w:bidi="ar"/>
              </w:rPr>
            </w:pPr>
            <w:r>
              <w:rPr>
                <w:rFonts w:hint="eastAsia"/>
                <w:lang w:bidi="ar"/>
              </w:rPr>
              <w:t>6污水处理：</w:t>
            </w:r>
          </w:p>
          <w:p>
            <w:pPr>
              <w:pStyle w:val="2"/>
              <w:rPr>
                <w:rStyle w:val="33"/>
                <w:rFonts w:hint="default"/>
                <w:sz w:val="21"/>
                <w:szCs w:val="21"/>
                <w:lang w:bidi="ar"/>
              </w:rPr>
            </w:pPr>
            <w:r>
              <w:rPr>
                <w:rStyle w:val="33"/>
                <w:rFonts w:hint="default"/>
                <w:sz w:val="21"/>
                <w:szCs w:val="21"/>
                <w:lang w:bidi="ar"/>
              </w:rPr>
              <w:t>加强污水处理设施管理，加强监测，达标排放</w:t>
            </w:r>
            <w:r>
              <w:rPr>
                <w:rStyle w:val="33"/>
                <w:sz w:val="21"/>
                <w:szCs w:val="21"/>
                <w:lang w:bidi="ar"/>
              </w:rPr>
              <w:t>；</w:t>
            </w:r>
          </w:p>
          <w:p>
            <w:pPr>
              <w:pStyle w:val="3"/>
              <w:ind w:left="0" w:leftChars="0" w:firstLine="0" w:firstLineChars="0"/>
              <w:rPr>
                <w:lang w:bidi="ar"/>
              </w:rPr>
            </w:pPr>
          </w:p>
          <w:p>
            <w:pPr>
              <w:rPr>
                <w:lang w:bidi="ar"/>
              </w:rPr>
            </w:pPr>
            <w:r>
              <w:rPr>
                <w:rFonts w:hint="eastAsia"/>
                <w:lang w:bidi="ar"/>
              </w:rPr>
              <w:t>危险源的控制措施由安全部负责，具体见安全部检查表。</w:t>
            </w:r>
          </w:p>
          <w:p>
            <w:pPr>
              <w:pStyle w:val="2"/>
              <w:rPr>
                <w:lang w:bidi="ar"/>
              </w:rPr>
            </w:pPr>
          </w:p>
          <w:p>
            <w:pPr>
              <w:pStyle w:val="3"/>
              <w:ind w:left="0" w:leftChars="0" w:firstLine="0" w:firstLineChars="0"/>
              <w:rPr>
                <w:lang w:bidi="ar"/>
              </w:rPr>
            </w:pPr>
            <w:r>
              <w:rPr>
                <w:rFonts w:hint="eastAsia"/>
                <w:lang w:bidi="ar"/>
              </w:rPr>
              <w:t>能源的主要是车用柴油的消耗，由卡车司机进行控制。</w:t>
            </w:r>
          </w:p>
          <w:p>
            <w:pPr>
              <w:rPr>
                <w:lang w:bidi="ar"/>
              </w:rPr>
            </w:pPr>
          </w:p>
          <w:p>
            <w:pPr>
              <w:pStyle w:val="2"/>
              <w:rPr>
                <w:sz w:val="21"/>
                <w:lang w:bidi="ar"/>
              </w:rPr>
            </w:pPr>
            <w:r>
              <w:rPr>
                <w:rFonts w:hint="eastAsia"/>
                <w:sz w:val="21"/>
                <w:lang w:bidi="ar"/>
              </w:rPr>
              <w:t>夜间巡查：于2</w:t>
            </w:r>
            <w:r>
              <w:rPr>
                <w:sz w:val="21"/>
                <w:lang w:bidi="ar"/>
              </w:rPr>
              <w:t>023</w:t>
            </w:r>
            <w:r>
              <w:rPr>
                <w:rFonts w:hint="eastAsia"/>
                <w:sz w:val="21"/>
                <w:lang w:bidi="ar"/>
              </w:rPr>
              <w:t>年1月1</w:t>
            </w:r>
            <w:r>
              <w:rPr>
                <w:sz w:val="21"/>
                <w:lang w:bidi="ar"/>
              </w:rPr>
              <w:t>4</w:t>
            </w:r>
            <w:r>
              <w:rPr>
                <w:rFonts w:hint="eastAsia"/>
                <w:sz w:val="21"/>
                <w:lang w:bidi="ar"/>
              </w:rPr>
              <w:t>日晚间1</w:t>
            </w:r>
            <w:r>
              <w:rPr>
                <w:sz w:val="21"/>
                <w:lang w:bidi="ar"/>
              </w:rPr>
              <w:t>9</w:t>
            </w:r>
            <w:r>
              <w:rPr>
                <w:rFonts w:hint="eastAsia"/>
                <w:sz w:val="21"/>
                <w:lang w:bidi="ar"/>
              </w:rPr>
              <w:t>点利用视频对夜班进行检查，由张浩带领，主要检查了夜班运输卡车的夜间拉煤的环境和安全的情况，</w:t>
            </w:r>
            <w:r>
              <w:rPr>
                <w:rFonts w:hint="eastAsia"/>
                <w:color w:val="0000FF"/>
                <w:sz w:val="21"/>
                <w:lang w:bidi="ar"/>
              </w:rPr>
              <w:t>夜间照明主要依靠卡车的照明灯，夜间路况不是很好</w:t>
            </w:r>
            <w:r>
              <w:rPr>
                <w:rFonts w:hint="eastAsia"/>
                <w:sz w:val="21"/>
                <w:lang w:bidi="ar"/>
              </w:rPr>
              <w:t>，-已经提出观察项。</w:t>
            </w:r>
          </w:p>
          <w:p>
            <w:pPr>
              <w:pStyle w:val="3"/>
              <w:ind w:firstLine="210"/>
              <w:rPr>
                <w:lang w:bidi="ar"/>
              </w:rPr>
            </w:pPr>
            <w:r>
              <w:rPr>
                <w:rFonts w:hint="eastAsia"/>
                <w:color w:val="0000FF"/>
                <w:lang w:bidi="ar"/>
              </w:rPr>
              <w:t>抽查卡车司机驾驶证：车牌Z</w:t>
            </w:r>
            <w:r>
              <w:rPr>
                <w:color w:val="0000FF"/>
                <w:lang w:bidi="ar"/>
              </w:rPr>
              <w:t>-210</w:t>
            </w:r>
            <w:r>
              <w:rPr>
                <w:rFonts w:hint="eastAsia"/>
                <w:color w:val="0000FF"/>
                <w:lang w:bidi="ar"/>
              </w:rPr>
              <w:t>没有带证件</w:t>
            </w:r>
            <w:r>
              <w:rPr>
                <w:rFonts w:hint="eastAsia"/>
                <w:lang w:bidi="ar"/>
              </w:rPr>
              <w:t>-</w:t>
            </w:r>
            <w:r>
              <w:rPr>
                <w:lang w:bidi="ar"/>
              </w:rPr>
              <w:t>---</w:t>
            </w:r>
            <w:r>
              <w:rPr>
                <w:rFonts w:hint="eastAsia"/>
                <w:lang w:bidi="ar"/>
              </w:rPr>
              <w:t>观察项、Z</w:t>
            </w:r>
            <w:r>
              <w:rPr>
                <w:lang w:bidi="ar"/>
              </w:rPr>
              <w:t>-1301</w:t>
            </w:r>
            <w:r>
              <w:rPr>
                <w:rFonts w:hint="eastAsia"/>
                <w:lang w:bidi="ar"/>
              </w:rPr>
              <w:t>B</w:t>
            </w:r>
            <w:r>
              <w:rPr>
                <w:lang w:bidi="ar"/>
              </w:rPr>
              <w:t>6</w:t>
            </w:r>
          </w:p>
          <w:p>
            <w:pPr>
              <w:rPr>
                <w:lang w:bidi="ar"/>
              </w:rPr>
            </w:pPr>
            <w:r>
              <w:drawing>
                <wp:inline distT="0" distB="0" distL="0" distR="0">
                  <wp:extent cx="4079875" cy="17176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4079875" cy="1717675"/>
                          </a:xfrm>
                          <a:prstGeom prst="rect">
                            <a:avLst/>
                          </a:prstGeom>
                        </pic:spPr>
                      </pic:pic>
                    </a:graphicData>
                  </a:graphic>
                </wp:inline>
              </w:drawing>
            </w:r>
            <w:r>
              <w:drawing>
                <wp:inline distT="0" distB="0" distL="0" distR="0">
                  <wp:extent cx="4124960" cy="1739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4124960" cy="1739900"/>
                          </a:xfrm>
                          <a:prstGeom prst="rect">
                            <a:avLst/>
                          </a:prstGeom>
                        </pic:spPr>
                      </pic:pic>
                    </a:graphicData>
                  </a:graphic>
                </wp:inline>
              </w:drawing>
            </w:r>
          </w:p>
          <w:p>
            <w:pPr>
              <w:pStyle w:val="2"/>
              <w:rPr>
                <w:lang w:bidi="ar"/>
              </w:rPr>
            </w:pPr>
            <w:r>
              <w:drawing>
                <wp:inline distT="0" distB="0" distL="0" distR="0">
                  <wp:extent cx="4140835" cy="1748790"/>
                  <wp:effectExtent l="0" t="0" r="1206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4140835" cy="1748790"/>
                          </a:xfrm>
                          <a:prstGeom prst="rect">
                            <a:avLst/>
                          </a:prstGeom>
                        </pic:spPr>
                      </pic:pic>
                    </a:graphicData>
                  </a:graphic>
                </wp:inline>
              </w:drawing>
            </w:r>
          </w:p>
          <w:p>
            <w:pPr>
              <w:rPr>
                <w:lang w:bidi="ar"/>
              </w:rPr>
            </w:pPr>
            <w:r>
              <w:rPr>
                <w:rFonts w:hint="eastAsia"/>
                <w:lang w:bidi="ar"/>
              </w:rPr>
              <w:t>危废库检查（视频）、企业陪同人：弓永波</w:t>
            </w:r>
          </w:p>
          <w:p>
            <w:pPr>
              <w:pStyle w:val="2"/>
              <w:rPr>
                <w:lang w:bidi="ar"/>
              </w:rPr>
            </w:pPr>
            <w:r>
              <w:rPr>
                <w:rFonts w:hint="eastAsia"/>
                <w:lang w:bidi="ar"/>
              </w:rPr>
              <w:t>利用视频检查了下列项目：</w:t>
            </w:r>
          </w:p>
          <w:p>
            <w:pPr>
              <w:pStyle w:val="3"/>
              <w:ind w:left="0" w:leftChars="0" w:firstLine="0" w:firstLineChars="0"/>
              <w:rPr>
                <w:lang w:bidi="ar"/>
              </w:rPr>
            </w:pPr>
            <w:r>
              <w:rPr>
                <w:rFonts w:hint="eastAsia"/>
                <w:lang w:bidi="ar"/>
              </w:rPr>
              <w:t>1是否由视频监控，有；</w:t>
            </w:r>
          </w:p>
          <w:p>
            <w:pPr>
              <w:rPr>
                <w:lang w:bidi="ar"/>
              </w:rPr>
            </w:pPr>
            <w:r>
              <w:rPr>
                <w:rFonts w:hint="eastAsia"/>
                <w:lang w:bidi="ar"/>
              </w:rPr>
              <w:t>2是否有2个月以上的记录；有</w:t>
            </w:r>
          </w:p>
          <w:p>
            <w:pPr>
              <w:pStyle w:val="2"/>
              <w:rPr>
                <w:lang w:bidi="ar"/>
              </w:rPr>
            </w:pPr>
            <w:r>
              <w:rPr>
                <w:rFonts w:hint="eastAsia"/>
                <w:lang w:bidi="ar"/>
              </w:rPr>
              <w:t>3是否有电子秤：无</w:t>
            </w:r>
          </w:p>
          <w:p>
            <w:pPr>
              <w:pStyle w:val="3"/>
              <w:ind w:left="0" w:leftChars="0" w:firstLine="0" w:firstLineChars="0"/>
              <w:rPr>
                <w:lang w:bidi="ar"/>
              </w:rPr>
            </w:pPr>
            <w:r>
              <w:rPr>
                <w:rFonts w:hint="eastAsia"/>
                <w:lang w:bidi="ar"/>
              </w:rPr>
              <w:t>4是否有风帽：无-</w:t>
            </w:r>
            <w:r>
              <w:rPr>
                <w:lang w:bidi="ar"/>
              </w:rPr>
              <w:t>------</w:t>
            </w:r>
            <w:r>
              <w:rPr>
                <w:rFonts w:hint="eastAsia"/>
                <w:lang w:bidi="ar"/>
              </w:rPr>
              <w:t>观察项</w:t>
            </w:r>
          </w:p>
          <w:p>
            <w:pPr>
              <w:rPr>
                <w:lang w:bidi="ar"/>
              </w:rPr>
            </w:pPr>
            <w:r>
              <w:rPr>
                <w:rFonts w:hint="eastAsia"/>
                <w:lang w:bidi="ar"/>
              </w:rPr>
              <w:t>5是否有职守：有</w:t>
            </w:r>
          </w:p>
          <w:p>
            <w:pPr>
              <w:pStyle w:val="2"/>
              <w:rPr>
                <w:lang w:bidi="ar"/>
              </w:rPr>
            </w:pPr>
            <w:r>
              <w:rPr>
                <w:rFonts w:hint="eastAsia"/>
                <w:lang w:bidi="ar"/>
              </w:rPr>
              <w:t>6是否有入库、处理记录：有</w:t>
            </w:r>
          </w:p>
          <w:p>
            <w:pPr>
              <w:pStyle w:val="3"/>
              <w:ind w:left="0" w:leftChars="0" w:firstLine="0" w:firstLineChars="0"/>
              <w:rPr>
                <w:lang w:bidi="ar"/>
              </w:rPr>
            </w:pPr>
            <w:r>
              <w:rPr>
                <w:rFonts w:hint="eastAsia"/>
                <w:lang w:bidi="ar"/>
              </w:rPr>
              <w:t>7是否有处理程序：有</w:t>
            </w:r>
          </w:p>
          <w:p>
            <w:pPr>
              <w:rPr>
                <w:lang w:bidi="ar"/>
              </w:rPr>
            </w:pPr>
            <w:r>
              <w:rPr>
                <w:rFonts w:hint="eastAsia"/>
                <w:lang w:bidi="ar"/>
              </w:rPr>
              <w:t>8危废品是否分区存放：无</w:t>
            </w:r>
          </w:p>
          <w:p>
            <w:pPr>
              <w:pStyle w:val="2"/>
              <w:rPr>
                <w:lang w:bidi="ar"/>
              </w:rPr>
            </w:pPr>
            <w:r>
              <w:rPr>
                <w:rFonts w:hint="eastAsia"/>
                <w:lang w:bidi="ar"/>
              </w:rPr>
              <w:t>9是否有围堰：无</w:t>
            </w:r>
          </w:p>
          <w:p>
            <w:pPr>
              <w:pStyle w:val="3"/>
              <w:ind w:firstLine="210"/>
              <w:rPr>
                <w:rFonts w:hint="eastAsia"/>
                <w:lang w:bidi="ar"/>
              </w:rPr>
            </w:pPr>
            <w:r>
              <w:rPr>
                <w:rFonts w:hint="eastAsia"/>
                <w:lang w:bidi="ar"/>
              </w:rPr>
              <w:t>针对上述不符合事项已经开具不符合项。</w:t>
            </w:r>
          </w:p>
        </w:tc>
        <w:tc>
          <w:tcPr>
            <w:tcW w:w="709" w:type="dxa"/>
          </w:tcPr>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3"/>
              <w:ind w:firstLine="210"/>
            </w:pPr>
          </w:p>
          <w:p/>
          <w:p>
            <w:pPr>
              <w:pStyle w:val="2"/>
            </w:pPr>
          </w:p>
          <w:p>
            <w:pPr>
              <w:pStyle w:val="2"/>
              <w:rPr>
                <w:rFonts w:hint="eastAsia"/>
              </w:rPr>
            </w:pP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2160" w:type="dxa"/>
          </w:tcPr>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应急响应</w:t>
            </w:r>
          </w:p>
        </w:tc>
        <w:tc>
          <w:tcPr>
            <w:tcW w:w="1178" w:type="dxa"/>
          </w:tcPr>
          <w:p>
            <w:r>
              <w:rPr>
                <w:rFonts w:hint="eastAsia"/>
              </w:rPr>
              <w:t>EO8.2</w:t>
            </w:r>
          </w:p>
        </w:tc>
        <w:tc>
          <w:tcPr>
            <w:tcW w:w="10662" w:type="dxa"/>
          </w:tcPr>
          <w:p>
            <w:pPr>
              <w:spacing w:before="156" w:beforeLines="50"/>
            </w:pPr>
            <w:r>
              <w:rPr>
                <w:rFonts w:hint="eastAsia"/>
              </w:rPr>
              <w:t>生产部提供：《内蒙古鄂尔多斯市潮脑梁煤炭有限公司露天煤矿整合改造工程环境风险评估报告》、《内蒙古鄂尔多斯市潮脑梁煤炭有限公司露天煤矿整合改造工程环境应急资源调查报告》、《内蒙古鄂尔多斯市潮脑梁煤炭有限公司露天煤矿整合改造工程突发环境事件应急预案评审表》、《内蒙古鄂尔多斯市潮脑梁煤炭有限公司露天煤矿整合改造工程应急预案》、《内蒙古鄂尔多斯市潮脑梁煤炭有限公司露天煤矿整合改造工程应急预案编制说明》、《备案表》；</w:t>
            </w:r>
          </w:p>
          <w:p>
            <w:pPr>
              <w:pStyle w:val="2"/>
              <w:rPr>
                <w:sz w:val="21"/>
              </w:rPr>
            </w:pPr>
            <w:r>
              <w:rPr>
                <w:rFonts w:hint="eastAsia"/>
                <w:sz w:val="21"/>
              </w:rPr>
              <w:t>查环境应急演练情况：</w:t>
            </w:r>
          </w:p>
          <w:p>
            <w:pPr>
              <w:pStyle w:val="11"/>
              <w:jc w:val="both"/>
              <w:rPr>
                <w:sz w:val="21"/>
                <w:szCs w:val="20"/>
              </w:rPr>
            </w:pPr>
            <w:r>
              <w:rPr>
                <w:rFonts w:hint="eastAsia"/>
                <w:sz w:val="21"/>
                <w:szCs w:val="20"/>
              </w:rPr>
              <w:t>提供《潮脑梁煤矿突发环境事件应急演练记录》，</w:t>
            </w:r>
          </w:p>
          <w:p>
            <w:pPr>
              <w:spacing w:before="156" w:beforeLines="50"/>
            </w:pPr>
            <w:r>
              <w:rPr>
                <w:rFonts w:hint="eastAsia"/>
              </w:rPr>
              <w:t>演练地点：一楼会议室</w:t>
            </w:r>
          </w:p>
          <w:p>
            <w:r>
              <w:rPr>
                <w:rFonts w:hint="eastAsia"/>
              </w:rPr>
              <w:t>演练过程简述：</w:t>
            </w:r>
          </w:p>
          <w:p>
            <w:pPr>
              <w:pStyle w:val="4"/>
              <w:ind w:firstLine="640"/>
              <w:rPr>
                <w:b w:val="0"/>
                <w:bCs w:val="0"/>
                <w:sz w:val="21"/>
              </w:rPr>
            </w:pPr>
            <w:r>
              <w:rPr>
                <w:rFonts w:hint="eastAsia"/>
                <w:b w:val="0"/>
                <w:bCs w:val="0"/>
                <w:sz w:val="21"/>
              </w:rPr>
              <w:t>2022年8月20日下午13:00,一班组在给危废库存储废机油时候由于叉车司机操作失误导致储存桶破损，致使桶内废机油泄漏，无人员伤亡，刺激性致使以为员工恶心。当班库管员通过对讲机通知调度室，调度员通知当班值班领导，当班值班领导通知矿长，启动应急预案进行应急救援。</w:t>
            </w:r>
          </w:p>
          <w:p>
            <w:pPr>
              <w:spacing w:line="520" w:lineRule="exact"/>
              <w:ind w:firstLine="420" w:firstLineChars="200"/>
            </w:pPr>
            <w:r>
              <w:rPr>
                <w:rFonts w:hint="eastAsia"/>
              </w:rPr>
              <w:t>问题一：（请现场管理员回答）</w:t>
            </w:r>
          </w:p>
          <w:p>
            <w:pPr>
              <w:spacing w:line="520" w:lineRule="exact"/>
              <w:ind w:firstLine="420" w:firstLineChars="200"/>
            </w:pPr>
            <w:r>
              <w:rPr>
                <w:rFonts w:hint="eastAsia"/>
              </w:rPr>
              <w:t>现场管理员接到该突发事故的报告后怎样进行信息报告？</w:t>
            </w:r>
          </w:p>
          <w:p>
            <w:pPr>
              <w:spacing w:line="520" w:lineRule="exact"/>
              <w:ind w:firstLine="420" w:firstLineChars="200"/>
            </w:pPr>
            <w:r>
              <w:rPr>
                <w:rFonts w:hint="eastAsia"/>
              </w:rPr>
              <w:t>回答要点：报告内容应包括：事件发生时间、地点、涉及范围、可能导致的人员伤亡情况及经济损失、事件类型和事件初步原因。报告人的单位、姓名、职务和联系方式等。</w:t>
            </w:r>
          </w:p>
          <w:p>
            <w:pPr>
              <w:spacing w:line="520" w:lineRule="exact"/>
              <w:ind w:firstLine="420" w:firstLineChars="200"/>
            </w:pPr>
            <w:r>
              <w:rPr>
                <w:rFonts w:hint="eastAsia"/>
              </w:rPr>
              <w:t>问题二：（请总指挥回答）</w:t>
            </w:r>
          </w:p>
          <w:p>
            <w:pPr>
              <w:spacing w:line="520" w:lineRule="exact"/>
              <w:ind w:firstLine="420" w:firstLineChars="200"/>
            </w:pPr>
            <w:r>
              <w:rPr>
                <w:rFonts w:hint="eastAsia"/>
              </w:rPr>
              <w:t>当前情况下总指挥应怎样进行现场处置？</w:t>
            </w:r>
          </w:p>
          <w:p>
            <w:pPr>
              <w:spacing w:line="520" w:lineRule="exact"/>
              <w:ind w:firstLine="420" w:firstLineChars="200"/>
            </w:pPr>
            <w:r>
              <w:rPr>
                <w:rFonts w:hint="eastAsia"/>
              </w:rPr>
              <w:t>回答要点：</w:t>
            </w:r>
          </w:p>
          <w:p>
            <w:pPr>
              <w:numPr>
                <w:ilvl w:val="0"/>
                <w:numId w:val="2"/>
              </w:numPr>
              <w:spacing w:line="520" w:lineRule="exact"/>
              <w:ind w:firstLine="420" w:firstLineChars="200"/>
            </w:pPr>
            <w:r>
              <w:rPr>
                <w:rFonts w:hint="eastAsia"/>
              </w:rPr>
              <w:t>危废库房周围设置警戒线，并报告上级部门及相关救援部门。</w:t>
            </w:r>
          </w:p>
          <w:p>
            <w:pPr>
              <w:spacing w:line="520" w:lineRule="exact"/>
              <w:ind w:firstLine="420" w:firstLineChars="200"/>
            </w:pPr>
            <w:r>
              <w:rPr>
                <w:rFonts w:hint="eastAsia"/>
              </w:rPr>
              <w:t>（2）启动现场的处置预案，组织各个救援队伍有序开展现场的先期处置和救援工作</w:t>
            </w:r>
          </w:p>
          <w:p>
            <w:pPr>
              <w:spacing w:line="520" w:lineRule="exact"/>
              <w:ind w:firstLine="420" w:firstLineChars="200"/>
            </w:pPr>
            <w:r>
              <w:rPr>
                <w:rFonts w:hint="eastAsia"/>
              </w:rPr>
              <w:t>（3）派人员到关键路口引导政府及社会救援车辆及人员进场救援。</w:t>
            </w:r>
          </w:p>
          <w:p>
            <w:pPr>
              <w:spacing w:line="520" w:lineRule="exact"/>
              <w:ind w:firstLine="420" w:firstLineChars="200"/>
            </w:pPr>
            <w:r>
              <w:rPr>
                <w:rFonts w:hint="eastAsia"/>
              </w:rPr>
              <w:t>问题三：（请调度室主任回答）</w:t>
            </w:r>
          </w:p>
          <w:p>
            <w:pPr>
              <w:spacing w:line="520" w:lineRule="exact"/>
              <w:ind w:firstLine="420" w:firstLineChars="200"/>
            </w:pPr>
            <w:r>
              <w:rPr>
                <w:rFonts w:hint="eastAsia"/>
              </w:rPr>
              <w:t>调度室在接到突发事件的报告后应当怎样进行信息报告？</w:t>
            </w:r>
          </w:p>
          <w:p>
            <w:pPr>
              <w:spacing w:line="520" w:lineRule="exact"/>
              <w:ind w:firstLine="420" w:firstLineChars="200"/>
            </w:pPr>
            <w:r>
              <w:rPr>
                <w:rFonts w:hint="eastAsia"/>
              </w:rPr>
              <w:t>回答要点：</w:t>
            </w:r>
          </w:p>
          <w:p>
            <w:pPr>
              <w:spacing w:line="520" w:lineRule="exact"/>
              <w:ind w:firstLine="420" w:firstLineChars="200"/>
            </w:pPr>
            <w:r>
              <w:rPr>
                <w:rFonts w:hint="eastAsia"/>
              </w:rPr>
              <w:t>（1）接到报告后立即进行信息确认，并做出事件性质的初步研判，信息确认无误后第一时间向应急演练指挥部报告现场险情及信息通报情况，待进一步核实情况后续报并请求指示。</w:t>
            </w:r>
          </w:p>
          <w:p>
            <w:pPr>
              <w:spacing w:line="520" w:lineRule="exact"/>
              <w:ind w:firstLine="420" w:firstLineChars="200"/>
            </w:pPr>
            <w:r>
              <w:rPr>
                <w:rFonts w:hint="eastAsia"/>
              </w:rPr>
              <w:t>（2）根据对事件信息的研判，向应急演练指挥部提出启动相关预案的建议。</w:t>
            </w:r>
          </w:p>
          <w:p>
            <w:pPr>
              <w:spacing w:line="520" w:lineRule="exact"/>
              <w:ind w:firstLine="420" w:firstLineChars="200"/>
            </w:pPr>
            <w:r>
              <w:rPr>
                <w:rFonts w:hint="eastAsia"/>
              </w:rPr>
              <w:t>问题四：（请总指挥回答）</w:t>
            </w:r>
          </w:p>
          <w:p>
            <w:pPr>
              <w:spacing w:line="520" w:lineRule="exact"/>
              <w:ind w:firstLine="420" w:firstLineChars="200"/>
            </w:pPr>
            <w:r>
              <w:rPr>
                <w:rFonts w:hint="eastAsia"/>
              </w:rPr>
              <w:t>突发事故进入预警和救援状态后，应采取哪些具体的应急行动？</w:t>
            </w:r>
          </w:p>
          <w:p>
            <w:pPr>
              <w:spacing w:line="520" w:lineRule="exact"/>
              <w:ind w:firstLine="420" w:firstLineChars="200"/>
            </w:pPr>
            <w:r>
              <w:rPr>
                <w:rFonts w:hint="eastAsia"/>
              </w:rPr>
              <w:t>回答要点：</w:t>
            </w:r>
          </w:p>
          <w:p>
            <w:pPr>
              <w:spacing w:line="520" w:lineRule="exact"/>
              <w:ind w:firstLine="420" w:firstLineChars="200"/>
            </w:pPr>
            <w:r>
              <w:rPr>
                <w:rFonts w:hint="eastAsia"/>
              </w:rPr>
              <w:t>（1）立即通知应急救援小组所有人员进入预警和应急救援状态。</w:t>
            </w:r>
          </w:p>
          <w:p>
            <w:pPr>
              <w:spacing w:line="520" w:lineRule="exact"/>
              <w:ind w:firstLine="420" w:firstLineChars="200"/>
            </w:pPr>
            <w:r>
              <w:rPr>
                <w:rFonts w:hint="eastAsia"/>
              </w:rPr>
              <w:t>（2）召开应急救援小组成员会议，明确应急行动的具体分工（工作小组），布置下一步的具体应急行动。</w:t>
            </w:r>
          </w:p>
          <w:p>
            <w:pPr>
              <w:spacing w:line="520" w:lineRule="exact"/>
              <w:ind w:firstLine="420" w:firstLineChars="200"/>
            </w:pPr>
            <w:r>
              <w:rPr>
                <w:rFonts w:hint="eastAsia"/>
              </w:rPr>
              <w:t>（3）向上级应急机构报告突发事故信息。</w:t>
            </w:r>
          </w:p>
          <w:p>
            <w:pPr>
              <w:spacing w:line="520" w:lineRule="exact"/>
              <w:ind w:firstLine="420" w:firstLineChars="200"/>
            </w:pPr>
            <w:r>
              <w:rPr>
                <w:rFonts w:hint="eastAsia"/>
              </w:rPr>
              <w:t>（4）带领各应急救援小组人员赶赴现场指挥救援。</w:t>
            </w:r>
          </w:p>
          <w:p>
            <w:pPr>
              <w:spacing w:line="520" w:lineRule="exact"/>
              <w:ind w:firstLine="420" w:firstLineChars="200"/>
            </w:pPr>
            <w:r>
              <w:rPr>
                <w:rFonts w:hint="eastAsia"/>
              </w:rPr>
              <w:t>问题五：（请调度室主任回答）</w:t>
            </w:r>
          </w:p>
          <w:p>
            <w:pPr>
              <w:spacing w:line="520" w:lineRule="exact"/>
              <w:ind w:firstLine="420" w:firstLineChars="200"/>
            </w:pPr>
            <w:r>
              <w:rPr>
                <w:rFonts w:hint="eastAsia"/>
              </w:rPr>
              <w:t>应急救援小组在接到进入应急救援指令后，应采取哪些具体的应急措施？</w:t>
            </w:r>
          </w:p>
          <w:p>
            <w:pPr>
              <w:spacing w:line="520" w:lineRule="exact"/>
              <w:ind w:firstLine="420" w:firstLineChars="200"/>
            </w:pPr>
            <w:r>
              <w:rPr>
                <w:rFonts w:hint="eastAsia"/>
              </w:rPr>
              <w:t>回答要点：</w:t>
            </w:r>
          </w:p>
          <w:p>
            <w:pPr>
              <w:spacing w:line="520" w:lineRule="exact"/>
              <w:ind w:firstLine="420" w:firstLineChars="200"/>
            </w:pPr>
            <w:r>
              <w:rPr>
                <w:rFonts w:hint="eastAsia"/>
              </w:rPr>
              <w:t>（1）由调度室主任通知各级管理人员进入Ⅰ级应急状态，手持对讲机保持畅通。</w:t>
            </w:r>
          </w:p>
          <w:p>
            <w:pPr>
              <w:spacing w:line="520" w:lineRule="exact"/>
              <w:ind w:firstLine="420" w:firstLineChars="200"/>
            </w:pPr>
            <w:r>
              <w:rPr>
                <w:rFonts w:hint="eastAsia"/>
              </w:rPr>
              <w:t>（2）各应急值班司机在岗待命，以随时满足应急人员出行的需求。</w:t>
            </w:r>
          </w:p>
          <w:p>
            <w:pPr>
              <w:spacing w:line="520" w:lineRule="exact"/>
              <w:ind w:firstLine="420" w:firstLineChars="200"/>
            </w:pPr>
            <w:r>
              <w:rPr>
                <w:rFonts w:hint="eastAsia"/>
              </w:rPr>
              <w:t>（3）确保所有应急救援小组人员对讲机保持畅通。</w:t>
            </w:r>
          </w:p>
          <w:p>
            <w:pPr>
              <w:spacing w:line="520" w:lineRule="exact"/>
              <w:ind w:firstLine="420" w:firstLineChars="200"/>
            </w:pPr>
            <w:r>
              <w:rPr>
                <w:rFonts w:hint="eastAsia"/>
              </w:rPr>
              <w:t>问题六：（请技术组组长回答）</w:t>
            </w:r>
          </w:p>
          <w:p>
            <w:pPr>
              <w:spacing w:line="520" w:lineRule="exact"/>
              <w:ind w:firstLine="420" w:firstLineChars="200"/>
            </w:pPr>
            <w:r>
              <w:rPr>
                <w:rFonts w:hint="eastAsia"/>
              </w:rPr>
              <w:t>技术组在接到进入应急状态后，应采取哪些具体的应急行动？</w:t>
            </w:r>
          </w:p>
          <w:p>
            <w:pPr>
              <w:spacing w:line="520" w:lineRule="exact"/>
              <w:ind w:firstLine="420" w:firstLineChars="200"/>
            </w:pPr>
            <w:r>
              <w:rPr>
                <w:rFonts w:hint="eastAsia"/>
              </w:rPr>
              <w:t>回答要点：</w:t>
            </w:r>
          </w:p>
          <w:p>
            <w:pPr>
              <w:spacing w:line="520" w:lineRule="exact"/>
              <w:ind w:firstLine="420" w:firstLineChars="200"/>
            </w:pPr>
            <w:r>
              <w:rPr>
                <w:rFonts w:hint="eastAsia"/>
              </w:rPr>
              <w:t>（1）成立以技术人员为主的应急技术组，研究救援方案。</w:t>
            </w:r>
          </w:p>
          <w:p>
            <w:pPr>
              <w:spacing w:line="520" w:lineRule="exact"/>
              <w:ind w:firstLine="420" w:firstLineChars="200"/>
            </w:pPr>
            <w:r>
              <w:rPr>
                <w:rFonts w:hint="eastAsia"/>
              </w:rPr>
              <w:t>（2）协调救援机械设备待命，车辆随时启用。</w:t>
            </w:r>
          </w:p>
          <w:p>
            <w:pPr>
              <w:spacing w:line="520" w:lineRule="exact"/>
              <w:ind w:firstLine="420" w:firstLineChars="200"/>
            </w:pPr>
            <w:r>
              <w:rPr>
                <w:rFonts w:hint="eastAsia"/>
              </w:rPr>
              <w:t>（3）应急救援小组人员对讲机保持畅通。</w:t>
            </w:r>
          </w:p>
          <w:p>
            <w:pPr>
              <w:spacing w:line="520" w:lineRule="exact"/>
              <w:ind w:firstLine="420" w:firstLineChars="200"/>
            </w:pPr>
            <w:r>
              <w:rPr>
                <w:rFonts w:hint="eastAsia"/>
              </w:rPr>
              <w:t>问题七：（请抢险救灾组组长回答）</w:t>
            </w:r>
          </w:p>
          <w:p>
            <w:pPr>
              <w:spacing w:line="520" w:lineRule="exact"/>
              <w:ind w:firstLine="420" w:firstLineChars="200"/>
            </w:pPr>
            <w:r>
              <w:rPr>
                <w:rFonts w:hint="eastAsia"/>
              </w:rPr>
              <w:t>抢险救灾组在接到进入应急救援指令后，应采取哪些具体的应急措施？回答要点：</w:t>
            </w:r>
          </w:p>
          <w:p>
            <w:pPr>
              <w:spacing w:line="520" w:lineRule="exact"/>
              <w:ind w:firstLine="420" w:firstLineChars="200"/>
            </w:pPr>
            <w:r>
              <w:rPr>
                <w:rFonts w:hint="eastAsia"/>
              </w:rPr>
              <w:t>（1）在应急演练指挥部的指挥下，按现场救援方案，采取相应的措施，控制事态发展，减少事故损失。负责现场应急突击抢险，营救伤员。</w:t>
            </w:r>
          </w:p>
          <w:p>
            <w:pPr>
              <w:spacing w:line="520" w:lineRule="exact"/>
              <w:ind w:firstLine="420" w:firstLineChars="200"/>
            </w:pPr>
            <w:r>
              <w:rPr>
                <w:rFonts w:hint="eastAsia"/>
              </w:rPr>
              <w:t>（2）失踪者的寻找，协助医疗救助组以及救援队伍开展工作。</w:t>
            </w:r>
          </w:p>
          <w:p>
            <w:pPr>
              <w:spacing w:line="520" w:lineRule="exact"/>
              <w:ind w:firstLine="420" w:firstLineChars="200"/>
            </w:pPr>
            <w:r>
              <w:rPr>
                <w:rFonts w:hint="eastAsia"/>
              </w:rPr>
              <w:t>（3）派人员配合对突发事件实施现场监控，并对现场人员救援行动进行安全监护。</w:t>
            </w:r>
          </w:p>
          <w:p>
            <w:pPr>
              <w:spacing w:line="520" w:lineRule="exact"/>
              <w:ind w:firstLine="420" w:firstLineChars="200"/>
            </w:pPr>
            <w:r>
              <w:rPr>
                <w:rFonts w:hint="eastAsia"/>
              </w:rPr>
              <w:t>问题八：（请总指挥回答）</w:t>
            </w:r>
          </w:p>
          <w:p>
            <w:pPr>
              <w:spacing w:line="520" w:lineRule="exact"/>
              <w:ind w:firstLine="420" w:firstLineChars="200"/>
            </w:pPr>
            <w:r>
              <w:rPr>
                <w:rFonts w:hint="eastAsia"/>
              </w:rPr>
              <w:t>应急行动终止前，应向上级部门提供哪些信息？</w:t>
            </w:r>
          </w:p>
          <w:p>
            <w:pPr>
              <w:spacing w:line="520" w:lineRule="exact"/>
              <w:ind w:firstLine="420" w:firstLineChars="200"/>
            </w:pPr>
            <w:r>
              <w:rPr>
                <w:rFonts w:hint="eastAsia"/>
              </w:rPr>
              <w:t>回答要点：</w:t>
            </w:r>
          </w:p>
          <w:p>
            <w:pPr>
              <w:spacing w:line="520" w:lineRule="exact"/>
              <w:ind w:firstLine="420" w:firstLineChars="200"/>
            </w:pPr>
            <w:r>
              <w:rPr>
                <w:rFonts w:hint="eastAsia"/>
              </w:rPr>
              <w:t>提供下列信息：</w:t>
            </w:r>
          </w:p>
          <w:p>
            <w:pPr>
              <w:spacing w:line="520" w:lineRule="exact"/>
              <w:ind w:firstLine="420" w:firstLineChars="200"/>
            </w:pPr>
            <w:r>
              <w:rPr>
                <w:rFonts w:hint="eastAsia"/>
              </w:rPr>
              <w:t>（1）事故突发现场受伤人员已经进行救治。</w:t>
            </w:r>
          </w:p>
          <w:p>
            <w:pPr>
              <w:spacing w:line="520" w:lineRule="exact"/>
              <w:ind w:firstLine="420" w:firstLineChars="200"/>
            </w:pPr>
            <w:r>
              <w:rPr>
                <w:rFonts w:hint="eastAsia"/>
              </w:rPr>
              <w:t>（2）事故现场及附近区域已经检查确认处于稳定状态，无新增风险，现场相关区域已经封闭并设置警戒。</w:t>
            </w:r>
          </w:p>
          <w:p>
            <w:pPr>
              <w:spacing w:line="520" w:lineRule="exact"/>
              <w:ind w:firstLine="420" w:firstLineChars="200"/>
            </w:pPr>
            <w:r>
              <w:rPr>
                <w:rFonts w:hint="eastAsia"/>
              </w:rPr>
              <w:t>（3）经确认，事故救援现场人员已经全部疏散完毕。</w:t>
            </w:r>
          </w:p>
          <w:p>
            <w:pPr>
              <w:spacing w:line="520" w:lineRule="exact"/>
              <w:ind w:firstLine="420" w:firstLineChars="200"/>
            </w:pPr>
            <w:r>
              <w:rPr>
                <w:rFonts w:hint="eastAsia"/>
              </w:rPr>
              <w:t>（4）送往医院伤员已得到及时救治，相关费用已落实；死亡人员已妥善善后。</w:t>
            </w:r>
          </w:p>
          <w:p>
            <w:pPr>
              <w:spacing w:line="520" w:lineRule="exact"/>
              <w:ind w:firstLine="420" w:firstLineChars="200"/>
            </w:pPr>
            <w:r>
              <w:rPr>
                <w:rFonts w:hint="eastAsia"/>
              </w:rPr>
              <w:t>问题九：（请总指挥回答）</w:t>
            </w:r>
          </w:p>
          <w:p>
            <w:pPr>
              <w:spacing w:line="520" w:lineRule="exact"/>
              <w:ind w:firstLine="420" w:firstLineChars="200"/>
            </w:pPr>
            <w:r>
              <w:rPr>
                <w:rFonts w:hint="eastAsia"/>
              </w:rPr>
              <w:t>煤矿预案终止应由谁来发布终止指令？</w:t>
            </w:r>
          </w:p>
          <w:p>
            <w:pPr>
              <w:pStyle w:val="2"/>
              <w:rPr>
                <w:sz w:val="21"/>
              </w:rPr>
            </w:pPr>
            <w:r>
              <w:rPr>
                <w:rFonts w:hint="eastAsia"/>
                <w:sz w:val="21"/>
              </w:rPr>
              <w:t>煤矿发布的应急预警，经数据监测以及其他情况证明危险源已经处于可控状态或危险已经解除，由事故调查组或相关部门提出解除建议,经煤矿应急指挥部批准后,由煤矿应急指挥部宣布解除应急预警。</w:t>
            </w:r>
          </w:p>
          <w:p>
            <w:pPr>
              <w:spacing w:before="156" w:beforeLines="50"/>
              <w:rPr>
                <w:rFonts w:eastAsia="Times New Roman"/>
                <w:snapToGrid w:val="0"/>
                <w:color w:val="000000"/>
                <w:w w:val="0"/>
                <w:kern w:val="0"/>
                <w:sz w:val="0"/>
                <w:szCs w:val="0"/>
                <w:u w:color="000000"/>
                <w:shd w:val="clear" w:color="000000" w:fill="000000"/>
                <w:lang w:val="zh-CN" w:eastAsia="zh-CN" w:bidi="zh-CN"/>
              </w:rPr>
            </w:pPr>
            <w:r>
              <w:drawing>
                <wp:inline distT="0" distB="0" distL="0" distR="0">
                  <wp:extent cx="1584960" cy="1187450"/>
                  <wp:effectExtent l="0" t="0" r="0" b="0"/>
                  <wp:docPr id="21" name="图片 21" descr="F:\审核资料\能源\国标联合\2023\内蒙古鄂尔多斯市潮脑梁煤炭有限公司\生产部资料\13-生活部环境因素及危险源识别表\环境应急预案和演练\2022年突发环境事件应积极演练\照片\图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审核资料\能源\国标联合\2023\内蒙古鄂尔多斯市潮脑梁煤炭有限公司\生产部资料\13-生活部环境因素及危险源识别表\环境应急预案和演练\2022年突发环境事件应积极演练\照片\图片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89131" cy="119110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hint="eastAsia" w:eastAsia="Times New Roman"/>
                <w:snapToGrid w:val="0"/>
                <w:color w:val="000000"/>
                <w:w w:val="0"/>
                <w:kern w:val="0"/>
                <w:sz w:val="0"/>
                <w:szCs w:val="0"/>
                <w:u w:color="000000"/>
                <w:shd w:val="clear" w:color="000000" w:fill="000000"/>
                <w:lang w:val="en-US" w:eastAsia="zh-CN" w:bidi="zh-CN"/>
              </w:rPr>
              <w:t xml:space="preserve">    </w:t>
            </w:r>
            <w:r>
              <w:drawing>
                <wp:inline distT="0" distB="0" distL="0" distR="0">
                  <wp:extent cx="1545590" cy="1158240"/>
                  <wp:effectExtent l="0" t="0" r="0" b="3810"/>
                  <wp:docPr id="22" name="图片 22" descr="F:\审核资料\能源\国标联合\2023\内蒙古鄂尔多斯市潮脑梁煤炭有限公司\生产部资料\13-生活部环境因素及危险源识别表\环境应急预案和演练\2022年突发环境事件应积极演练\照片\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审核资料\能源\国标联合\2023\内蒙古鄂尔多斯市潮脑梁煤炭有限公司\生产部资料\13-生活部环境因素及危险源识别表\环境应急预案和演练\2022年突发环境事件应积极演练\照片\图片.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62160" cy="1170885"/>
                          </a:xfrm>
                          <a:prstGeom prst="rect">
                            <a:avLst/>
                          </a:prstGeom>
                          <a:noFill/>
                          <a:ln>
                            <a:noFill/>
                          </a:ln>
                        </pic:spPr>
                      </pic:pic>
                    </a:graphicData>
                  </a:graphic>
                </wp:inline>
              </w:drawing>
            </w:r>
          </w:p>
          <w:p>
            <w:pPr>
              <w:spacing w:before="156" w:beforeLines="50"/>
            </w:pPr>
            <w:r>
              <w:rPr>
                <w:rFonts w:hint="eastAsia"/>
              </w:rPr>
              <w:t>环境应急演练基本合格。</w:t>
            </w:r>
          </w:p>
          <w:p>
            <w:pPr>
              <w:pStyle w:val="2"/>
              <w:rPr>
                <w:rFonts w:hint="eastAsia"/>
              </w:rPr>
            </w:pPr>
          </w:p>
          <w:p>
            <w:pPr>
              <w:pStyle w:val="2"/>
            </w:pPr>
            <w:r>
              <w:rPr>
                <w:rFonts w:hint="eastAsia"/>
                <w:sz w:val="21"/>
              </w:rPr>
              <w:t>安全应急预案及演练见安全部检查表。</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绩效测量</w:t>
            </w:r>
          </w:p>
        </w:tc>
        <w:tc>
          <w:tcPr>
            <w:tcW w:w="1178" w:type="dxa"/>
          </w:tcPr>
          <w:p>
            <w:pPr>
              <w:rPr>
                <w:szCs w:val="22"/>
              </w:rPr>
            </w:pPr>
            <w:r>
              <w:rPr>
                <w:rFonts w:hint="eastAsia"/>
                <w:szCs w:val="22"/>
              </w:rPr>
              <w:t>Q9.1.1</w:t>
            </w:r>
          </w:p>
          <w:p>
            <w:r>
              <w:rPr>
                <w:rFonts w:hint="eastAsia"/>
                <w:szCs w:val="22"/>
              </w:rPr>
              <w:t>Q9.1.3</w:t>
            </w:r>
          </w:p>
        </w:tc>
        <w:tc>
          <w:tcPr>
            <w:tcW w:w="10662" w:type="dxa"/>
          </w:tcPr>
          <w:p>
            <w:pPr>
              <w:pStyle w:val="2"/>
              <w:spacing w:before="156" w:beforeLines="50"/>
              <w:rPr>
                <w:sz w:val="21"/>
                <w:szCs w:val="22"/>
              </w:rPr>
            </w:pPr>
            <w:r>
              <w:rPr>
                <w:rFonts w:hint="eastAsia"/>
                <w:sz w:val="21"/>
                <w:szCs w:val="22"/>
              </w:rPr>
              <w:t>提供生产部度总结报告：内蒙古鄂尔多斯市潮脑梁煤炭有限公司生产部在202</w:t>
            </w:r>
            <w:r>
              <w:rPr>
                <w:sz w:val="21"/>
                <w:szCs w:val="22"/>
              </w:rPr>
              <w:t>2</w:t>
            </w:r>
            <w:r>
              <w:rPr>
                <w:rFonts w:hint="eastAsia"/>
                <w:sz w:val="21"/>
                <w:szCs w:val="22"/>
              </w:rPr>
              <w:t>年度中认真贯彻《安全生产法》和公司关于安全生产工作的指示精神,牢固树立并贯彻落实“安全第一、预防为主，综合治理”的方针,切实做好防疫情、防事故、防职业病等相关工作,建立健全了安全生产责任制,实行“谁主管,谁负责”的原则,严格落实各项规章制度,加强安全生产组织领导,完善安全生产管理体系严格安全生产制度,加强安全劳动保护,建立健全安全生产责任制,有力地促进了部门生产的安全、平稳运行。共查出隐患300余项，已按要求全部整改，整改率100%。</w:t>
            </w:r>
          </w:p>
          <w:p>
            <w:pPr>
              <w:rPr>
                <w:szCs w:val="22"/>
              </w:rPr>
            </w:pPr>
          </w:p>
          <w:p>
            <w:pPr>
              <w:rPr>
                <w:szCs w:val="22"/>
              </w:rPr>
            </w:pPr>
            <w:r>
              <w:rPr>
                <w:rFonts w:hint="eastAsia"/>
                <w:szCs w:val="22"/>
              </w:rPr>
              <w:t>安全环保日常检查、节假日安全检查、生产部安全检查记录、巡检记录表等</w:t>
            </w:r>
          </w:p>
          <w:p>
            <w:pPr>
              <w:pStyle w:val="2"/>
            </w:pPr>
            <w:r>
              <w:rPr>
                <w:rFonts w:hint="eastAsia"/>
                <w:sz w:val="21"/>
                <w:szCs w:val="22"/>
              </w:rPr>
              <w:t>安全隐患及整改见安全部检查表；</w:t>
            </w:r>
          </w:p>
          <w:p>
            <w:pPr>
              <w:pStyle w:val="2"/>
              <w:rPr>
                <w:rFonts w:hint="eastAsia"/>
              </w:rPr>
            </w:pPr>
            <w:r>
              <w:rPr>
                <w:rFonts w:hint="eastAsia"/>
                <w:sz w:val="21"/>
                <w:szCs w:val="22"/>
              </w:rPr>
              <w:t>地方公安局检查安全检查问题通知单及整改回复单。</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不符合及纠正措施</w:t>
            </w:r>
          </w:p>
        </w:tc>
        <w:tc>
          <w:tcPr>
            <w:tcW w:w="1178" w:type="dxa"/>
          </w:tcPr>
          <w:p>
            <w:pPr>
              <w:pStyle w:val="2"/>
              <w:rPr>
                <w:sz w:val="21"/>
                <w:szCs w:val="22"/>
              </w:rPr>
            </w:pPr>
            <w:r>
              <w:rPr>
                <w:rFonts w:hint="eastAsia"/>
                <w:sz w:val="21"/>
                <w:szCs w:val="22"/>
              </w:rPr>
              <w:t>QEO10.2</w:t>
            </w:r>
          </w:p>
          <w:p>
            <w:pPr>
              <w:pStyle w:val="2"/>
              <w:rPr>
                <w:sz w:val="21"/>
                <w:szCs w:val="22"/>
              </w:rPr>
            </w:pPr>
            <w:r>
              <w:rPr>
                <w:rFonts w:hint="eastAsia"/>
                <w:sz w:val="21"/>
                <w:szCs w:val="22"/>
              </w:rPr>
              <w:t>En10.1</w:t>
            </w:r>
          </w:p>
        </w:tc>
        <w:tc>
          <w:tcPr>
            <w:tcW w:w="10662" w:type="dxa"/>
          </w:tcPr>
          <w:p>
            <w:pPr>
              <w:spacing w:before="156" w:beforeLines="50"/>
            </w:pPr>
            <w:r>
              <w:rPr>
                <w:rFonts w:hint="eastAsia"/>
              </w:rPr>
              <w:t>日常检查的不符合已立即整改，见9.1.1审核记录。</w:t>
            </w:r>
          </w:p>
          <w:p>
            <w:pPr>
              <w:pStyle w:val="2"/>
              <w:spacing w:before="156" w:beforeLines="50"/>
            </w:pPr>
            <w:r>
              <w:rPr>
                <w:rFonts w:hint="eastAsia"/>
                <w:sz w:val="21"/>
                <w:szCs w:val="22"/>
              </w:rPr>
              <w:t>企业在管理体系的内审中生产部为出现不符合。</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pPr>
              <w:rPr>
                <w:rFonts w:asciiTheme="majorEastAsia" w:hAnsiTheme="majorEastAsia" w:eastAsiaTheme="majorEastAsia" w:cstheme="majorEastAsia"/>
                <w:szCs w:val="21"/>
              </w:rPr>
            </w:pPr>
            <w:r>
              <w:rPr>
                <w:rFonts w:hint="eastAsia"/>
              </w:rPr>
              <w:t>过程运行环境</w:t>
            </w:r>
          </w:p>
        </w:tc>
        <w:tc>
          <w:tcPr>
            <w:tcW w:w="1178" w:type="dxa"/>
          </w:tcPr>
          <w:p>
            <w:pPr>
              <w:pStyle w:val="2"/>
              <w:rPr>
                <w:sz w:val="21"/>
                <w:szCs w:val="22"/>
              </w:rPr>
            </w:pPr>
            <w:r>
              <w:rPr>
                <w:rFonts w:hint="eastAsia"/>
                <w:sz w:val="21"/>
                <w:szCs w:val="21"/>
              </w:rPr>
              <w:t>Q7.1.4</w:t>
            </w:r>
          </w:p>
        </w:tc>
        <w:tc>
          <w:tcPr>
            <w:tcW w:w="10662" w:type="dxa"/>
          </w:tcPr>
          <w:p>
            <w:pPr>
              <w:spacing w:before="156" w:beforeLines="50"/>
            </w:pPr>
            <w:r>
              <w:rPr>
                <w:rFonts w:hint="eastAsia"/>
              </w:rPr>
              <w:t>潮脑梁煤矿位于鄂尔多斯市东胜区以东直距约25km处，铜匠川矿区外围东部至东胜煤田四道柳找煤区北界附近。该矿田煤炭储量适宜，资源可靠，煤质好，剥采比适中，外部建设条件优越，周边市场条件良好，适宜于大型露天矿的开发。</w:t>
            </w:r>
          </w:p>
          <w:p>
            <w:pPr>
              <w:spacing w:before="156" w:beforeLines="50"/>
            </w:pPr>
            <w:r>
              <w:rPr>
                <w:rFonts w:hint="eastAsia"/>
              </w:rPr>
              <w:t>潮脑梁露天煤矿属于整合改造项目，由原鄂尔多斯市东胜区店圪卜煤矿(以下简称店圪卜煤矿)、原鄂尔多斯市一通煤化有限责任公司后店沟煤矿(以下简称后店沟煤矿)与新扩区整合而成。</w:t>
            </w:r>
          </w:p>
          <w:p>
            <w:pPr>
              <w:spacing w:before="156" w:beforeLines="50"/>
            </w:pPr>
            <w:r>
              <w:rPr>
                <w:rFonts w:hint="eastAsia"/>
              </w:rPr>
              <w:t xml:space="preserve">2、项目修改理由及主要修改内容 </w:t>
            </w:r>
          </w:p>
          <w:p>
            <w:pPr>
              <w:spacing w:before="156" w:beforeLines="50"/>
            </w:pPr>
            <w:r>
              <w:rPr>
                <w:rFonts w:hint="eastAsia"/>
              </w:rPr>
              <w:t>本露天矿初步设计于2009年12月编制完成，2010年3月经内蒙古自治区煤炭工业局以内煤局字[2010]112号文]批复通过。</w:t>
            </w:r>
          </w:p>
          <w:p>
            <w:pPr>
              <w:pStyle w:val="2"/>
            </w:pPr>
            <w:r>
              <w:rPr>
                <w:rFonts w:hint="eastAsia"/>
              </w:rPr>
              <w:t>具体见</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160" w:type="dxa"/>
          </w:tcPr>
          <w:p>
            <w:r>
              <w:rPr>
                <w:rFonts w:hint="eastAsia"/>
              </w:rPr>
              <w:t>组织的知识</w:t>
            </w:r>
          </w:p>
        </w:tc>
        <w:tc>
          <w:tcPr>
            <w:tcW w:w="1178" w:type="dxa"/>
          </w:tcPr>
          <w:p>
            <w:pPr>
              <w:pStyle w:val="2"/>
              <w:rPr>
                <w:sz w:val="21"/>
                <w:szCs w:val="21"/>
              </w:rPr>
            </w:pPr>
            <w:r>
              <w:rPr>
                <w:rFonts w:hint="eastAsia"/>
                <w:sz w:val="21"/>
                <w:szCs w:val="21"/>
              </w:rPr>
              <w:t>Q 7.1.6</w:t>
            </w:r>
          </w:p>
        </w:tc>
        <w:tc>
          <w:tcPr>
            <w:tcW w:w="10662" w:type="dxa"/>
          </w:tcPr>
          <w:p>
            <w:pPr>
              <w:spacing w:before="156" w:beforeLines="50"/>
            </w:pPr>
            <w:r>
              <w:rPr>
                <w:rFonts w:hint="eastAsia"/>
              </w:rPr>
              <w:t>主要有露天煤矿开采知识、地表剥离知识、岩石爆破知识、露天煤矿开采过程中的环境保护和安全管理知识等；</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tcPr>
          <w:p>
            <w:r>
              <w:rPr>
                <w:rFonts w:hint="eastAsia"/>
              </w:rPr>
              <w:t>生产和服务提供的控制</w:t>
            </w:r>
          </w:p>
        </w:tc>
        <w:tc>
          <w:tcPr>
            <w:tcW w:w="1178" w:type="dxa"/>
          </w:tcPr>
          <w:p>
            <w:pPr>
              <w:pStyle w:val="2"/>
              <w:rPr>
                <w:sz w:val="21"/>
                <w:szCs w:val="21"/>
              </w:rPr>
            </w:pPr>
            <w:r>
              <w:rPr>
                <w:rFonts w:hint="eastAsia"/>
                <w:sz w:val="21"/>
                <w:szCs w:val="21"/>
              </w:rPr>
              <w:t>Q 8.5.1</w:t>
            </w:r>
          </w:p>
        </w:tc>
        <w:tc>
          <w:tcPr>
            <w:tcW w:w="10662" w:type="dxa"/>
          </w:tcPr>
          <w:p>
            <w:pPr>
              <w:spacing w:before="156" w:beforeLines="50"/>
            </w:pPr>
            <w:r>
              <w:rPr>
                <w:rFonts w:hint="eastAsia"/>
              </w:rPr>
              <w:t>硬煤（烟煤）的开采工艺流程：</w:t>
            </w:r>
          </w:p>
          <w:p>
            <w:pPr>
              <w:spacing w:before="156" w:beforeLines="50"/>
            </w:pPr>
            <w:r>
              <w:rPr>
                <w:rFonts w:hint="eastAsia"/>
              </w:rPr>
              <w:t>钻孔-----填炸药------爆破------采剥------排土------铲装------运输</w:t>
            </w:r>
          </w:p>
          <w:p>
            <w:pPr>
              <w:spacing w:before="156" w:beforeLines="50"/>
            </w:pPr>
            <w:r>
              <w:rPr>
                <w:rFonts w:hint="eastAsia"/>
              </w:rPr>
              <w:t>提供生产部设备操作规程包括：装载机司机操作规程、挖掘机司机操作规程、钻机司机操作规程、空压机操作规程、爆破工操作规程、自卸车司机操作规程、推土机司机操作规程、洒水车司机操作规程、加油车司机操作规程、电工操作规程、水泵工操作规程、锅炉工操作规程、皮带工操作规程、测尘员操作规程、等</w:t>
            </w:r>
          </w:p>
          <w:p>
            <w:pPr>
              <w:pStyle w:val="2"/>
            </w:pPr>
            <w:r>
              <w:rPr>
                <w:rFonts w:hint="eastAsia"/>
              </w:rPr>
              <w:t>抽查采煤记录：</w:t>
            </w:r>
          </w:p>
          <w:p>
            <w:pPr>
              <w:pStyle w:val="3"/>
              <w:ind w:left="0" w:leftChars="0" w:firstLine="0" w:firstLineChars="0"/>
            </w:pPr>
          </w:p>
          <w:p>
            <w:pPr>
              <w:pStyle w:val="3"/>
              <w:ind w:left="0" w:leftChars="0" w:firstLine="0" w:firstLineChars="0"/>
            </w:pPr>
          </w:p>
          <w:p>
            <w:r>
              <w:drawing>
                <wp:anchor distT="0" distB="0" distL="114300" distR="114300" simplePos="0" relativeHeight="251655168" behindDoc="1" locked="0" layoutInCell="1" allowOverlap="1">
                  <wp:simplePos x="0" y="0"/>
                  <wp:positionH relativeFrom="column">
                    <wp:posOffset>4123055</wp:posOffset>
                  </wp:positionH>
                  <wp:positionV relativeFrom="paragraph">
                    <wp:posOffset>24130</wp:posOffset>
                  </wp:positionV>
                  <wp:extent cx="1130300" cy="1604010"/>
                  <wp:effectExtent l="0" t="0" r="0" b="8890"/>
                  <wp:wrapTight wrapText="bothSides">
                    <wp:wrapPolygon>
                      <wp:start x="0" y="0"/>
                      <wp:lineTo x="0" y="21378"/>
                      <wp:lineTo x="21357" y="21378"/>
                      <wp:lineTo x="21357"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0300" cy="1604010"/>
                          </a:xfrm>
                          <a:prstGeom prst="rect">
                            <a:avLst/>
                          </a:prstGeom>
                        </pic:spPr>
                      </pic:pic>
                    </a:graphicData>
                  </a:graphic>
                </wp:anchor>
              </w:drawing>
            </w:r>
            <w:r>
              <w:drawing>
                <wp:anchor distT="0" distB="0" distL="114300" distR="114300" simplePos="0" relativeHeight="251649024" behindDoc="1" locked="0" layoutInCell="1" allowOverlap="1">
                  <wp:simplePos x="0" y="0"/>
                  <wp:positionH relativeFrom="column">
                    <wp:posOffset>73025</wp:posOffset>
                  </wp:positionH>
                  <wp:positionV relativeFrom="paragraph">
                    <wp:posOffset>5080</wp:posOffset>
                  </wp:positionV>
                  <wp:extent cx="1318895" cy="1575435"/>
                  <wp:effectExtent l="0" t="0" r="1905" b="12065"/>
                  <wp:wrapTight wrapText="bothSides">
                    <wp:wrapPolygon>
                      <wp:start x="0" y="0"/>
                      <wp:lineTo x="0" y="21417"/>
                      <wp:lineTo x="21423" y="21417"/>
                      <wp:lineTo x="21423"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8895" cy="1575435"/>
                          </a:xfrm>
                          <a:prstGeom prst="rect">
                            <a:avLst/>
                          </a:prstGeom>
                        </pic:spPr>
                      </pic:pic>
                    </a:graphicData>
                  </a:graphic>
                </wp:anchor>
              </w:drawing>
            </w:r>
            <w:r>
              <w:drawing>
                <wp:inline distT="0" distB="0" distL="0" distR="0">
                  <wp:extent cx="2377440" cy="1645920"/>
                  <wp:effectExtent l="0" t="0" r="1016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7440" cy="1645920"/>
                          </a:xfrm>
                          <a:prstGeom prst="rect">
                            <a:avLst/>
                          </a:prstGeom>
                          <a:noFill/>
                        </pic:spPr>
                      </pic:pic>
                    </a:graphicData>
                  </a:graphic>
                </wp:inline>
              </w:drawing>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tcPr>
          <w:p>
            <w:r>
              <w:rPr>
                <w:rFonts w:hint="eastAsia"/>
              </w:rPr>
              <w:t>标识和可追溯性</w:t>
            </w:r>
          </w:p>
        </w:tc>
        <w:tc>
          <w:tcPr>
            <w:tcW w:w="1178" w:type="dxa"/>
          </w:tcPr>
          <w:p>
            <w:pPr>
              <w:pStyle w:val="2"/>
              <w:rPr>
                <w:sz w:val="21"/>
                <w:szCs w:val="21"/>
              </w:rPr>
            </w:pPr>
            <w:r>
              <w:rPr>
                <w:rFonts w:hint="eastAsia"/>
                <w:sz w:val="21"/>
                <w:szCs w:val="21"/>
              </w:rPr>
              <w:t>Q 8.5.2</w:t>
            </w:r>
          </w:p>
        </w:tc>
        <w:tc>
          <w:tcPr>
            <w:tcW w:w="10662" w:type="dxa"/>
          </w:tcPr>
          <w:p>
            <w:pPr>
              <w:spacing w:before="156" w:beforeLines="50"/>
            </w:pPr>
            <w:r>
              <w:rPr>
                <w:rFonts w:hint="eastAsia"/>
              </w:rPr>
              <w:t>产品煤炭从煤坑运上来后，放入煤炭大棚，不用标识；</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r>
              <w:rPr>
                <w:rFonts w:hint="eastAsia"/>
              </w:rPr>
              <w:t>顾客或外部供方的财产</w:t>
            </w:r>
          </w:p>
        </w:tc>
        <w:tc>
          <w:tcPr>
            <w:tcW w:w="1178" w:type="dxa"/>
          </w:tcPr>
          <w:p>
            <w:pPr>
              <w:pStyle w:val="2"/>
              <w:rPr>
                <w:sz w:val="21"/>
                <w:szCs w:val="21"/>
              </w:rPr>
            </w:pPr>
            <w:r>
              <w:rPr>
                <w:rFonts w:hint="eastAsia"/>
                <w:sz w:val="21"/>
                <w:szCs w:val="21"/>
              </w:rPr>
              <w:t>Q 8.5.3</w:t>
            </w:r>
          </w:p>
        </w:tc>
        <w:tc>
          <w:tcPr>
            <w:tcW w:w="10662" w:type="dxa"/>
          </w:tcPr>
          <w:p>
            <w:pPr>
              <w:spacing w:before="156" w:beforeLines="50"/>
            </w:pPr>
            <w:r>
              <w:rPr>
                <w:rFonts w:hint="eastAsia"/>
              </w:rPr>
              <w:t>公司在管理手册中，规定了对顾客或外部供方财产的管理，明确了对顾客或外部供方财产的登记、验收、保护、使用等相关要求。</w:t>
            </w:r>
          </w:p>
          <w:p>
            <w:pPr>
              <w:spacing w:before="156" w:beforeLines="50"/>
            </w:pPr>
            <w:r>
              <w:rPr>
                <w:rFonts w:hint="eastAsia"/>
              </w:rPr>
              <w:t>目前公司无外部供方的财产，涉及的顾客财产仅为顾客信息，公司对顾客相关信息做相关保密规定。</w:t>
            </w:r>
          </w:p>
          <w:p>
            <w:pPr>
              <w:spacing w:before="156" w:beforeLines="50"/>
            </w:pPr>
            <w:r>
              <w:rPr>
                <w:rFonts w:hint="eastAsia"/>
              </w:rPr>
              <w:t>顾客或外部供方的财产管理符合要求。</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160" w:type="dxa"/>
          </w:tcPr>
          <w:p>
            <w:r>
              <w:rPr>
                <w:rFonts w:hint="eastAsia"/>
              </w:rPr>
              <w:t>防护</w:t>
            </w:r>
          </w:p>
        </w:tc>
        <w:tc>
          <w:tcPr>
            <w:tcW w:w="1178" w:type="dxa"/>
          </w:tcPr>
          <w:p>
            <w:pPr>
              <w:pStyle w:val="2"/>
              <w:rPr>
                <w:sz w:val="21"/>
                <w:szCs w:val="21"/>
              </w:rPr>
            </w:pPr>
            <w:r>
              <w:rPr>
                <w:rFonts w:hint="eastAsia"/>
                <w:sz w:val="21"/>
                <w:szCs w:val="21"/>
              </w:rPr>
              <w:t>Q 8.5.4</w:t>
            </w:r>
          </w:p>
        </w:tc>
        <w:tc>
          <w:tcPr>
            <w:tcW w:w="10662" w:type="dxa"/>
          </w:tcPr>
          <w:p>
            <w:pPr>
              <w:spacing w:before="156" w:beforeLines="50"/>
            </w:pPr>
            <w:r>
              <w:rPr>
                <w:rFonts w:hint="eastAsia"/>
              </w:rPr>
              <w:t>产品的防护：为防止产生煤尘，以及被雨水冲击，有大棚进行防护。</w:t>
            </w:r>
          </w:p>
          <w:p>
            <w:pPr>
              <w:pStyle w:val="2"/>
            </w:pPr>
            <w:r>
              <w:drawing>
                <wp:inline distT="0" distB="0" distL="0" distR="0">
                  <wp:extent cx="2809240" cy="1852295"/>
                  <wp:effectExtent l="0" t="0" r="10160" b="1905"/>
                  <wp:docPr id="23" name="图片 23" descr="C:\Users\ADMINI~1\AppData\Local\Temp\WeChat Files\fa2433477848f6548f17a6218e4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fa2433477848f6548f17a6218e4438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09240" cy="1852295"/>
                          </a:xfrm>
                          <a:prstGeom prst="rect">
                            <a:avLst/>
                          </a:prstGeom>
                          <a:noFill/>
                          <a:ln>
                            <a:noFill/>
                          </a:ln>
                        </pic:spPr>
                      </pic:pic>
                    </a:graphicData>
                  </a:graphic>
                </wp:inline>
              </w:drawing>
            </w:r>
            <w:r>
              <w:drawing>
                <wp:inline distT="0" distB="0" distL="0" distR="0">
                  <wp:extent cx="2827020" cy="1717040"/>
                  <wp:effectExtent l="0" t="0" r="5080" b="10160"/>
                  <wp:docPr id="24" name="图片 24" descr="C:\Users\ADMINI~1\AppData\Local\Temp\WeChat Files\d44ff2049941c045e3c4cb646031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d44ff2049941c045e3c4cb646031d2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27020" cy="1717040"/>
                          </a:xfrm>
                          <a:prstGeom prst="rect">
                            <a:avLst/>
                          </a:prstGeom>
                          <a:noFill/>
                          <a:ln>
                            <a:noFill/>
                          </a:ln>
                        </pic:spPr>
                      </pic:pic>
                    </a:graphicData>
                  </a:graphic>
                </wp:inline>
              </w:drawing>
            </w:r>
          </w:p>
          <w:p>
            <w:pPr>
              <w:pStyle w:val="3"/>
              <w:ind w:firstLine="210"/>
            </w:pPr>
            <w:r>
              <w:rPr>
                <w:rFonts w:hint="eastAsia"/>
              </w:rPr>
              <w:t>产品的防护符合标准的要求；</w:t>
            </w:r>
          </w:p>
        </w:tc>
        <w:tc>
          <w:tcPr>
            <w:tcW w:w="7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r>
              <w:rPr>
                <w:rFonts w:hint="eastAsia"/>
              </w:rPr>
              <w:t>更改控制</w:t>
            </w:r>
          </w:p>
        </w:tc>
        <w:tc>
          <w:tcPr>
            <w:tcW w:w="1178" w:type="dxa"/>
          </w:tcPr>
          <w:p>
            <w:pPr>
              <w:pStyle w:val="2"/>
              <w:rPr>
                <w:sz w:val="21"/>
                <w:szCs w:val="21"/>
              </w:rPr>
            </w:pPr>
            <w:r>
              <w:rPr>
                <w:rFonts w:hint="eastAsia"/>
                <w:sz w:val="21"/>
                <w:szCs w:val="21"/>
              </w:rPr>
              <w:t>Q 8.5.6</w:t>
            </w:r>
          </w:p>
        </w:tc>
        <w:tc>
          <w:tcPr>
            <w:tcW w:w="10662" w:type="dxa"/>
          </w:tcPr>
          <w:p>
            <w:pPr>
              <w:spacing w:before="156" w:beforeLines="50"/>
            </w:pPr>
            <w:r>
              <w:rPr>
                <w:rFonts w:hint="eastAsia"/>
              </w:rPr>
              <w:t>生产部负责人介绍目前顾客、供方比较稳定，有关的法律法规没有发生变化，公司的设备、设施、人员、工艺都比较固定，所以生产的提供没有发生过更改，现场也没有发现变更情况，问其有关的要求，比较熟悉。</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r>
              <w:rPr>
                <w:rFonts w:hint="eastAsia"/>
              </w:rPr>
              <w:t>产品和服务的放行</w:t>
            </w:r>
          </w:p>
        </w:tc>
        <w:tc>
          <w:tcPr>
            <w:tcW w:w="1178" w:type="dxa"/>
          </w:tcPr>
          <w:p>
            <w:pPr>
              <w:pStyle w:val="2"/>
              <w:rPr>
                <w:sz w:val="21"/>
                <w:szCs w:val="21"/>
              </w:rPr>
            </w:pPr>
            <w:r>
              <w:rPr>
                <w:rFonts w:hint="eastAsia"/>
                <w:sz w:val="21"/>
                <w:szCs w:val="21"/>
              </w:rPr>
              <w:t>Q 8.6</w:t>
            </w:r>
          </w:p>
        </w:tc>
        <w:tc>
          <w:tcPr>
            <w:tcW w:w="10662" w:type="dxa"/>
          </w:tcPr>
          <w:p>
            <w:pPr>
              <w:spacing w:before="156" w:beforeLines="50"/>
            </w:pPr>
            <w:r>
              <w:rPr>
                <w:rFonts w:hint="eastAsia"/>
              </w:rPr>
              <w:t>公司规定并客户的要求放行的：</w:t>
            </w:r>
          </w:p>
          <w:p>
            <w:pPr>
              <w:spacing w:before="156" w:beforeLines="50"/>
            </w:pPr>
            <w:r>
              <w:drawing>
                <wp:inline distT="0" distB="0" distL="0" distR="0">
                  <wp:extent cx="1217930" cy="1960245"/>
                  <wp:effectExtent l="0" t="0" r="127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1227839" cy="1975485"/>
                          </a:xfrm>
                          <a:prstGeom prst="rect">
                            <a:avLst/>
                          </a:prstGeom>
                        </pic:spPr>
                      </pic:pic>
                    </a:graphicData>
                  </a:graphic>
                </wp:inline>
              </w:drawing>
            </w:r>
            <w:r>
              <w:t xml:space="preserve"> </w:t>
            </w:r>
            <w:r>
              <w:drawing>
                <wp:inline distT="0" distB="0" distL="0" distR="0">
                  <wp:extent cx="1533525" cy="206502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35571" cy="2067432"/>
                          </a:xfrm>
                          <a:prstGeom prst="rect">
                            <a:avLst/>
                          </a:prstGeom>
                        </pic:spPr>
                      </pic:pic>
                    </a:graphicData>
                  </a:graphic>
                </wp:inline>
              </w:drawing>
            </w:r>
            <w:r>
              <w:t xml:space="preserve"> </w:t>
            </w:r>
            <w:r>
              <w:drawing>
                <wp:inline distT="0" distB="0" distL="0" distR="0">
                  <wp:extent cx="1329690" cy="1989455"/>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1338434" cy="2002438"/>
                          </a:xfrm>
                          <a:prstGeom prst="rect">
                            <a:avLst/>
                          </a:prstGeom>
                        </pic:spPr>
                      </pic:pic>
                    </a:graphicData>
                  </a:graphic>
                </wp:inline>
              </w:drawing>
            </w:r>
            <w:r>
              <w:t xml:space="preserve"> </w:t>
            </w:r>
            <w:r>
              <w:drawing>
                <wp:inline distT="0" distB="0" distL="0" distR="0">
                  <wp:extent cx="1416050" cy="19284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1422232" cy="1936209"/>
                          </a:xfrm>
                          <a:prstGeom prst="rect">
                            <a:avLst/>
                          </a:prstGeom>
                        </pic:spPr>
                      </pic:pic>
                    </a:graphicData>
                  </a:graphic>
                </wp:inline>
              </w:drawing>
            </w:r>
          </w:p>
          <w:p>
            <w:pPr>
              <w:spacing w:before="156" w:beforeLines="50"/>
            </w:pPr>
            <w:r>
              <w:rPr>
                <w:rFonts w:hint="eastAsia"/>
              </w:rPr>
              <w:t>通过上述记录了解到，组织对产品实现的各过程进行了有效的监视测量，产品必须经检验满足顾客要求后才能交付，确保能满足顾客对产品的质量要求。</w:t>
            </w:r>
          </w:p>
          <w:p>
            <w:pPr>
              <w:tabs>
                <w:tab w:val="left" w:pos="0"/>
              </w:tabs>
              <w:spacing w:before="156" w:beforeLines="50"/>
            </w:pPr>
            <w:r>
              <w:rPr>
                <w:rFonts w:hint="eastAsia"/>
              </w:rPr>
              <w:t>公司产品生产的监视和测量控制基本符合规定要求。</w:t>
            </w:r>
          </w:p>
        </w:tc>
        <w:tc>
          <w:tcPr>
            <w:tcW w:w="709"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160" w:type="dxa"/>
          </w:tcPr>
          <w:p>
            <w:r>
              <w:rPr>
                <w:rFonts w:hint="eastAsia"/>
              </w:rPr>
              <w:t>不合格输出的控制</w:t>
            </w:r>
          </w:p>
        </w:tc>
        <w:tc>
          <w:tcPr>
            <w:tcW w:w="1178" w:type="dxa"/>
          </w:tcPr>
          <w:p>
            <w:pPr>
              <w:pStyle w:val="2"/>
              <w:rPr>
                <w:sz w:val="21"/>
                <w:szCs w:val="21"/>
              </w:rPr>
            </w:pPr>
            <w:r>
              <w:rPr>
                <w:rFonts w:hint="eastAsia"/>
                <w:sz w:val="21"/>
                <w:szCs w:val="21"/>
              </w:rPr>
              <w:t>Q8.7</w:t>
            </w:r>
          </w:p>
        </w:tc>
        <w:tc>
          <w:tcPr>
            <w:tcW w:w="10662" w:type="dxa"/>
          </w:tcPr>
          <w:p>
            <w:pPr>
              <w:spacing w:before="156" w:beforeLines="50"/>
            </w:pPr>
            <w:r>
              <w:rPr>
                <w:rFonts w:hint="eastAsia"/>
              </w:rPr>
              <w:t>因为没有严格的标准，所谓的标准就是客户需求，不存在所谓的不合格产品。</w:t>
            </w:r>
          </w:p>
        </w:tc>
        <w:tc>
          <w:tcPr>
            <w:tcW w:w="709" w:type="dxa"/>
          </w:tcPr>
          <w:p/>
        </w:tc>
      </w:tr>
    </w:tbl>
    <w:p>
      <w:pPr>
        <w:pStyle w:val="9"/>
      </w:pPr>
    </w:p>
    <w:p>
      <w:pPr>
        <w:pStyle w:val="9"/>
      </w:pPr>
    </w:p>
    <w:p>
      <w:pPr>
        <w:pStyle w:val="9"/>
      </w:pPr>
    </w:p>
    <w:p>
      <w:pPr>
        <w:pStyle w:val="9"/>
      </w:pPr>
    </w:p>
    <w:p>
      <w:pPr>
        <w:pStyle w:val="9"/>
      </w:pPr>
    </w:p>
    <w:p>
      <w:pPr>
        <w:pStyle w:val="9"/>
      </w:pPr>
    </w:p>
    <w:p>
      <w:pPr>
        <w:pStyle w:val="9"/>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24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24</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990" w:firstLineChars="550"/>
      <w:jc w:val="left"/>
      <w:rPr>
        <w:rStyle w:val="20"/>
        <w:rFonts w:hint="default"/>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-59690</wp:posOffset>
          </wp:positionV>
          <wp:extent cx="481330" cy="484505"/>
          <wp:effectExtent l="0" t="0" r="1270" b="10795"/>
          <wp:wrapTopAndBottom/>
          <wp:docPr id="9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1"/>
      <w:pBdr>
        <w:bottom w:val="none" w:color="auto" w:sz="0" w:space="0"/>
      </w:pBdr>
      <w:spacing w:line="320" w:lineRule="exact"/>
      <w:ind w:firstLine="900" w:firstLineChars="500"/>
      <w:jc w:val="left"/>
    </w:pPr>
    <w:r>
      <mc:AlternateContent>
        <mc:Choice Requires="wps">
          <w:drawing>
            <wp:anchor distT="0" distB="0" distL="114300" distR="114300" simplePos="0" relativeHeight="251659264" behindDoc="0" locked="0" layoutInCell="1" allowOverlap="1">
              <wp:simplePos x="0" y="0"/>
              <wp:positionH relativeFrom="column">
                <wp:posOffset>7844155</wp:posOffset>
              </wp:positionH>
              <wp:positionV relativeFrom="paragraph">
                <wp:posOffset>27940</wp:posOffset>
              </wp:positionV>
              <wp:extent cx="1171575" cy="256540"/>
              <wp:effectExtent l="0" t="0" r="9525" b="10160"/>
              <wp:wrapNone/>
              <wp:docPr id="2" name="文本框 1"/>
              <wp:cNvGraphicFramePr/>
              <a:graphic xmlns:a="http://schemas.openxmlformats.org/drawingml/2006/main">
                <a:graphicData uri="http://schemas.microsoft.com/office/word/2010/wordprocessingShape">
                  <wps:wsp>
                    <wps:cNvSpPr txBox="1"/>
                    <wps:spPr>
                      <a:xfrm>
                        <a:off x="0" y="0"/>
                        <a:ext cx="1171575" cy="256540"/>
                      </a:xfrm>
                      <a:prstGeom prst="rect">
                        <a:avLst/>
                      </a:prstGeom>
                      <a:solidFill>
                        <a:srgbClr val="FFFFFF"/>
                      </a:solidFill>
                      <a:ln>
                        <a:noFill/>
                      </a:ln>
                    </wps:spPr>
                    <wps:txbx>
                      <w:txbxContent>
                        <w:p>
                          <w:pPr>
                            <w:rPr>
                              <w:sz w:val="18"/>
                              <w:szCs w:val="18"/>
                            </w:rPr>
                          </w:pPr>
                          <w:r>
                            <w:rPr>
                              <w:rFonts w:hint="eastAsia"/>
                              <w:sz w:val="18"/>
                              <w:szCs w:val="18"/>
                            </w:rPr>
                            <w:t>ISC-B-II-12(05版）</w:t>
                          </w:r>
                        </w:p>
                        <w:p/>
                      </w:txbxContent>
                    </wps:txbx>
                    <wps:bodyPr upright="1"/>
                  </wps:wsp>
                </a:graphicData>
              </a:graphic>
            </wp:anchor>
          </w:drawing>
        </mc:Choice>
        <mc:Fallback>
          <w:pict>
            <v:shape id="文本框 1" o:spid="_x0000_s1026" o:spt="202" type="#_x0000_t202" style="position:absolute;left:0pt;margin-left:617.65pt;margin-top:2.2pt;height:20.2pt;width:92.25pt;z-index:251659264;mso-width-relative:page;mso-height-relative:page;" fillcolor="#FFFFFF" filled="t" stroked="f" coordsize="21600,21600" o:gfxdata="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CkNJ1gAAAAoBAAAPAAAAAAAAAAEAIAAAACIAAABkcnMvZG93bnJldi54&#10;bWxQSwECFAAUAAAACACHTuJAnuhLuMMBAAB3AwAADgAAAAAAAAABACAAAAAl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p/>
                </w:txbxContent>
              </v:textbox>
            </v:shape>
          </w:pict>
        </mc:Fallback>
      </mc:AlternateContent>
    </w:r>
    <w:r>
      <w:rPr>
        <w:rStyle w:val="20"/>
        <w:rFonts w:hint="default"/>
        <w:w w:val="90"/>
      </w:rPr>
      <w:t>Beijing International Standard united Certification Co.,Ltd.</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E7F83"/>
    <w:multiLevelType w:val="singleLevel"/>
    <w:tmpl w:val="82AE7F83"/>
    <w:lvl w:ilvl="0" w:tentative="0">
      <w:start w:val="2"/>
      <w:numFmt w:val="decimal"/>
      <w:suff w:val="nothing"/>
      <w:lvlText w:val="%1、"/>
      <w:lvlJc w:val="left"/>
    </w:lvl>
  </w:abstractNum>
  <w:abstractNum w:abstractNumId="1">
    <w:nsid w:val="EF6F03ED"/>
    <w:multiLevelType w:val="singleLevel"/>
    <w:tmpl w:val="EF6F03E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50E"/>
    <w:rsid w:val="000573D8"/>
    <w:rsid w:val="00062B5C"/>
    <w:rsid w:val="0007233B"/>
    <w:rsid w:val="0008557A"/>
    <w:rsid w:val="000D4D98"/>
    <w:rsid w:val="00105F69"/>
    <w:rsid w:val="00122180"/>
    <w:rsid w:val="00133D14"/>
    <w:rsid w:val="00184593"/>
    <w:rsid w:val="00197B7A"/>
    <w:rsid w:val="001A77CB"/>
    <w:rsid w:val="001E38EF"/>
    <w:rsid w:val="00274873"/>
    <w:rsid w:val="002F4390"/>
    <w:rsid w:val="00310BC8"/>
    <w:rsid w:val="00366499"/>
    <w:rsid w:val="00383C04"/>
    <w:rsid w:val="003C097D"/>
    <w:rsid w:val="003F22AC"/>
    <w:rsid w:val="004239EA"/>
    <w:rsid w:val="00445F0D"/>
    <w:rsid w:val="005A6063"/>
    <w:rsid w:val="005B131A"/>
    <w:rsid w:val="005F1958"/>
    <w:rsid w:val="00605CCC"/>
    <w:rsid w:val="00631DD7"/>
    <w:rsid w:val="00636889"/>
    <w:rsid w:val="006A2DBB"/>
    <w:rsid w:val="006D7054"/>
    <w:rsid w:val="006F56C0"/>
    <w:rsid w:val="00771D88"/>
    <w:rsid w:val="007728DB"/>
    <w:rsid w:val="007847CC"/>
    <w:rsid w:val="00786A93"/>
    <w:rsid w:val="007A07B4"/>
    <w:rsid w:val="0083224F"/>
    <w:rsid w:val="00861E86"/>
    <w:rsid w:val="008775A8"/>
    <w:rsid w:val="008824C3"/>
    <w:rsid w:val="009D0F1A"/>
    <w:rsid w:val="009F763C"/>
    <w:rsid w:val="00A46560"/>
    <w:rsid w:val="00A7050E"/>
    <w:rsid w:val="00AD52C9"/>
    <w:rsid w:val="00B24FE8"/>
    <w:rsid w:val="00D841DD"/>
    <w:rsid w:val="00D9660D"/>
    <w:rsid w:val="00DE190F"/>
    <w:rsid w:val="00E149CB"/>
    <w:rsid w:val="00E7736D"/>
    <w:rsid w:val="00E90F70"/>
    <w:rsid w:val="00EC24E3"/>
    <w:rsid w:val="00EC7451"/>
    <w:rsid w:val="00ED1A5C"/>
    <w:rsid w:val="00ED3F23"/>
    <w:rsid w:val="00EF49E9"/>
    <w:rsid w:val="00F05AA8"/>
    <w:rsid w:val="00F4137F"/>
    <w:rsid w:val="00FC14BA"/>
    <w:rsid w:val="0343038A"/>
    <w:rsid w:val="05E87C59"/>
    <w:rsid w:val="076419DB"/>
    <w:rsid w:val="08BC1807"/>
    <w:rsid w:val="0CF54D27"/>
    <w:rsid w:val="17AA6532"/>
    <w:rsid w:val="17AC1CF7"/>
    <w:rsid w:val="1CD74EBB"/>
    <w:rsid w:val="1DC16091"/>
    <w:rsid w:val="21571911"/>
    <w:rsid w:val="2C3B51FB"/>
    <w:rsid w:val="2F8764AA"/>
    <w:rsid w:val="32DF03BB"/>
    <w:rsid w:val="35811E9A"/>
    <w:rsid w:val="3BA149BC"/>
    <w:rsid w:val="4A8A63E7"/>
    <w:rsid w:val="4C1A20FB"/>
    <w:rsid w:val="4DF757C4"/>
    <w:rsid w:val="56F61F7A"/>
    <w:rsid w:val="5C1B5669"/>
    <w:rsid w:val="5C215DB9"/>
    <w:rsid w:val="5F5801A2"/>
    <w:rsid w:val="66971790"/>
    <w:rsid w:val="689B0EE7"/>
    <w:rsid w:val="739466D1"/>
    <w:rsid w:val="7A5F71B4"/>
    <w:rsid w:val="7C9E3B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5"/>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6">
    <w:name w:val="heading 3"/>
    <w:basedOn w:val="1"/>
    <w:next w:val="1"/>
    <w:unhideWhenUsed/>
    <w:qFormat/>
    <w:uiPriority w:val="9"/>
    <w:pPr>
      <w:keepNext/>
      <w:keepLines/>
      <w:spacing w:before="260" w:after="260" w:line="416" w:lineRule="auto"/>
      <w:outlineLvl w:val="2"/>
    </w:pPr>
    <w:rPr>
      <w:rFonts w:eastAsia="仿宋"/>
      <w:b/>
      <w:bCs/>
      <w:sz w:val="28"/>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rPr>
      <w:sz w:val="24"/>
    </w:rPr>
  </w:style>
  <w:style w:type="paragraph" w:styleId="3">
    <w:name w:val="toc 2"/>
    <w:basedOn w:val="1"/>
    <w:next w:val="1"/>
    <w:qFormat/>
    <w:uiPriority w:val="0"/>
    <w:pPr>
      <w:tabs>
        <w:tab w:val="right" w:leader="dot" w:pos="9118"/>
      </w:tabs>
      <w:spacing w:line="400" w:lineRule="exact"/>
      <w:ind w:left="199" w:leftChars="95" w:firstLine="240" w:firstLineChars="100"/>
    </w:pPr>
  </w:style>
  <w:style w:type="paragraph" w:styleId="5">
    <w:name w:val="Normal Indent"/>
    <w:basedOn w:val="1"/>
    <w:qFormat/>
    <w:uiPriority w:val="0"/>
    <w:pPr>
      <w:adjustRightInd w:val="0"/>
      <w:spacing w:line="360" w:lineRule="atLeast"/>
      <w:ind w:left="480"/>
      <w:textAlignment w:val="baseline"/>
    </w:pPr>
    <w:rPr>
      <w:kern w:val="0"/>
    </w:rPr>
  </w:style>
  <w:style w:type="paragraph" w:styleId="7">
    <w:name w:val="Body Text Indent"/>
    <w:basedOn w:val="1"/>
    <w:qFormat/>
    <w:uiPriority w:val="0"/>
    <w:pPr>
      <w:ind w:firstLine="425"/>
    </w:pPr>
  </w:style>
  <w:style w:type="paragraph" w:styleId="8">
    <w:name w:val="Balloon Text"/>
    <w:basedOn w:val="1"/>
    <w:link w:val="19"/>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envelope return"/>
    <w:basedOn w:val="1"/>
    <w:unhideWhenUsed/>
    <w:qFormat/>
    <w:uiPriority w:val="99"/>
    <w:pPr>
      <w:snapToGrid w:val="0"/>
    </w:pPr>
    <w:rPr>
      <w:rFonts w:ascii="Arial" w:hAnsi="Arial"/>
      <w:szCs w:val="24"/>
    </w:rPr>
  </w:style>
  <w:style w:type="paragraph" w:styleId="11">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页眉 字符"/>
    <w:basedOn w:val="16"/>
    <w:link w:val="11"/>
    <w:qFormat/>
    <w:uiPriority w:val="99"/>
    <w:rPr>
      <w:rFonts w:ascii="Times New Roman" w:hAnsi="Times New Roman" w:eastAsia="宋体" w:cs="Times New Roman"/>
      <w:sz w:val="18"/>
      <w:szCs w:val="18"/>
    </w:rPr>
  </w:style>
  <w:style w:type="character" w:customStyle="1" w:styleId="18">
    <w:name w:val="页脚 字符"/>
    <w:basedOn w:val="16"/>
    <w:link w:val="9"/>
    <w:qFormat/>
    <w:uiPriority w:val="99"/>
    <w:rPr>
      <w:rFonts w:ascii="Times New Roman" w:hAnsi="Times New Roman" w:eastAsia="宋体" w:cs="Times New Roman"/>
      <w:sz w:val="18"/>
      <w:szCs w:val="18"/>
    </w:rPr>
  </w:style>
  <w:style w:type="character" w:customStyle="1" w:styleId="19">
    <w:name w:val="批注框文本 字符"/>
    <w:basedOn w:val="16"/>
    <w:link w:val="8"/>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样式 正文文本缩进 + 左侧:  2 字符 首行缩进:  2 字符"/>
    <w:basedOn w:val="7"/>
    <w:qFormat/>
    <w:uiPriority w:val="0"/>
    <w:pPr>
      <w:spacing w:line="360" w:lineRule="auto"/>
      <w:ind w:firstLine="420" w:firstLineChars="200"/>
    </w:pPr>
    <w:rPr>
      <w:szCs w:val="21"/>
    </w:rPr>
  </w:style>
  <w:style w:type="paragraph" w:styleId="23">
    <w:name w:val="List Paragraph"/>
    <w:basedOn w:val="1"/>
    <w:qFormat/>
    <w:uiPriority w:val="1"/>
    <w:pPr>
      <w:ind w:left="538" w:firstLine="559"/>
    </w:pPr>
  </w:style>
  <w:style w:type="paragraph" w:customStyle="1" w:styleId="24">
    <w:name w:val="表格文字"/>
    <w:basedOn w:val="1"/>
    <w:qFormat/>
    <w:uiPriority w:val="0"/>
    <w:pPr>
      <w:spacing w:before="25" w:after="25"/>
    </w:pPr>
    <w:rPr>
      <w:rFonts w:ascii="Calibri" w:hAnsi="Calibri"/>
      <w:bCs/>
      <w:spacing w:val="10"/>
      <w:sz w:val="24"/>
    </w:rPr>
  </w:style>
  <w:style w:type="paragraph" w:styleId="25">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Table Paragraph"/>
    <w:basedOn w:val="1"/>
    <w:qFormat/>
    <w:uiPriority w:val="1"/>
    <w:pPr>
      <w:ind w:left="107"/>
    </w:pPr>
    <w:rPr>
      <w:rFonts w:ascii="宋体" w:hAnsi="宋体" w:cs="宋体"/>
      <w:lang w:eastAsia="en-US" w:bidi="en-US"/>
    </w:rPr>
  </w:style>
  <w:style w:type="paragraph" w:customStyle="1" w:styleId="27">
    <w:name w:val="段落正文"/>
    <w:semiHidden/>
    <w:qFormat/>
    <w:uiPriority w:val="99"/>
    <w:pPr>
      <w:spacing w:line="360" w:lineRule="auto"/>
      <w:ind w:firstLine="200" w:firstLineChars="200"/>
      <w:jc w:val="both"/>
    </w:pPr>
    <w:rPr>
      <w:rFonts w:ascii="Calibri" w:hAnsi="Calibri" w:eastAsia="仿宋_GB2312" w:cs="Times New Roman"/>
      <w:kern w:val="2"/>
      <w:sz w:val="28"/>
      <w:szCs w:val="24"/>
      <w:lang w:val="en-US" w:eastAsia="zh-CN" w:bidi="ar-SA"/>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列出段落3"/>
    <w:basedOn w:val="1"/>
    <w:unhideWhenUsed/>
    <w:qFormat/>
    <w:uiPriority w:val="99"/>
    <w:pPr>
      <w:widowControl/>
      <w:spacing w:line="360" w:lineRule="auto"/>
      <w:ind w:firstLine="420" w:firstLineChars="200"/>
      <w:jc w:val="left"/>
    </w:pPr>
    <w:rPr>
      <w:rFonts w:ascii="Calibri" w:hAnsi="Calibri" w:cs="黑体"/>
      <w:szCs w:val="21"/>
    </w:rPr>
  </w:style>
  <w:style w:type="paragraph" w:customStyle="1" w:styleId="30">
    <w:name w:val="样式 设计说明书第三级 + 首行缩进:  2 字符"/>
    <w:basedOn w:val="1"/>
    <w:qFormat/>
    <w:uiPriority w:val="0"/>
    <w:pPr>
      <w:keepNext/>
      <w:keepLines/>
      <w:spacing w:before="100" w:line="500" w:lineRule="exact"/>
      <w:ind w:firstLine="200" w:firstLineChars="200"/>
      <w:jc w:val="left"/>
      <w:outlineLvl w:val="2"/>
    </w:pPr>
    <w:rPr>
      <w:rFonts w:ascii="Calibri" w:hAnsi="Calibri"/>
      <w:b/>
      <w:bCs/>
      <w:kern w:val="44"/>
      <w:szCs w:val="28"/>
    </w:rPr>
  </w:style>
  <w:style w:type="paragraph" w:customStyle="1" w:styleId="31">
    <w:name w:val="样式3（代正文）"/>
    <w:qFormat/>
    <w:uiPriority w:val="0"/>
    <w:pPr>
      <w:widowControl w:val="0"/>
      <w:adjustRightInd w:val="0"/>
      <w:snapToGrid w:val="0"/>
      <w:spacing w:line="360" w:lineRule="auto"/>
      <w:ind w:firstLine="560" w:firstLineChars="200"/>
    </w:pPr>
    <w:rPr>
      <w:rFonts w:ascii="仿宋" w:hAnsi="仿宋" w:eastAsia="仿宋" w:cs="Times New Roman"/>
      <w:iCs/>
      <w:snapToGrid w:val="0"/>
      <w:sz w:val="28"/>
      <w:szCs w:val="28"/>
      <w:lang w:val="en-US" w:eastAsia="zh-CN" w:bidi="ar-SA"/>
    </w:rPr>
  </w:style>
  <w:style w:type="paragraph" w:customStyle="1" w:styleId="32">
    <w:name w:val="样式 10 磅"/>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3">
    <w:name w:val="font01"/>
    <w:qFormat/>
    <w:uiPriority w:val="0"/>
    <w:rPr>
      <w:rFonts w:hint="eastAsia" w:ascii="宋体" w:hAnsi="宋体" w:eastAsia="宋体" w:cs="宋体"/>
      <w:color w:val="000000"/>
      <w:sz w:val="22"/>
      <w:szCs w:val="22"/>
      <w:u w:val="none"/>
    </w:rPr>
  </w:style>
  <w:style w:type="character" w:customStyle="1" w:styleId="34">
    <w:name w:val="font71"/>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916</Words>
  <Characters>5227</Characters>
  <Lines>43</Lines>
  <Paragraphs>12</Paragraphs>
  <TotalTime>1</TotalTime>
  <ScaleCrop>false</ScaleCrop>
  <LinksUpToDate>false</LinksUpToDate>
  <CharactersWithSpaces>6131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2023-01-16T12:32:53Z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BB4C6C3BCA7941F4A0E34FC25F96CEB8</vt:lpwstr>
  </property>
</Properties>
</file>