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内蒙古鄂尔多斯市潮脑梁煤炭有限公司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专业小类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党明博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土石方剥离作业：</w:t>
            </w:r>
            <w:r>
              <w:rPr>
                <w:rFonts w:hint="eastAsia"/>
                <w:b/>
                <w:sz w:val="20"/>
                <w:szCs w:val="22"/>
              </w:rPr>
              <w:t>钻孔------爆破------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排土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煤炭开采作业：采装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分类堆放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爆破、剥离、采矿；</w:t>
            </w:r>
            <w:r>
              <w:rPr>
                <w:rFonts w:hint="eastAsia"/>
                <w:b/>
                <w:sz w:val="20"/>
                <w:lang w:val="en-US" w:eastAsia="zh-CN"/>
              </w:rPr>
              <w:t>主要控制参数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名称：爆破——位置、钻孔孔径及深度、布孔情况、用药量、爆破效果；剥离——设备选型、剥离量（土、岩比例）、运输距离；采煤——设备选型、采煤量、可采煤层情况、各煤层厚度、运输距离；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需要确认的重点过程：爆破。该过程外包。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中华人品共和国产品质量法；</w:t>
            </w:r>
          </w:p>
          <w:p>
            <w:pPr>
              <w:pStyle w:val="9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中华人民共和国计量法；</w:t>
            </w:r>
          </w:p>
          <w:p>
            <w:pPr>
              <w:pStyle w:val="9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中华人民共和国标准化法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质量管理体系要求</w:t>
            </w:r>
          </w:p>
          <w:p>
            <w:pPr>
              <w:pStyle w:val="9"/>
              <w:rPr>
                <w:rFonts w:hint="default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中华人民共和国劳动法</w:t>
            </w:r>
            <w:r>
              <w:rPr>
                <w:rFonts w:hint="eastAsia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露天采煤的特点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770890" cy="346075"/>
                  <wp:effectExtent l="0" t="0" r="3810" b="95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102870</wp:posOffset>
                  </wp:positionV>
                  <wp:extent cx="982345" cy="306070"/>
                  <wp:effectExtent l="0" t="0" r="0" b="11430"/>
                  <wp:wrapSquare wrapText="bothSides"/>
                  <wp:docPr id="3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内蒙古鄂尔多斯市潮脑梁煤炭有限公司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专业小类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党明博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土石方剥离作业：</w:t>
            </w:r>
            <w:r>
              <w:rPr>
                <w:rFonts w:hint="eastAsia"/>
                <w:b/>
                <w:sz w:val="20"/>
                <w:szCs w:val="22"/>
              </w:rPr>
              <w:t>钻孔------爆破------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排土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煤炭开采作业：采装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分类堆放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</w:rPr>
            </w:pPr>
          </w:p>
          <w:tbl>
            <w:tblPr>
              <w:tblStyle w:val="6"/>
              <w:tblW w:w="7461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41"/>
              <w:gridCol w:w="38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3641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hint="eastAsia" w:ascii="宋体" w:eastAsia="宋体"/>
                      <w:lang w:eastAsia="zh-CN"/>
                    </w:rPr>
                  </w:pPr>
                  <w:r>
                    <w:rPr>
                      <w:rFonts w:hint="eastAsia" w:ascii="宋体" w:hAnsi="Times New Roman" w:cs="Times New Roman"/>
                      <w:szCs w:val="22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82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auto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控制措施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3641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382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364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4"/>
                      <w:sz w:val="21"/>
                      <w:szCs w:val="21"/>
                      <w:lang w:val="en-US" w:eastAsia="zh-CN" w:bidi="ar"/>
                    </w:rPr>
                    <w:t>办公固废（废弃打印纸、废弃包装物、废弃宣传册、硒鼓、墨盒等）</w:t>
                  </w:r>
                </w:p>
              </w:tc>
              <w:tc>
                <w:tcPr>
                  <w:tcW w:w="3820" w:type="dxa"/>
                  <w:tcBorders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固体废弃物应分类存放，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废纸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进行回收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变卖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硒鼓和墨盒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重复使用；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防疫物资由指定单位回收处理；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废矿物油、废油桶、废铅蓄电瓶等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专业公司处置，制定应急预案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装载机、矿用卡车、单斗挖掘机</w:t>
                  </w:r>
                  <w:r>
                    <w:rPr>
                      <w:rStyle w:val="14"/>
                      <w:sz w:val="21"/>
                      <w:szCs w:val="21"/>
                      <w:lang w:val="en-US" w:eastAsia="zh-CN" w:bidi="ar"/>
                    </w:rPr>
                    <w:t>等设备运行噪声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制度管理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3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4"/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捕尘</w:t>
                  </w:r>
                  <w:r>
                    <w:rPr>
                      <w:rStyle w:val="14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和喷雾装置，煤场防风抑尘网</w:t>
                  </w:r>
                  <w:r>
                    <w:rPr>
                      <w:rStyle w:val="14"/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、封闭式煤棚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设置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抑尘装置，制度管理</w:t>
                  </w: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15"/>
                      <w:rFonts w:hint="eastAsia"/>
                      <w:sz w:val="21"/>
                      <w:szCs w:val="21"/>
                      <w:lang w:val="en-US" w:eastAsia="zh-CN" w:bidi="ar"/>
                    </w:rPr>
                    <w:t>采煤过程中发生</w:t>
                  </w:r>
                  <w:r>
                    <w:rPr>
                      <w:rStyle w:val="15"/>
                      <w:sz w:val="21"/>
                      <w:szCs w:val="21"/>
                      <w:lang w:val="en-US" w:eastAsia="zh-CN" w:bidi="ar"/>
                    </w:rPr>
                    <w:t>火灾、</w:t>
                  </w:r>
                  <w:r>
                    <w:rPr>
                      <w:rStyle w:val="15"/>
                      <w:rFonts w:hint="eastAsia"/>
                      <w:sz w:val="21"/>
                      <w:szCs w:val="21"/>
                      <w:lang w:val="en-US" w:eastAsia="zh-CN" w:bidi="ar"/>
                    </w:rPr>
                    <w:t>采空区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  <w:t>设置消防设施，掌握消防设备使用方法，对电器线路进行检测、防止明火。</w:t>
                  </w: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针对采空区应进行超前钻探工作提前探明。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3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5"/>
                      <w:rFonts w:hint="default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5"/>
                      <w:rFonts w:hint="eastAsia"/>
                      <w:sz w:val="21"/>
                      <w:szCs w:val="21"/>
                      <w:lang w:val="en-US" w:eastAsia="zh-CN" w:bidi="ar"/>
                    </w:rPr>
                    <w:t>污水处理</w:t>
                  </w:r>
                </w:p>
              </w:tc>
              <w:tc>
                <w:tcPr>
                  <w:tcW w:w="38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14"/>
                      <w:rFonts w:hint="default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14"/>
                      <w:rFonts w:hint="eastAsia"/>
                      <w:sz w:val="21"/>
                      <w:szCs w:val="21"/>
                      <w:lang w:val="en-US" w:eastAsia="zh-CN" w:bidi="ar"/>
                    </w:rPr>
                    <w:t>加强污水处理设施管理，加强监测，达标排放</w:t>
                  </w:r>
                </w:p>
              </w:tc>
            </w:tr>
          </w:tbl>
          <w:p>
            <w:pPr>
              <w:pStyle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中华人品共和国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环境保护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法；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中华人民共和国大气污染防治法；</w:t>
            </w:r>
            <w:r>
              <w:rPr>
                <w:rFonts w:hint="default"/>
                <w:b/>
                <w:sz w:val="20"/>
                <w:lang w:val="en-US" w:eastAsia="zh-CN"/>
              </w:rPr>
              <w:t>中华人民共和国</w:t>
            </w:r>
            <w:r>
              <w:rPr>
                <w:rFonts w:hint="eastAsia"/>
                <w:b/>
                <w:sz w:val="20"/>
                <w:lang w:val="en-US" w:eastAsia="zh-CN"/>
              </w:rPr>
              <w:t>环境影响评价</w:t>
            </w:r>
            <w:r>
              <w:rPr>
                <w:rFonts w:hint="default"/>
                <w:b/>
                <w:sz w:val="20"/>
                <w:lang w:val="en-US" w:eastAsia="zh-CN"/>
              </w:rPr>
              <w:t>法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环境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管理体系  要求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及使用指南；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中华人民共和国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水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法</w:t>
            </w:r>
            <w:r>
              <w:rPr>
                <w:rFonts w:hint="eastAsia" w:ascii="Times New Roman" w:hAnsi="Times New Roman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，中华人民共和国计量法；大气污染物排放标准、危险废物名录，危险废物转移管理办法；GB20426-2006煤炭工业污染物排放标准</w:t>
            </w:r>
            <w:r>
              <w:rPr>
                <w:rFonts w:hint="eastAsia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有废水、颗粒物、噪声监测报告，见相关证据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采煤过程相关环境影响专业知识，如危废库的管理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770890" cy="346075"/>
                  <wp:effectExtent l="0" t="0" r="3810" b="9525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102870</wp:posOffset>
                  </wp:positionV>
                  <wp:extent cx="982345" cy="306070"/>
                  <wp:effectExtent l="0" t="0" r="0" b="11430"/>
                  <wp:wrapSquare wrapText="bothSides"/>
                  <wp:docPr id="7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内蒙古鄂尔多斯市潮脑梁煤炭有限公司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专业小类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党明博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土石方剥离作业：</w:t>
            </w:r>
            <w:r>
              <w:rPr>
                <w:rFonts w:hint="eastAsia"/>
                <w:b/>
                <w:sz w:val="20"/>
                <w:szCs w:val="22"/>
              </w:rPr>
              <w:t>钻孔------爆破------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排土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煤炭开采作业：采装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------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分类堆放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tbl>
            <w:tblPr>
              <w:tblStyle w:val="7"/>
              <w:tblpPr w:leftFromText="180" w:rightFromText="180" w:vertAnchor="text" w:horzAnchor="page" w:tblpX="373" w:tblpY="117"/>
              <w:tblOverlap w:val="never"/>
              <w:tblW w:w="72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9"/>
              <w:gridCol w:w="59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危险源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运输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（1）作业现场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内车辆严禁超速、超车。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（2）作业现场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车辆行驶过程中严格保持安全距离，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（3）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设备不得带病作业；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（4）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加强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从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业人员培训教育，不得出现酒后上岗，不得疲劳、带病驾驶。</w:t>
                  </w:r>
                  <w:r>
                    <w:rPr>
                      <w:rFonts w:hint="eastAsia" w:cs="Times New Roman"/>
                      <w:b/>
                      <w:sz w:val="20"/>
                      <w:szCs w:val="22"/>
                      <w:lang w:val="en-US" w:eastAsia="zh-CN"/>
                    </w:rPr>
                    <w:t>（5）加强运输道路管理，严格控制道路坡度、转弯半径，对掉落石渣及时组织装载机对道路进行清理等。（6）设置安全警示标识牌进行有效提醒。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eastAsia="zh-CN"/>
                    </w:rPr>
                    <w:t>爆破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（1）全部采用芯片雷管，以此来提高爆破的安全性能。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（2）在爆破作业中增大爆破警戒范围，增加安全系数。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堆煤自燃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（1）堆煤场所减少堆煤，合理安排采煤时间,以及生产量。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（2）按堆煤时间长短进行划分暴露时间不得超过</w:t>
                  </w:r>
                  <w:r>
                    <w:rPr>
                      <w:rFonts w:hint="eastAsia" w:cs="Times New Roman"/>
                      <w:b/>
                      <w:sz w:val="20"/>
                      <w:szCs w:val="22"/>
                      <w:lang w:val="en-US" w:eastAsia="zh-CN"/>
                    </w:rPr>
                    <w:t>煤炭自然发火期</w:t>
                  </w: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9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边坡</w:t>
                  </w:r>
                </w:p>
              </w:tc>
              <w:tc>
                <w:tcPr>
                  <w:tcW w:w="5938" w:type="dxa"/>
                  <w:noWrap w:val="0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 xml:space="preserve">（1）边坡作业，严格按照要求进行，刷坡作业时，剔除易松动石块及有浮落可能的物体，为后期边坡的形成做好基础。 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（2）</w:t>
                  </w: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在非工作帮和端帮，严格按照设计进行采掘。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（3）加强边坡监测工作，发现异常应及时采取有效措施；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rFonts w:hint="default" w:cs="Times New Roman"/>
                      <w:b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20"/>
                      <w:szCs w:val="22"/>
                      <w:lang w:val="en-US" w:eastAsia="zh-CN"/>
                    </w:rPr>
                    <w:t>（4）加强开采作业管理，防止出现伞檐。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中华人民共和国劳动法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中华人民共和国职业病防治法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中华人民共和国刑法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生产安全事故报告和调查处理条例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《生产安全事故报告和调查处理条例》罚款处罚暂行规定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生产安全事故应急预案管理办法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职业健康管理体系 要求及使用指南；危险化学品名录2015版等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采煤过程安全专业知识、危险源风险、安全教育、矿长带班等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770890" cy="346075"/>
                  <wp:effectExtent l="0" t="0" r="3810" b="9525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102870</wp:posOffset>
                  </wp:positionV>
                  <wp:extent cx="982345" cy="306070"/>
                  <wp:effectExtent l="0" t="0" r="0" b="11430"/>
                  <wp:wrapSquare wrapText="bothSides"/>
                  <wp:docPr id="11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AwuxlMxAEAAHs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YmE4Yzk4ZTg3NTZkMThkNWRmYTg4ZjIzNDA1OTIifQ=="/>
  </w:docVars>
  <w:rsids>
    <w:rsidRoot w:val="00000000"/>
    <w:rsid w:val="07110C03"/>
    <w:rsid w:val="18B36AA6"/>
    <w:rsid w:val="1DA529C1"/>
    <w:rsid w:val="294A3C72"/>
    <w:rsid w:val="300F712E"/>
    <w:rsid w:val="642E3F60"/>
    <w:rsid w:val="65B304C9"/>
    <w:rsid w:val="7E645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设计说明书第三级 + 首行缩进:  2 字符"/>
    <w:basedOn w:val="1"/>
    <w:qFormat/>
    <w:uiPriority w:val="0"/>
    <w:pPr>
      <w:keepNext/>
      <w:keepLines/>
      <w:adjustRightInd/>
      <w:snapToGrid/>
      <w:spacing w:before="100" w:beforeLines="0" w:line="500" w:lineRule="exact"/>
      <w:ind w:firstLine="200" w:firstLineChars="200"/>
      <w:jc w:val="left"/>
      <w:outlineLvl w:val="2"/>
    </w:pPr>
    <w:rPr>
      <w:b/>
      <w:bCs/>
      <w:kern w:val="44"/>
      <w:szCs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1993</Words>
  <Characters>2335</Characters>
  <Lines>2</Lines>
  <Paragraphs>1</Paragraphs>
  <TotalTime>0</TotalTime>
  <ScaleCrop>false</ScaleCrop>
  <LinksUpToDate>false</LinksUpToDate>
  <CharactersWithSpaces>2364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2023-01-16T06:56:44Z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9FFBA76D313246A78D5ECF4AF36BDF45</vt:lpwstr>
  </property>
  <property fmtid="{D5CDD505-2E9C-101B-9397-08002B2CF9AE}" pid="3" name="KSOProductBuildVer">
    <vt:lpwstr>2052-11.1.0.10314</vt:lpwstr>
  </property>
</Properties>
</file>