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1341-2022-QEOEnMs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内蒙古鄂尔多斯市潮脑梁煤炭有限公司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2023年01月10日 上午至2023年01月11日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en-US" w:eastAsia="zh-CN"/>
              </w:rPr>
              <w:t>GB/T45001-2020</w:t>
            </w:r>
          </w:p>
          <w:p>
            <w:pPr>
              <w:rPr>
                <w:rFonts w:hint="eastAsia" w:ascii="宋体" w:hAnsi="宋体"/>
                <w:b/>
                <w:color w:val="000000"/>
                <w:szCs w:val="21"/>
                <w:lang w:val="en-US" w:eastAsia="zh-CN"/>
              </w:rPr>
            </w:pPr>
            <w:r>
              <w:rPr>
                <w:rFonts w:hint="eastAsia" w:ascii="宋体" w:hAnsi="宋体"/>
                <w:b/>
                <w:color w:val="000000"/>
                <w:szCs w:val="21"/>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105-2013</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FF"/>
                <w:szCs w:val="21"/>
                <w:lang w:val="en-US" w:eastAsia="zh-CN"/>
              </w:rPr>
            </w:pPr>
            <w:r>
              <w:rPr>
                <w:rFonts w:hint="eastAsia" w:ascii="宋体"/>
                <w:b/>
                <w:color w:val="0000FF"/>
                <w:szCs w:val="21"/>
                <w:lang w:val="en-US" w:eastAsia="zh-CN"/>
              </w:rPr>
              <w:t>河北石家庄市/李丽英；山东济宁/周涛；辽宁沈阳/李凤仪；</w:t>
            </w:r>
          </w:p>
          <w:p>
            <w:pPr>
              <w:rPr>
                <w:rFonts w:hint="default" w:ascii="宋体" w:eastAsia="宋体"/>
                <w:b/>
                <w:color w:val="0000FF"/>
                <w:szCs w:val="21"/>
                <w:lang w:val="en-US" w:eastAsia="zh-CN"/>
              </w:rPr>
            </w:pPr>
            <w:r>
              <w:rPr>
                <w:rFonts w:hint="eastAsia" w:ascii="宋体"/>
                <w:b/>
                <w:color w:val="0000FF"/>
                <w:szCs w:val="21"/>
                <w:lang w:val="en-US" w:eastAsia="zh-CN"/>
              </w:rPr>
              <w:t>内蒙古鄂尔多斯市/党明博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12"/>
        <w:gridCol w:w="129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12" w:type="dxa"/>
            <w:vAlign w:val="center"/>
          </w:tcPr>
          <w:p>
            <w:pPr>
              <w:spacing w:line="240" w:lineRule="exact"/>
              <w:jc w:val="center"/>
              <w:rPr>
                <w:b/>
                <w:color w:val="000000"/>
                <w:szCs w:val="21"/>
              </w:rPr>
            </w:pPr>
            <w:r>
              <w:rPr>
                <w:rFonts w:hint="eastAsia"/>
                <w:szCs w:val="21"/>
              </w:rPr>
              <w:t>审核员注册证书号</w:t>
            </w:r>
          </w:p>
        </w:tc>
        <w:tc>
          <w:tcPr>
            <w:tcW w:w="129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12" w:type="dxa"/>
            <w:vAlign w:val="center"/>
          </w:tcPr>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p>
            <w:pPr>
              <w:spacing w:line="240" w:lineRule="exact"/>
              <w:jc w:val="center"/>
              <w:rPr>
                <w:b/>
                <w:color w:val="000000"/>
                <w:szCs w:val="21"/>
              </w:rPr>
            </w:pPr>
            <w:r>
              <w:rPr>
                <w:b/>
                <w:color w:val="000000"/>
                <w:szCs w:val="21"/>
              </w:rPr>
              <w:t>2020-N1EnMS-3021820</w:t>
            </w:r>
          </w:p>
        </w:tc>
        <w:tc>
          <w:tcPr>
            <w:tcW w:w="12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12" w:type="dxa"/>
            <w:vAlign w:val="center"/>
          </w:tcPr>
          <w:p>
            <w:pPr>
              <w:spacing w:line="240" w:lineRule="exact"/>
              <w:jc w:val="center"/>
              <w:rPr>
                <w:b/>
                <w:color w:val="000000"/>
                <w:szCs w:val="21"/>
              </w:rPr>
            </w:pPr>
            <w:r>
              <w:rPr>
                <w:b/>
                <w:color w:val="000000"/>
                <w:szCs w:val="21"/>
              </w:rPr>
              <w:t>2021-N1QMS-4072033</w:t>
            </w:r>
          </w:p>
          <w:p>
            <w:pPr>
              <w:spacing w:line="240" w:lineRule="exact"/>
              <w:jc w:val="center"/>
              <w:rPr>
                <w:b/>
                <w:color w:val="000000"/>
                <w:szCs w:val="21"/>
              </w:rPr>
            </w:pPr>
            <w:r>
              <w:rPr>
                <w:b/>
                <w:color w:val="000000"/>
                <w:szCs w:val="21"/>
              </w:rPr>
              <w:t>2021-N1EMS-3072033</w:t>
            </w:r>
          </w:p>
          <w:p>
            <w:pPr>
              <w:spacing w:line="240" w:lineRule="exact"/>
              <w:jc w:val="center"/>
              <w:rPr>
                <w:b/>
                <w:color w:val="000000"/>
                <w:szCs w:val="21"/>
              </w:rPr>
            </w:pPr>
            <w:r>
              <w:rPr>
                <w:b/>
                <w:color w:val="000000"/>
                <w:szCs w:val="21"/>
              </w:rPr>
              <w:t>2021-N1OHSMS-3072033</w:t>
            </w:r>
          </w:p>
          <w:p>
            <w:pPr>
              <w:spacing w:line="240" w:lineRule="exact"/>
              <w:jc w:val="center"/>
              <w:rPr>
                <w:b/>
                <w:color w:val="000000"/>
                <w:szCs w:val="21"/>
              </w:rPr>
            </w:pPr>
            <w:r>
              <w:rPr>
                <w:b/>
                <w:color w:val="000000"/>
                <w:szCs w:val="21"/>
              </w:rPr>
              <w:t>2021-N1EnMS-2072033</w:t>
            </w:r>
          </w:p>
        </w:tc>
        <w:tc>
          <w:tcPr>
            <w:tcW w:w="12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ascii="Times New Roman" w:hAnsi="Times New Roman" w:eastAsia="宋体" w:cs="Times New Roman"/>
                <w:b/>
                <w:color w:val="000000"/>
                <w:szCs w:val="21"/>
              </w:rPr>
              <w:t>李凤仪</w:t>
            </w:r>
          </w:p>
        </w:tc>
        <w:tc>
          <w:tcPr>
            <w:tcW w:w="1089" w:type="dxa"/>
            <w:vAlign w:val="center"/>
          </w:tcPr>
          <w:p>
            <w:pPr>
              <w:jc w:val="center"/>
              <w:rPr>
                <w:rFonts w:hint="eastAsia" w:eastAsia="宋体"/>
                <w:szCs w:val="21"/>
                <w:lang w:val="en-US" w:eastAsia="zh-CN"/>
              </w:rPr>
            </w:pPr>
            <w:r>
              <w:rPr>
                <w:rFonts w:hint="eastAsia"/>
                <w:szCs w:val="21"/>
                <w:lang w:val="en-US" w:eastAsia="zh-CN"/>
              </w:rPr>
              <w:t>组员</w:t>
            </w:r>
          </w:p>
        </w:tc>
        <w:tc>
          <w:tcPr>
            <w:tcW w:w="711" w:type="dxa"/>
            <w:vAlign w:val="center"/>
          </w:tcPr>
          <w:p>
            <w:pPr>
              <w:jc w:val="center"/>
              <w:rPr>
                <w:b/>
                <w:color w:val="000000"/>
                <w:szCs w:val="21"/>
              </w:rPr>
            </w:pPr>
            <w:r>
              <w:rPr>
                <w:rFonts w:ascii="Times New Roman" w:hAnsi="Times New Roman" w:eastAsia="宋体" w:cs="Times New Roman"/>
                <w:sz w:val="21"/>
                <w:szCs w:val="21"/>
              </w:rPr>
              <w:t>男</w:t>
            </w:r>
          </w:p>
        </w:tc>
        <w:tc>
          <w:tcPr>
            <w:tcW w:w="3712" w:type="dxa"/>
            <w:vAlign w:val="center"/>
          </w:tcPr>
          <w:p>
            <w:pPr>
              <w:spacing w:line="240" w:lineRule="exact"/>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2022-N1QMS-4031946</w:t>
            </w:r>
          </w:p>
          <w:p>
            <w:pPr>
              <w:spacing w:line="240" w:lineRule="exact"/>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2021-N1EMS-3031946</w:t>
            </w:r>
          </w:p>
          <w:p>
            <w:pPr>
              <w:spacing w:line="240" w:lineRule="exact"/>
              <w:jc w:val="center"/>
              <w:rPr>
                <w:b/>
                <w:color w:val="000000"/>
                <w:szCs w:val="21"/>
              </w:rPr>
            </w:pPr>
            <w:r>
              <w:rPr>
                <w:rFonts w:ascii="Times New Roman" w:hAnsi="Times New Roman" w:eastAsia="宋体" w:cs="Times New Roman"/>
                <w:b/>
                <w:color w:val="000000"/>
                <w:szCs w:val="21"/>
              </w:rPr>
              <w:t>2022-N1OHSMS-3031946</w:t>
            </w:r>
          </w:p>
        </w:tc>
        <w:tc>
          <w:tcPr>
            <w:tcW w:w="129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党明博</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12" w:type="dxa"/>
            <w:vAlign w:val="center"/>
          </w:tcPr>
          <w:p>
            <w:pPr>
              <w:spacing w:line="240" w:lineRule="exact"/>
              <w:jc w:val="center"/>
              <w:rPr>
                <w:b/>
                <w:color w:val="000000"/>
                <w:szCs w:val="21"/>
              </w:rPr>
            </w:pPr>
            <w:r>
              <w:rPr>
                <w:b/>
                <w:color w:val="000000"/>
                <w:szCs w:val="21"/>
              </w:rPr>
              <w:t>ISC-JSZJ-598</w:t>
            </w:r>
          </w:p>
          <w:p>
            <w:pPr>
              <w:spacing w:line="240" w:lineRule="exact"/>
              <w:jc w:val="center"/>
              <w:rPr>
                <w:b/>
                <w:color w:val="000000"/>
                <w:szCs w:val="21"/>
              </w:rPr>
            </w:pPr>
            <w:r>
              <w:rPr>
                <w:b/>
                <w:color w:val="000000"/>
                <w:szCs w:val="21"/>
              </w:rPr>
              <w:t>ISC-JSZJ-598</w:t>
            </w:r>
          </w:p>
          <w:p>
            <w:pPr>
              <w:spacing w:line="240" w:lineRule="exact"/>
              <w:jc w:val="center"/>
              <w:rPr>
                <w:b/>
                <w:color w:val="000000"/>
                <w:szCs w:val="21"/>
              </w:rPr>
            </w:pPr>
            <w:r>
              <w:rPr>
                <w:b/>
                <w:color w:val="000000"/>
                <w:szCs w:val="21"/>
              </w:rPr>
              <w:t>ISC-JSZJ-598</w:t>
            </w:r>
          </w:p>
          <w:p>
            <w:pPr>
              <w:spacing w:line="240" w:lineRule="exact"/>
              <w:jc w:val="center"/>
              <w:rPr>
                <w:b/>
                <w:color w:val="000000"/>
                <w:szCs w:val="21"/>
              </w:rPr>
            </w:pPr>
            <w:r>
              <w:rPr>
                <w:b/>
                <w:color w:val="000000"/>
                <w:szCs w:val="21"/>
              </w:rPr>
              <w:t>ISC-JSZJ-598</w:t>
            </w:r>
          </w:p>
          <w:p>
            <w:pPr>
              <w:spacing w:line="240" w:lineRule="exact"/>
              <w:jc w:val="center"/>
              <w:rPr>
                <w:b/>
                <w:color w:val="000000"/>
                <w:szCs w:val="21"/>
              </w:rPr>
            </w:pPr>
            <w:r>
              <w:rPr>
                <w:b/>
                <w:color w:val="000000"/>
                <w:szCs w:val="21"/>
              </w:rPr>
              <w:t>准格尔旗食联煤炭有限责任公司</w:t>
            </w:r>
          </w:p>
        </w:tc>
        <w:tc>
          <w:tcPr>
            <w:tcW w:w="1298" w:type="dxa"/>
            <w:vAlign w:val="center"/>
          </w:tcPr>
          <w:p>
            <w:pPr>
              <w:spacing w:line="240" w:lineRule="exact"/>
              <w:jc w:val="center"/>
              <w:rPr>
                <w:b/>
                <w:color w:val="000000"/>
                <w:szCs w:val="21"/>
              </w:rPr>
            </w:pPr>
            <w:r>
              <w:rPr>
                <w:b/>
                <w:color w:val="000000"/>
                <w:szCs w:val="21"/>
              </w:rPr>
              <w:t>Q:02.01.00</w:t>
            </w:r>
          </w:p>
          <w:p>
            <w:pPr>
              <w:spacing w:line="240" w:lineRule="exact"/>
              <w:jc w:val="center"/>
              <w:rPr>
                <w:b/>
                <w:color w:val="000000"/>
                <w:szCs w:val="21"/>
              </w:rPr>
            </w:pPr>
            <w:r>
              <w:rPr>
                <w:b/>
                <w:color w:val="000000"/>
                <w:szCs w:val="21"/>
              </w:rPr>
              <w:t>E:02.01.00</w:t>
            </w:r>
          </w:p>
          <w:p>
            <w:pPr>
              <w:spacing w:line="240" w:lineRule="exact"/>
              <w:jc w:val="center"/>
              <w:rPr>
                <w:b/>
                <w:color w:val="000000"/>
                <w:szCs w:val="21"/>
              </w:rPr>
            </w:pPr>
            <w:r>
              <w:rPr>
                <w:b/>
                <w:color w:val="000000"/>
                <w:szCs w:val="21"/>
              </w:rPr>
              <w:t>O:02.01.00</w:t>
            </w:r>
          </w:p>
          <w:p>
            <w:pPr>
              <w:spacing w:line="240" w:lineRule="exact"/>
              <w:jc w:val="center"/>
              <w:rPr>
                <w:b/>
                <w:color w:val="000000"/>
                <w:szCs w:val="21"/>
              </w:rPr>
            </w:pPr>
            <w:r>
              <w:rPr>
                <w:b/>
                <w:color w:val="000000"/>
                <w:szCs w:val="21"/>
              </w:rPr>
              <w:t>EnMS:1.1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129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1298"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12" w:type="dxa"/>
            <w:vAlign w:val="center"/>
          </w:tcPr>
          <w:p>
            <w:pPr>
              <w:rPr>
                <w:b/>
                <w:color w:val="000000"/>
                <w:szCs w:val="21"/>
              </w:rPr>
            </w:pPr>
            <w:r>
              <w:rPr>
                <w:rFonts w:hint="eastAsia"/>
                <w:b/>
                <w:color w:val="000000"/>
                <w:szCs w:val="21"/>
              </w:rPr>
              <w:t>工作单位</w:t>
            </w:r>
          </w:p>
        </w:tc>
        <w:tc>
          <w:tcPr>
            <w:tcW w:w="238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2386"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712" w:type="dxa"/>
            <w:vAlign w:val="center"/>
          </w:tcPr>
          <w:p>
            <w:pPr>
              <w:rPr>
                <w:b/>
                <w:color w:val="000000"/>
                <w:szCs w:val="21"/>
                <w:highlight w:val="green"/>
              </w:rPr>
            </w:pPr>
          </w:p>
        </w:tc>
        <w:tc>
          <w:tcPr>
            <w:tcW w:w="2386"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内蒙古鄂尔多斯市潮脑梁煤炭有限公司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内蒙古鄂尔多斯市达拉特旗白泥井镇敖包梁村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014300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内蒙古鄂尔多斯市达拉特旗白泥井镇敖包梁村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014300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杨荣</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18648011116</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谭新发</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杨荣</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硬煤（烟煤）</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烟煤开采工艺流程：</w:t>
            </w:r>
          </w:p>
          <w:p>
            <w:pPr>
              <w:snapToGrid w:val="0"/>
              <w:spacing w:line="280" w:lineRule="exact"/>
              <w:jc w:val="left"/>
              <w:rPr>
                <w:rFonts w:hint="eastAsia"/>
                <w:b/>
                <w:sz w:val="20"/>
                <w:szCs w:val="22"/>
                <w:lang w:val="en-US" w:eastAsia="zh-CN"/>
              </w:rPr>
            </w:pPr>
            <w:r>
              <w:rPr>
                <w:rFonts w:hint="eastAsia"/>
                <w:b/>
                <w:sz w:val="20"/>
                <w:szCs w:val="22"/>
                <w:lang w:val="en-US" w:eastAsia="zh-CN"/>
              </w:rPr>
              <w:t>土石方剥离作业：</w:t>
            </w:r>
            <w:r>
              <w:rPr>
                <w:rFonts w:hint="eastAsia"/>
                <w:b/>
                <w:sz w:val="20"/>
                <w:szCs w:val="22"/>
              </w:rPr>
              <w:t>钻孔------爆破------</w:t>
            </w:r>
            <w:r>
              <w:rPr>
                <w:rFonts w:hint="eastAsia"/>
                <w:b/>
                <w:sz w:val="20"/>
                <w:szCs w:val="22"/>
                <w:lang w:val="en-US" w:eastAsia="zh-CN"/>
              </w:rPr>
              <w:t>采装</w:t>
            </w:r>
            <w:r>
              <w:rPr>
                <w:rFonts w:hint="eastAsia"/>
                <w:b/>
                <w:sz w:val="20"/>
                <w:szCs w:val="22"/>
              </w:rPr>
              <w:t>------</w:t>
            </w:r>
            <w:r>
              <w:rPr>
                <w:rFonts w:hint="eastAsia"/>
                <w:b/>
                <w:sz w:val="20"/>
                <w:szCs w:val="22"/>
                <w:lang w:val="en-US" w:eastAsia="zh-CN"/>
              </w:rPr>
              <w:t>运输</w:t>
            </w:r>
            <w:r>
              <w:rPr>
                <w:rFonts w:hint="eastAsia"/>
                <w:b/>
                <w:sz w:val="20"/>
                <w:szCs w:val="22"/>
              </w:rPr>
              <w:t>------</w:t>
            </w:r>
            <w:r>
              <w:rPr>
                <w:rFonts w:hint="eastAsia"/>
                <w:b/>
                <w:sz w:val="20"/>
                <w:szCs w:val="22"/>
                <w:lang w:val="en-US" w:eastAsia="zh-CN"/>
              </w:rPr>
              <w:t>排土</w:t>
            </w:r>
          </w:p>
          <w:p>
            <w:pPr>
              <w:tabs>
                <w:tab w:val="left" w:pos="360"/>
              </w:tabs>
              <w:rPr>
                <w:rFonts w:ascii="宋体"/>
                <w:color w:val="000000"/>
                <w:szCs w:val="21"/>
              </w:rPr>
            </w:pPr>
            <w:r>
              <w:rPr>
                <w:rFonts w:hint="eastAsia"/>
                <w:b/>
                <w:sz w:val="20"/>
                <w:szCs w:val="22"/>
                <w:lang w:val="en-US" w:eastAsia="zh-CN"/>
              </w:rPr>
              <w:t>煤炭开采作业：采装</w:t>
            </w:r>
            <w:r>
              <w:rPr>
                <w:rFonts w:hint="eastAsia"/>
                <w:b/>
                <w:sz w:val="20"/>
                <w:szCs w:val="22"/>
              </w:rPr>
              <w:t>------</w:t>
            </w:r>
            <w:r>
              <w:rPr>
                <w:rFonts w:hint="eastAsia"/>
                <w:b/>
                <w:sz w:val="20"/>
                <w:szCs w:val="22"/>
                <w:lang w:val="en-US" w:eastAsia="zh-CN"/>
              </w:rPr>
              <w:t>运输</w:t>
            </w:r>
            <w:r>
              <w:rPr>
                <w:rFonts w:hint="eastAsia"/>
                <w:b/>
                <w:sz w:val="20"/>
                <w:szCs w:val="22"/>
              </w:rPr>
              <w:t>------</w:t>
            </w:r>
            <w:r>
              <w:rPr>
                <w:rFonts w:hint="eastAsia"/>
                <w:b/>
                <w:sz w:val="20"/>
                <w:szCs w:val="22"/>
                <w:lang w:val="en-US" w:eastAsia="zh-CN"/>
              </w:rPr>
              <w:t>分类堆放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ind w:left="316" w:hanging="316" w:hangingChars="150"/>
              <w:textAlignment w:val="center"/>
              <w:rPr>
                <w:rFonts w:ascii="宋体" w:hAnsi="宋体"/>
                <w:b/>
                <w:color w:val="000000"/>
                <w:szCs w:val="21"/>
              </w:rPr>
            </w:pPr>
            <w:r>
              <w:rPr>
                <w:rFonts w:hint="eastAsia" w:ascii="宋体" w:hAnsi="宋体"/>
                <w:b/>
                <w:sz w:val="21"/>
                <w:szCs w:val="21"/>
              </w:rPr>
              <w:t>硬煤（烟煤）的开采</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02.02.00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ind w:left="316" w:hanging="316" w:hangingChars="150"/>
              <w:textAlignment w:val="center"/>
              <w:rPr>
                <w:rFonts w:hint="eastAsia" w:ascii="宋体" w:hAnsi="宋体"/>
                <w:b/>
                <w:sz w:val="21"/>
                <w:szCs w:val="21"/>
              </w:rPr>
            </w:pPr>
            <w:r>
              <w:rPr>
                <w:rFonts w:hint="eastAsia" w:ascii="宋体" w:hAnsi="宋体"/>
                <w:b/>
                <w:sz w:val="21"/>
                <w:szCs w:val="21"/>
              </w:rPr>
              <w:t>硬煤（烟煤）的开采所涉及场所的相关环境管理活动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02.02.00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ind w:left="316" w:hanging="316" w:hangingChars="150"/>
              <w:textAlignment w:val="center"/>
              <w:rPr>
                <w:rFonts w:hint="eastAsia" w:ascii="宋体" w:hAnsi="宋体"/>
                <w:b/>
                <w:sz w:val="21"/>
                <w:szCs w:val="21"/>
              </w:rPr>
            </w:pPr>
            <w:r>
              <w:rPr>
                <w:rFonts w:hint="eastAsia" w:ascii="宋体" w:hAnsi="宋体"/>
                <w:b/>
                <w:sz w:val="21"/>
                <w:szCs w:val="21"/>
              </w:rPr>
              <w:t>硬煤（烟煤）的开采所涉及场所的相关职业健康安全管理活动</w:t>
            </w:r>
          </w:p>
          <w:p>
            <w:pPr>
              <w:spacing w:line="400" w:lineRule="exact"/>
              <w:rPr>
                <w:rFonts w:ascii="宋体" w:hAnsi="宋体"/>
                <w:b/>
                <w:color w:val="000000"/>
                <w:szCs w:val="21"/>
              </w:rPr>
            </w:pP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02.02.00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硬煤（烟煤）的开采所涉及的能源管理活动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两班倒</w:t>
            </w:r>
            <w:r>
              <w:rPr>
                <w:rFonts w:hint="eastAsia" w:ascii="宋体" w:hAnsi="宋体"/>
                <w:color w:val="000000"/>
                <w:szCs w:val="21"/>
                <w:lang w:eastAsia="zh-CN"/>
              </w:rPr>
              <w:t>）</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78"/>
        <w:gridCol w:w="1460"/>
        <w:gridCol w:w="1731"/>
        <w:gridCol w:w="17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78"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1460"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1731"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4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Merge w:val="restart"/>
          </w:tcPr>
          <w:p>
            <w:pPr>
              <w:spacing w:before="40" w:after="40"/>
              <w:rPr>
                <w:rFonts w:hint="eastAsia" w:eastAsia="宋体"/>
                <w:szCs w:val="21"/>
                <w:lang w:val="en-US" w:eastAsia="zh-CN"/>
              </w:rPr>
            </w:pPr>
            <w:r>
              <w:rPr>
                <w:sz w:val="21"/>
                <w:szCs w:val="21"/>
              </w:rPr>
              <w:t>内蒙古鄂尔多斯市潮脑梁煤炭有限公司</w:t>
            </w:r>
            <w:r>
              <w:rPr>
                <w:rFonts w:hint="eastAsia"/>
                <w:sz w:val="21"/>
                <w:szCs w:val="21"/>
                <w:lang w:val="en-US" w:eastAsia="zh-CN"/>
              </w:rPr>
              <w:t>/</w:t>
            </w:r>
            <w:r>
              <w:rPr>
                <w:sz w:val="21"/>
                <w:szCs w:val="21"/>
              </w:rPr>
              <w:t>内蒙古鄂尔多斯市达拉特旗白泥井镇敖包梁村</w:t>
            </w:r>
          </w:p>
        </w:tc>
        <w:tc>
          <w:tcPr>
            <w:tcW w:w="1378" w:type="dxa"/>
            <w:vMerge w:val="restart"/>
          </w:tcPr>
          <w:p>
            <w:pPr>
              <w:spacing w:before="40" w:after="40"/>
              <w:rPr>
                <w:rFonts w:eastAsia="黑体"/>
                <w:szCs w:val="21"/>
                <w:lang w:val="de-DE" w:eastAsia="ja-JP"/>
              </w:rPr>
            </w:pPr>
            <w:r>
              <w:rPr>
                <w:sz w:val="21"/>
                <w:szCs w:val="21"/>
              </w:rPr>
              <w:t>内蒙古鄂尔多斯市达拉特旗白泥井镇敖包梁村</w:t>
            </w:r>
          </w:p>
        </w:tc>
        <w:tc>
          <w:tcPr>
            <w:tcW w:w="1460" w:type="dxa"/>
            <w:vAlign w:val="center"/>
          </w:tcPr>
          <w:p>
            <w:pPr>
              <w:spacing w:before="40" w:after="40"/>
              <w:rPr>
                <w:rFonts w:hint="default" w:eastAsia="黑体"/>
                <w:szCs w:val="21"/>
                <w:lang w:val="en-US" w:eastAsia="zh-CN"/>
              </w:rPr>
            </w:pPr>
            <w:r>
              <w:rPr>
                <w:rFonts w:hint="eastAsia" w:ascii="Times New Roman" w:hAnsi="Times New Roman" w:eastAsia="宋体" w:cs="Times New Roman"/>
                <w:sz w:val="21"/>
                <w:szCs w:val="21"/>
                <w:lang w:val="en-US" w:eastAsia="zh-CN"/>
              </w:rPr>
              <w:t>总人数450人（Q覆盖450人）</w:t>
            </w:r>
          </w:p>
        </w:tc>
        <w:tc>
          <w:tcPr>
            <w:tcW w:w="1731" w:type="dxa"/>
            <w:vAlign w:val="center"/>
          </w:tcPr>
          <w:p>
            <w:pPr>
              <w:spacing w:before="40" w:after="4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硬煤（烟煤）的开采</w:t>
            </w:r>
          </w:p>
          <w:p>
            <w:pPr>
              <w:spacing w:before="40" w:after="40"/>
              <w:rPr>
                <w:rFonts w:hint="eastAsia" w:ascii="Times New Roman" w:hAnsi="Times New Roman" w:eastAsia="宋体" w:cs="Times New Roman"/>
                <w:sz w:val="21"/>
                <w:szCs w:val="21"/>
                <w:lang w:val="en-US" w:eastAsia="ja-JP"/>
              </w:rPr>
            </w:pPr>
          </w:p>
        </w:tc>
        <w:tc>
          <w:tcPr>
            <w:tcW w:w="1741" w:type="dxa"/>
            <w:vAlign w:val="center"/>
          </w:tcPr>
          <w:p>
            <w:pPr>
              <w:rPr>
                <w:rFonts w:ascii="宋体" w:hAnsi="宋体"/>
                <w:b/>
                <w:sz w:val="21"/>
                <w:szCs w:val="21"/>
              </w:rPr>
            </w:pPr>
            <w:r>
              <w:rPr>
                <w:rFonts w:hint="eastAsia" w:ascii="宋体" w:hAnsi="宋体"/>
                <w:b/>
                <w:sz w:val="21"/>
                <w:szCs w:val="21"/>
                <w:lang w:val="en-US" w:eastAsia="zh-CN"/>
              </w:rPr>
              <w:t>G</w:t>
            </w:r>
            <w:r>
              <w:rPr>
                <w:rFonts w:hint="eastAsia" w:ascii="宋体" w:hAnsi="宋体"/>
                <w:b/>
                <w:sz w:val="21"/>
                <w:szCs w:val="21"/>
              </w:rPr>
              <w:t xml:space="preserve">B/T19001-2016     </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Merge w:val="continue"/>
            <w:vAlign w:val="center"/>
          </w:tcPr>
          <w:p>
            <w:pPr>
              <w:spacing w:before="40" w:after="40"/>
              <w:rPr>
                <w:rFonts w:eastAsia="黑体"/>
                <w:szCs w:val="21"/>
                <w:lang w:eastAsia="ja-JP"/>
              </w:rPr>
            </w:pPr>
          </w:p>
        </w:tc>
        <w:tc>
          <w:tcPr>
            <w:tcW w:w="1378" w:type="dxa"/>
            <w:vMerge w:val="continue"/>
            <w:vAlign w:val="center"/>
          </w:tcPr>
          <w:p>
            <w:pPr>
              <w:spacing w:before="40" w:after="40"/>
              <w:rPr>
                <w:rFonts w:eastAsia="黑体"/>
                <w:szCs w:val="21"/>
                <w:lang w:eastAsia="ja-JP"/>
              </w:rPr>
            </w:pPr>
          </w:p>
        </w:tc>
        <w:tc>
          <w:tcPr>
            <w:tcW w:w="1460" w:type="dxa"/>
            <w:vAlign w:val="center"/>
          </w:tcPr>
          <w:p>
            <w:pPr>
              <w:spacing w:before="40" w:after="40"/>
              <w:rPr>
                <w:rFonts w:eastAsia="黑体"/>
                <w:szCs w:val="21"/>
                <w:lang w:eastAsia="ja-JP"/>
              </w:rPr>
            </w:pPr>
            <w:r>
              <w:rPr>
                <w:rFonts w:hint="eastAsia" w:ascii="Times New Roman" w:hAnsi="Times New Roman" w:eastAsia="宋体" w:cs="Times New Roman"/>
                <w:sz w:val="21"/>
                <w:szCs w:val="21"/>
                <w:lang w:val="en-US" w:eastAsia="zh-CN"/>
              </w:rPr>
              <w:t>O覆盖450人</w:t>
            </w:r>
          </w:p>
        </w:tc>
        <w:tc>
          <w:tcPr>
            <w:tcW w:w="1731" w:type="dxa"/>
            <w:vAlign w:val="center"/>
          </w:tcPr>
          <w:p>
            <w:pPr>
              <w:spacing w:before="40" w:after="40"/>
              <w:rPr>
                <w:rFonts w:hint="eastAsia" w:ascii="Times New Roman" w:hAnsi="Times New Roman" w:eastAsia="宋体" w:cs="Times New Roman"/>
                <w:sz w:val="21"/>
                <w:szCs w:val="21"/>
                <w:lang w:val="en-US" w:eastAsia="ja-JP"/>
              </w:rPr>
            </w:pPr>
            <w:r>
              <w:rPr>
                <w:rFonts w:hint="eastAsia" w:ascii="Times New Roman" w:hAnsi="Times New Roman" w:eastAsia="宋体" w:cs="Times New Roman"/>
                <w:sz w:val="21"/>
                <w:szCs w:val="21"/>
                <w:lang w:val="en-US" w:eastAsia="zh-CN"/>
              </w:rPr>
              <w:t>硬煤（烟煤）的开采所涉及场所的相关职业健康安全管理活动</w:t>
            </w:r>
          </w:p>
        </w:tc>
        <w:tc>
          <w:tcPr>
            <w:tcW w:w="1741" w:type="dxa"/>
            <w:vAlign w:val="center"/>
          </w:tcPr>
          <w:p>
            <w:pPr>
              <w:spacing w:before="40" w:after="40"/>
              <w:rPr>
                <w:rFonts w:eastAsia="黑体"/>
                <w:szCs w:val="21"/>
                <w:lang w:eastAsia="ja-JP"/>
              </w:rPr>
            </w:pPr>
            <w:r>
              <w:rPr>
                <w:rFonts w:hint="eastAsia" w:ascii="宋体" w:hAnsi="宋体"/>
                <w:b/>
                <w:sz w:val="21"/>
                <w:szCs w:val="21"/>
              </w:rPr>
              <w:t>GB/T45001-2020</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Merge w:val="continue"/>
            <w:vAlign w:val="center"/>
          </w:tcPr>
          <w:p>
            <w:pPr>
              <w:spacing w:before="40" w:after="40"/>
              <w:rPr>
                <w:rFonts w:eastAsia="黑体"/>
                <w:szCs w:val="21"/>
                <w:lang w:eastAsia="ja-JP"/>
              </w:rPr>
            </w:pPr>
          </w:p>
        </w:tc>
        <w:tc>
          <w:tcPr>
            <w:tcW w:w="1378" w:type="dxa"/>
            <w:vMerge w:val="continue"/>
            <w:vAlign w:val="center"/>
          </w:tcPr>
          <w:p>
            <w:pPr>
              <w:spacing w:before="40" w:after="40"/>
              <w:rPr>
                <w:rFonts w:eastAsia="黑体"/>
                <w:szCs w:val="21"/>
                <w:lang w:eastAsia="ja-JP"/>
              </w:rPr>
            </w:pPr>
          </w:p>
        </w:tc>
        <w:tc>
          <w:tcPr>
            <w:tcW w:w="1460" w:type="dxa"/>
            <w:vAlign w:val="center"/>
          </w:tcPr>
          <w:p>
            <w:pPr>
              <w:spacing w:before="40" w:after="40"/>
              <w:rPr>
                <w:rFonts w:eastAsia="黑体"/>
                <w:szCs w:val="21"/>
                <w:lang w:eastAsia="ja-JP"/>
              </w:rPr>
            </w:pPr>
            <w:r>
              <w:rPr>
                <w:rFonts w:hint="eastAsia" w:ascii="Times New Roman" w:hAnsi="Times New Roman" w:eastAsia="宋体" w:cs="Times New Roman"/>
                <w:sz w:val="21"/>
                <w:szCs w:val="21"/>
                <w:lang w:val="en-US" w:eastAsia="zh-CN"/>
              </w:rPr>
              <w:t>E覆盖450人</w:t>
            </w:r>
          </w:p>
        </w:tc>
        <w:tc>
          <w:tcPr>
            <w:tcW w:w="1731" w:type="dxa"/>
            <w:vAlign w:val="center"/>
          </w:tcPr>
          <w:p>
            <w:pPr>
              <w:spacing w:before="40" w:after="40"/>
              <w:rPr>
                <w:rFonts w:hint="eastAsia" w:ascii="Times New Roman" w:hAnsi="Times New Roman" w:eastAsia="宋体" w:cs="Times New Roman"/>
                <w:sz w:val="21"/>
                <w:szCs w:val="21"/>
                <w:lang w:val="en-US" w:eastAsia="ja-JP"/>
              </w:rPr>
            </w:pPr>
            <w:r>
              <w:rPr>
                <w:rFonts w:hint="eastAsia" w:ascii="Times New Roman" w:hAnsi="Times New Roman" w:eastAsia="宋体" w:cs="Times New Roman"/>
                <w:sz w:val="21"/>
                <w:szCs w:val="21"/>
                <w:lang w:val="en-US" w:eastAsia="zh-CN"/>
              </w:rPr>
              <w:t>硬煤（烟煤）的开采所涉及场所的相关环境管理活动</w:t>
            </w:r>
          </w:p>
        </w:tc>
        <w:tc>
          <w:tcPr>
            <w:tcW w:w="1741" w:type="dxa"/>
            <w:vAlign w:val="center"/>
          </w:tcPr>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1022285066"/>
          </w:sdtPr>
          <w:sdtEndPr>
            <w:rPr>
              <w:rFonts w:eastAsia="黑体"/>
              <w:szCs w:val="21"/>
            </w:rPr>
          </w:sdtEndPr>
          <w:sdtContent>
            <w:tc>
              <w:tcPr>
                <w:tcW w:w="668" w:type="dxa"/>
                <w:shd w:val="clear" w:color="auto" w:fill="FFFFFF"/>
              </w:tcPr>
              <w:p>
                <w:pPr>
                  <w:rPr>
                    <w:rFonts w:ascii="宋体" w:hAnsi="宋体"/>
                    <w:b/>
                    <w:sz w:val="21"/>
                    <w:szCs w:val="21"/>
                  </w:rPr>
                </w:pPr>
                <w:r>
                  <w:rPr>
                    <w:rFonts w:hint="eastAsia" w:ascii="宋体" w:hAnsi="宋体"/>
                    <w:b/>
                    <w:sz w:val="21"/>
                    <w:szCs w:val="21"/>
                  </w:rPr>
                  <w:t>■</w:t>
                </w:r>
              </w:p>
              <w:p>
                <w:pPr>
                  <w:rPr>
                    <w:rFonts w:eastAsia="黑体"/>
                    <w:szCs w:val="21"/>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Merge w:val="continue"/>
            <w:vAlign w:val="center"/>
          </w:tcPr>
          <w:p>
            <w:pPr>
              <w:spacing w:before="40" w:after="40"/>
              <w:rPr>
                <w:rFonts w:eastAsia="黑体"/>
                <w:szCs w:val="21"/>
                <w:lang w:eastAsia="ja-JP"/>
              </w:rPr>
            </w:pPr>
          </w:p>
        </w:tc>
        <w:tc>
          <w:tcPr>
            <w:tcW w:w="1378" w:type="dxa"/>
            <w:vMerge w:val="continue"/>
            <w:vAlign w:val="center"/>
          </w:tcPr>
          <w:p>
            <w:pPr>
              <w:spacing w:before="40" w:after="40"/>
              <w:rPr>
                <w:rFonts w:eastAsia="黑体"/>
                <w:szCs w:val="21"/>
                <w:lang w:eastAsia="ja-JP"/>
              </w:rPr>
            </w:pPr>
          </w:p>
        </w:tc>
        <w:tc>
          <w:tcPr>
            <w:tcW w:w="1460" w:type="dxa"/>
            <w:vAlign w:val="center"/>
          </w:tcPr>
          <w:p>
            <w:pPr>
              <w:spacing w:before="40" w:after="40"/>
              <w:rPr>
                <w:rFonts w:eastAsia="黑体"/>
                <w:szCs w:val="21"/>
                <w:lang w:eastAsia="ja-JP"/>
              </w:rPr>
            </w:pPr>
            <w:r>
              <w:rPr>
                <w:rFonts w:hint="eastAsia" w:ascii="Times New Roman" w:hAnsi="Times New Roman" w:eastAsia="宋体" w:cs="Times New Roman"/>
                <w:sz w:val="21"/>
                <w:szCs w:val="21"/>
                <w:lang w:val="en-US" w:eastAsia="zh-CN"/>
              </w:rPr>
              <w:t>En覆盖133人</w:t>
            </w:r>
          </w:p>
        </w:tc>
        <w:tc>
          <w:tcPr>
            <w:tcW w:w="1731" w:type="dxa"/>
            <w:vAlign w:val="center"/>
          </w:tcPr>
          <w:p>
            <w:pPr>
              <w:spacing w:before="40" w:after="40"/>
              <w:rPr>
                <w:rFonts w:hint="eastAsia" w:ascii="Times New Roman" w:hAnsi="Times New Roman" w:eastAsia="宋体" w:cs="Times New Roman"/>
                <w:sz w:val="21"/>
                <w:szCs w:val="21"/>
                <w:lang w:val="en-US" w:eastAsia="ja-JP"/>
              </w:rPr>
            </w:pPr>
            <w:r>
              <w:rPr>
                <w:rFonts w:hint="eastAsia" w:ascii="Times New Roman" w:hAnsi="Times New Roman" w:eastAsia="宋体" w:cs="Times New Roman"/>
                <w:sz w:val="21"/>
                <w:szCs w:val="21"/>
                <w:lang w:val="en-US" w:eastAsia="zh-CN"/>
              </w:rPr>
              <w:t>硬煤（烟煤）的开采所涉及的能源管理活动</w:t>
            </w:r>
          </w:p>
        </w:tc>
        <w:tc>
          <w:tcPr>
            <w:tcW w:w="1741" w:type="dxa"/>
            <w:vAlign w:val="center"/>
          </w:tcPr>
          <w:p>
            <w:pPr>
              <w:spacing w:before="40" w:after="4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GB/T23331-2020</w:t>
            </w:r>
          </w:p>
          <w:p>
            <w:pPr>
              <w:spacing w:before="40" w:after="40"/>
              <w:rPr>
                <w:rFonts w:hint="default" w:eastAsia="宋体"/>
                <w:lang w:val="en-US" w:eastAsia="zh-CN"/>
              </w:rPr>
            </w:pPr>
            <w:r>
              <w:rPr>
                <w:rFonts w:hint="eastAsia" w:ascii="Times New Roman" w:hAnsi="Times New Roman" w:eastAsia="宋体" w:cs="Times New Roman"/>
                <w:sz w:val="21"/>
                <w:szCs w:val="21"/>
                <w:lang w:val="en-US" w:eastAsia="zh-CN"/>
              </w:rPr>
              <w:t>RB/T105-2013</w:t>
            </w:r>
          </w:p>
        </w:tc>
        <w:sdt>
          <w:sdtPr>
            <w:rPr>
              <w:rFonts w:eastAsia="黑体"/>
              <w:szCs w:val="21"/>
            </w:rPr>
            <w:id w:val="-1648588699"/>
          </w:sdtPr>
          <w:sdtEndPr>
            <w:rPr>
              <w:rFonts w:eastAsia="黑体"/>
              <w:szCs w:val="21"/>
            </w:rPr>
          </w:sdtEndPr>
          <w:sdtContent>
            <w:tc>
              <w:tcPr>
                <w:tcW w:w="668" w:type="dxa"/>
                <w:shd w:val="clear" w:color="auto" w:fill="FFFFFF"/>
              </w:tcPr>
              <w:p>
                <w:pPr>
                  <w:rPr>
                    <w:rFonts w:hint="eastAsia" w:ascii="宋体" w:hAnsi="宋体"/>
                    <w:b/>
                    <w:sz w:val="21"/>
                    <w:szCs w:val="21"/>
                  </w:rPr>
                </w:pPr>
                <w:r>
                  <w:rPr>
                    <w:rFonts w:hint="eastAsia" w:ascii="宋体" w:hAnsi="宋体" w:eastAsia="宋体" w:cs="宋体"/>
                    <w:b/>
                    <w:sz w:val="21"/>
                    <w:szCs w:val="21"/>
                  </w:rPr>
                  <w:t>■</w:t>
                </w:r>
              </w:p>
              <w:p>
                <w:pPr>
                  <w:rPr>
                    <w:rFonts w:eastAsia="黑体"/>
                    <w:szCs w:val="21"/>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378" w:type="dxa"/>
            <w:vAlign w:val="center"/>
          </w:tcPr>
          <w:p>
            <w:pPr>
              <w:spacing w:before="40" w:after="40"/>
              <w:rPr>
                <w:rFonts w:eastAsia="黑体"/>
                <w:szCs w:val="21"/>
                <w:lang w:eastAsia="ja-JP"/>
              </w:rPr>
            </w:pPr>
          </w:p>
        </w:tc>
        <w:tc>
          <w:tcPr>
            <w:tcW w:w="1460" w:type="dxa"/>
            <w:vAlign w:val="center"/>
          </w:tcPr>
          <w:p>
            <w:pPr>
              <w:spacing w:before="40" w:after="40"/>
              <w:rPr>
                <w:rFonts w:eastAsia="黑体"/>
                <w:szCs w:val="21"/>
                <w:lang w:eastAsia="ja-JP"/>
              </w:rPr>
            </w:pPr>
          </w:p>
        </w:tc>
        <w:tc>
          <w:tcPr>
            <w:tcW w:w="1731"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val="en-US"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质量环境职业健康安全</w:t>
            </w:r>
            <w:r>
              <w:rPr>
                <w:rFonts w:hint="eastAsia" w:ascii="宋体" w:hAnsi="宋体"/>
                <w:b/>
                <w:color w:val="000000"/>
                <w:szCs w:val="21"/>
              </w:rPr>
              <w:t>管理体系已有效运行并且超过3个月</w:t>
            </w:r>
            <w:r>
              <w:rPr>
                <w:rFonts w:hint="eastAsia" w:ascii="宋体" w:hAnsi="宋体"/>
                <w:b/>
                <w:color w:val="000000"/>
                <w:szCs w:val="21"/>
                <w:lang w:eastAsia="zh-CN"/>
              </w:rPr>
              <w:t>；</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21-22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年11月15日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有</w:t>
            </w:r>
            <w:r>
              <w:rPr>
                <w:rFonts w:hint="eastAsia" w:ascii="宋体" w:hAnsi="宋体"/>
                <w:color w:val="000000"/>
                <w:szCs w:val="21"/>
                <w:lang w:val="en-US" w:eastAsia="zh-CN"/>
              </w:rPr>
              <w:t>8.3</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lang w:val="en-US" w:eastAsia="zh-CN"/>
              </w:rPr>
              <w:t>该</w:t>
            </w:r>
            <w:r>
              <w:rPr>
                <w:rFonts w:hint="eastAsia"/>
              </w:rPr>
              <w:t>企业按照成熟的生产流程对烟煤进行开采，不存在产品的设计和开发，故本条款不适用</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color w:val="000000"/>
                <w:u w:val="none"/>
                <w:lang w:val="en-US" w:eastAsia="zh-CN"/>
              </w:rPr>
              <w:t>爆破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pacing w:val="-10"/>
                <w:szCs w:val="21"/>
              </w:rPr>
              <w:t>需要确认过程（QMS）的识别</w:t>
            </w:r>
          </w:p>
        </w:tc>
        <w:tc>
          <w:tcPr>
            <w:tcW w:w="4191" w:type="dxa"/>
            <w:shd w:val="clear" w:color="auto" w:fill="DBEEF3" w:themeFill="accent5" w:themeFillTint="32"/>
          </w:tcPr>
          <w:p>
            <w:pPr>
              <w:rPr>
                <w:rFonts w:ascii="宋体"/>
                <w:color w:val="000000"/>
                <w:spacing w:val="-10"/>
                <w:szCs w:val="21"/>
              </w:rPr>
            </w:pPr>
            <w:r>
              <w:rPr>
                <w:rFonts w:hint="eastAsia"/>
                <w:color w:val="000000"/>
                <w:u w:val="none"/>
                <w:lang w:val="en-US" w:eastAsia="zh-CN"/>
              </w:rPr>
              <w:t>爆破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keepNext w:val="0"/>
              <w:keepLines w:val="0"/>
              <w:widowControl/>
              <w:suppressLineNumbers w:val="0"/>
              <w:jc w:val="left"/>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产品运输外包、爆破过程外包、</w:t>
            </w:r>
            <w:r>
              <w:rPr>
                <w:rFonts w:hint="eastAsia" w:ascii="宋体" w:hAnsi="Times New Roman" w:eastAsia="宋体" w:cs="Times New Roman"/>
                <w:color w:val="000000"/>
                <w:spacing w:val="-10"/>
                <w:szCs w:val="21"/>
                <w:lang w:val="en-US" w:eastAsia="zh-CN"/>
              </w:rPr>
              <w:t>污水处理外包、危废处置外包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keepNext w:val="0"/>
              <w:keepLines w:val="0"/>
              <w:pageBreakBefore w:val="0"/>
              <w:widowControl w:val="0"/>
              <w:kinsoku/>
              <w:wordWrap/>
              <w:overflowPunct/>
              <w:topLinePunct w:val="0"/>
              <w:autoSpaceDE/>
              <w:autoSpaceDN/>
              <w:bidi w:val="0"/>
              <w:adjustRightInd/>
              <w:snapToGrid/>
              <w:textAlignment w:val="auto"/>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lang w:val="en-US" w:eastAsia="zh-CN"/>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highlight w:val="none"/>
                <w:lang w:val="en-US" w:eastAsia="zh-CN"/>
              </w:rPr>
              <w:t>客户认为</w:t>
            </w:r>
            <w:r>
              <w:rPr>
                <w:rFonts w:hint="eastAsia" w:ascii="宋体"/>
                <w:color w:val="000000"/>
                <w:szCs w:val="21"/>
                <w:highlight w:val="none"/>
              </w:rPr>
              <w:t>产品</w:t>
            </w:r>
            <w:r>
              <w:rPr>
                <w:rFonts w:hint="eastAsia" w:ascii="宋体"/>
                <w:color w:val="000000"/>
                <w:szCs w:val="21"/>
                <w:highlight w:val="none"/>
                <w:lang w:val="en-US" w:eastAsia="zh-CN"/>
              </w:rPr>
              <w:t>需要</w:t>
            </w:r>
            <w:r>
              <w:rPr>
                <w:rFonts w:hint="eastAsia" w:ascii="宋体"/>
                <w:color w:val="000000"/>
                <w:szCs w:val="21"/>
                <w:highlight w:val="none"/>
              </w:rPr>
              <w:t>检测</w:t>
            </w:r>
            <w:r>
              <w:rPr>
                <w:rFonts w:hint="eastAsia" w:ascii="宋体"/>
                <w:color w:val="000000"/>
                <w:szCs w:val="21"/>
                <w:highlight w:val="none"/>
                <w:lang w:val="en-US" w:eastAsia="zh-CN"/>
              </w:rPr>
              <w:t>时，委托第三方检测机构实施</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highlight w:val="none"/>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A3"/>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r>
              <w:rPr>
                <w:rFonts w:hint="eastAsia" w:ascii="宋体" w:hAnsi="宋体"/>
                <w:b/>
                <w:color w:val="000000"/>
                <w:sz w:val="20"/>
                <w:szCs w:val="20"/>
                <w:lang w:val="en-US" w:eastAsia="zh-CN"/>
              </w:rPr>
              <w:t xml:space="preserve">     </w:t>
            </w:r>
            <w:r>
              <w:rPr>
                <w:rFonts w:hint="eastAsia" w:ascii="宋体" w:hAnsi="宋体"/>
                <w:color w:val="000000"/>
                <w:spacing w:val="-10"/>
                <w:szCs w:val="21"/>
              </w:rPr>
              <w:t>□</w:t>
            </w: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hint="default" w:ascii="宋体" w:eastAsia="宋体"/>
                <w:color w:val="000000"/>
                <w:szCs w:val="21"/>
                <w:lang w:val="en-US" w:eastAsia="zh-CN"/>
              </w:rPr>
            </w:pPr>
            <w:r>
              <w:rPr>
                <w:rFonts w:hint="eastAsia" w:ascii="宋体"/>
                <w:color w:val="000000"/>
                <w:szCs w:val="21"/>
              </w:rPr>
              <w:t>是否按法规办理了环境影响评价报告表</w:t>
            </w:r>
            <w:r>
              <w:rPr>
                <w:rFonts w:hint="eastAsia" w:ascii="宋体"/>
                <w:color w:val="000000"/>
                <w:szCs w:val="21"/>
                <w:lang w:eastAsia="zh-CN"/>
              </w:rPr>
              <w:t>——</w:t>
            </w:r>
            <w:r>
              <w:rPr>
                <w:rFonts w:hint="eastAsia" w:ascii="宋体"/>
                <w:color w:val="000000"/>
                <w:szCs w:val="21"/>
                <w:lang w:val="en-US" w:eastAsia="zh-CN"/>
              </w:rPr>
              <w:t>危废库</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hint="default" w:ascii="宋体" w:eastAsia="宋体"/>
                <w:color w:val="000000"/>
                <w:szCs w:val="21"/>
                <w:lang w:val="en-US" w:eastAsia="zh-CN"/>
              </w:rPr>
            </w:pPr>
            <w:r>
              <w:rPr>
                <w:rFonts w:hint="eastAsia" w:ascii="宋体"/>
                <w:color w:val="000000"/>
                <w:szCs w:val="21"/>
              </w:rPr>
              <w:t>是否按法规办理了《排污许可证》</w:t>
            </w:r>
            <w:r>
              <w:rPr>
                <w:rFonts w:hint="eastAsia" w:ascii="宋体"/>
                <w:color w:val="000000"/>
                <w:szCs w:val="21"/>
                <w:lang w:eastAsia="zh-CN"/>
              </w:rPr>
              <w:t>——</w:t>
            </w:r>
            <w:r>
              <w:rPr>
                <w:rFonts w:hint="eastAsia" w:ascii="宋体"/>
                <w:color w:val="000000"/>
                <w:szCs w:val="21"/>
                <w:lang w:val="en-US" w:eastAsia="zh-CN"/>
              </w:rPr>
              <w:t>排污登记证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危险化学品仓库</w:t>
            </w:r>
            <w:r>
              <w:rPr>
                <w:rFonts w:hint="eastAsia" w:ascii="宋体"/>
                <w:color w:val="000000"/>
                <w:spacing w:val="-10"/>
                <w:szCs w:val="21"/>
                <w:lang w:eastAsia="zh-CN"/>
              </w:rPr>
              <w:t>（</w:t>
            </w:r>
            <w:r>
              <w:rPr>
                <w:rFonts w:hint="eastAsia" w:ascii="宋体"/>
                <w:color w:val="000000"/>
                <w:spacing w:val="-10"/>
                <w:szCs w:val="21"/>
                <w:lang w:val="en-US" w:eastAsia="zh-CN"/>
              </w:rPr>
              <w:t>炸药库——外包，监管</w:t>
            </w:r>
            <w:r>
              <w:rPr>
                <w:rFonts w:hint="eastAsia" w:ascii="宋体"/>
                <w:color w:val="000000"/>
                <w:spacing w:val="-10"/>
                <w:szCs w:val="21"/>
                <w:lang w:eastAsia="zh-CN"/>
              </w:rPr>
              <w:t>）</w:t>
            </w:r>
            <w:r>
              <w:rPr>
                <w:rFonts w:hint="eastAsia" w:ascii="宋体"/>
                <w:color w:val="000000"/>
                <w:spacing w:val="-10"/>
                <w:szCs w:val="21"/>
              </w:rPr>
              <w:t>、</w:t>
            </w:r>
            <w:r>
              <w:rPr>
                <w:rFonts w:hint="eastAsia" w:ascii="宋体"/>
                <w:color w:val="000000"/>
                <w:spacing w:val="-10"/>
                <w:szCs w:val="21"/>
              </w:rPr>
              <w:sym w:font="Wingdings 2" w:char="00A3"/>
            </w:r>
            <w:r>
              <w:rPr>
                <w:rFonts w:hint="eastAsia" w:ascii="宋体"/>
                <w:color w:val="000000"/>
                <w:spacing w:val="-10"/>
                <w:szCs w:val="21"/>
              </w:rPr>
              <w:t>污染物治</w:t>
            </w:r>
            <w:r>
              <w:rPr>
                <w:rFonts w:hint="eastAsia" w:ascii="宋体"/>
                <w:color w:val="000000"/>
                <w:spacing w:val="-10"/>
                <w:szCs w:val="21"/>
                <w:lang w:val="en-US" w:eastAsia="zh-CN"/>
              </w:rPr>
              <w:t>理</w:t>
            </w:r>
            <w:r>
              <w:rPr>
                <w:rFonts w:hint="eastAsia" w:ascii="宋体"/>
                <w:color w:val="000000"/>
                <w:spacing w:val="-10"/>
                <w:szCs w:val="21"/>
              </w:rPr>
              <w:t>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w:t>
            </w:r>
            <w:r>
              <w:rPr>
                <w:rFonts w:hint="eastAsia" w:ascii="宋体" w:hAnsi="宋体"/>
                <w:color w:val="000000"/>
                <w:szCs w:val="21"/>
                <w:highlight w:val="yellow"/>
              </w:rPr>
              <w:t>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default" w:ascii="宋体" w:eastAsia="宋体"/>
                <w:color w:val="000000"/>
                <w:szCs w:val="21"/>
                <w:lang w:val="en-US" w:eastAsia="zh-CN"/>
              </w:rPr>
            </w:pPr>
            <w:r>
              <w:rPr>
                <w:rFonts w:hint="eastAsia" w:ascii="宋体"/>
                <w:color w:val="000000"/>
                <w:szCs w:val="21"/>
              </w:rPr>
              <w:t>是否有消防验收报告/备案登记</w:t>
            </w:r>
            <w:r>
              <w:rPr>
                <w:rFonts w:hint="eastAsia" w:ascii="宋体"/>
                <w:color w:val="000000"/>
                <w:szCs w:val="21"/>
                <w:lang w:eastAsia="zh-CN"/>
              </w:rPr>
              <w:t>——</w:t>
            </w:r>
            <w:r>
              <w:rPr>
                <w:rFonts w:hint="eastAsia" w:ascii="宋体"/>
                <w:color w:val="000000"/>
                <w:szCs w:val="21"/>
                <w:lang w:val="en-US" w:eastAsia="zh-CN"/>
              </w:rPr>
              <w:t>尚未完成</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default" w:ascii="宋体" w:eastAsia="宋体"/>
                <w:color w:val="000000"/>
                <w:szCs w:val="21"/>
                <w:lang w:val="en-US" w:eastAsia="zh-CN"/>
              </w:rPr>
            </w:pPr>
            <w:r>
              <w:rPr>
                <w:rFonts w:hint="eastAsia" w:ascii="宋体"/>
                <w:color w:val="000000"/>
                <w:szCs w:val="21"/>
              </w:rPr>
              <w:t>是否提供近一年的</w:t>
            </w:r>
            <w:r>
              <w:rPr>
                <w:rFonts w:hint="eastAsia" w:ascii="宋体"/>
                <w:color w:val="000000"/>
                <w:szCs w:val="21"/>
                <w:highlight w:val="yellow"/>
              </w:rPr>
              <w:t>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w:t>
            </w:r>
            <w:r>
              <w:rPr>
                <w:rFonts w:hint="eastAsia" w:ascii="宋体"/>
                <w:color w:val="000000"/>
                <w:szCs w:val="21"/>
                <w:lang w:eastAsia="zh-CN"/>
              </w:rPr>
              <w:t>——</w:t>
            </w:r>
            <w:r>
              <w:rPr>
                <w:rFonts w:hint="eastAsia" w:ascii="宋体"/>
                <w:color w:val="000000"/>
                <w:szCs w:val="21"/>
                <w:lang w:val="en-US" w:eastAsia="zh-CN"/>
              </w:rPr>
              <w:t>提供2022职业健康体检报告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w:t>
            </w:r>
            <w:r>
              <w:rPr>
                <w:rFonts w:hint="eastAsia" w:ascii="宋体"/>
                <w:color w:val="000000"/>
                <w:spacing w:val="-10"/>
                <w:szCs w:val="21"/>
                <w:lang w:eastAsia="zh-CN"/>
              </w:rPr>
              <w:t>（</w:t>
            </w:r>
            <w:r>
              <w:rPr>
                <w:rFonts w:hint="eastAsia" w:ascii="宋体"/>
                <w:color w:val="000000"/>
                <w:spacing w:val="-10"/>
                <w:szCs w:val="21"/>
                <w:lang w:val="en-US" w:eastAsia="zh-CN"/>
              </w:rPr>
              <w:t>炸药库——外包，监管</w:t>
            </w:r>
            <w:r>
              <w:rPr>
                <w:rFonts w:hint="eastAsia" w:ascii="宋体"/>
                <w:color w:val="000000"/>
                <w:spacing w:val="-10"/>
                <w:szCs w:val="21"/>
                <w:lang w:eastAsia="zh-CN"/>
              </w:rPr>
              <w:t>）</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2022年达到了国家限额要求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highlight w:val="none"/>
                <w:lang w:val="en-US" w:eastAsia="zh-CN"/>
              </w:rPr>
              <w:t>无节能评估报告。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w:t>
            </w:r>
            <w:r>
              <w:rPr>
                <w:rFonts w:hint="eastAsia" w:ascii="宋体"/>
                <w:color w:val="000000"/>
                <w:szCs w:val="21"/>
              </w:rPr>
              <w:sym w:font="Wingdings 2" w:char="00A3"/>
            </w:r>
            <w:r>
              <w:rPr>
                <w:rFonts w:hint="eastAsia" w:ascii="宋体"/>
                <w:color w:val="000000"/>
                <w:szCs w:val="21"/>
              </w:rPr>
              <w:t>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auto"/>
                <w:szCs w:val="21"/>
                <w:highlight w:val="none"/>
              </w:rPr>
              <w:t>执行标准的符合性</w:t>
            </w:r>
            <w:r>
              <w:rPr>
                <w:rFonts w:hint="eastAsia" w:ascii="宋体"/>
                <w:color w:val="000000"/>
                <w:szCs w:val="21"/>
              </w:rPr>
              <w:t>，</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lang w:val="en-US" w:eastAsia="zh-CN"/>
              </w:rPr>
              <w:t>机电部</w:t>
            </w:r>
            <w:r>
              <w:rPr>
                <w:rFonts w:hint="eastAsia" w:ascii="宋体"/>
                <w:color w:val="000000"/>
                <w:spacing w:val="-10"/>
                <w:szCs w:val="21"/>
              </w:rPr>
              <w:t>、</w:t>
            </w:r>
            <w:r>
              <w:rPr>
                <w:rFonts w:hint="eastAsia" w:ascii="宋体"/>
                <w:color w:val="000000"/>
                <w:spacing w:val="-10"/>
                <w:szCs w:val="21"/>
              </w:rPr>
              <w:sym w:font="Wingdings 2" w:char="0052"/>
            </w:r>
            <w:r>
              <w:rPr>
                <w:rFonts w:hint="eastAsia" w:ascii="宋体"/>
                <w:color w:val="000000"/>
                <w:spacing w:val="-10"/>
                <w:szCs w:val="21"/>
                <w:lang w:val="en-US" w:eastAsia="zh-CN"/>
              </w:rPr>
              <w:t>生产部</w:t>
            </w:r>
            <w:r>
              <w:rPr>
                <w:rFonts w:hint="eastAsia" w:ascii="宋体"/>
                <w:color w:val="000000"/>
                <w:spacing w:val="-10"/>
                <w:szCs w:val="21"/>
              </w:rPr>
              <w:t>、</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1" w:name="二阶段审核日期"/>
            <w:r>
              <w:rPr>
                <w:rFonts w:hint="eastAsia" w:ascii="宋体"/>
                <w:b/>
                <w:color w:val="000000"/>
                <w:szCs w:val="21"/>
              </w:rPr>
              <w:t>202</w:t>
            </w:r>
            <w:r>
              <w:rPr>
                <w:rFonts w:hint="eastAsia" w:ascii="宋体"/>
                <w:b/>
                <w:color w:val="000000"/>
                <w:szCs w:val="21"/>
                <w:lang w:val="en-US" w:eastAsia="zh-CN"/>
              </w:rPr>
              <w:t>3</w:t>
            </w:r>
            <w:r>
              <w:rPr>
                <w:rFonts w:hint="eastAsia" w:ascii="宋体"/>
                <w:b/>
                <w:color w:val="000000"/>
                <w:szCs w:val="21"/>
              </w:rPr>
              <w:t>-0</w:t>
            </w:r>
            <w:r>
              <w:rPr>
                <w:rFonts w:hint="eastAsia" w:ascii="宋体"/>
                <w:b/>
                <w:color w:val="000000"/>
                <w:szCs w:val="21"/>
                <w:lang w:val="en-US" w:eastAsia="zh-CN"/>
              </w:rPr>
              <w:t>1</w:t>
            </w:r>
            <w:r>
              <w:rPr>
                <w:rFonts w:hint="eastAsia" w:ascii="宋体"/>
                <w:b/>
                <w:color w:val="000000"/>
                <w:szCs w:val="21"/>
              </w:rPr>
              <w:t>-</w:t>
            </w:r>
            <w:bookmarkEnd w:id="31"/>
            <w:r>
              <w:rPr>
                <w:rFonts w:hint="eastAsia" w:ascii="宋体"/>
                <w:b/>
                <w:color w:val="000000"/>
                <w:szCs w:val="21"/>
                <w:lang w:val="en-US" w:eastAsia="zh-CN"/>
              </w:rPr>
              <w:t>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947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gridCol w:w="6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widowControl/>
              <w:jc w:val="left"/>
              <w:rPr>
                <w:rFonts w:ascii="宋体"/>
                <w:b/>
                <w:color w:val="000000"/>
                <w:szCs w:val="21"/>
              </w:rPr>
            </w:pPr>
            <w:r>
              <w:rPr>
                <w:rFonts w:hint="eastAsia" w:ascii="宋体" w:hAnsi="宋体"/>
                <w:b/>
                <w:color w:val="000000"/>
                <w:szCs w:val="21"/>
              </w:rPr>
              <w:t>评价项目</w:t>
            </w:r>
          </w:p>
        </w:tc>
        <w:tc>
          <w:tcPr>
            <w:tcW w:w="664" w:type="dxa"/>
          </w:tcPr>
          <w:p>
            <w:pPr>
              <w:widowControl/>
              <w:jc w:val="left"/>
              <w:rPr>
                <w:rFonts w:ascii="宋体"/>
                <w:b/>
                <w:color w:val="000000"/>
                <w:szCs w:val="21"/>
              </w:rPr>
            </w:pPr>
          </w:p>
        </w:tc>
        <w:tc>
          <w:tcPr>
            <w:tcW w:w="791"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664"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91"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7" w:hRule="atLeast"/>
          <w:jc w:val="center"/>
        </w:trPr>
        <w:tc>
          <w:tcPr>
            <w:tcW w:w="9442"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442"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jc w:val="center"/>
        </w:trPr>
        <w:tc>
          <w:tcPr>
            <w:tcW w:w="9442"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442"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442"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rPr>
          <w:rFonts w:hint="eastAsia" w:ascii="宋体" w:hAns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8480" behindDoc="0" locked="0" layoutInCell="1" allowOverlap="1">
            <wp:simplePos x="0" y="0"/>
            <wp:positionH relativeFrom="column">
              <wp:posOffset>4130675</wp:posOffset>
            </wp:positionH>
            <wp:positionV relativeFrom="paragraph">
              <wp:posOffset>295275</wp:posOffset>
            </wp:positionV>
            <wp:extent cx="533400" cy="304800"/>
            <wp:effectExtent l="0" t="0" r="0" b="0"/>
            <wp:wrapSquare wrapText="bothSides"/>
            <wp:docPr id="10" name="图片 10" descr="413bdbf7eadda01fe8785528718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13bdbf7eadda01fe87855287180173"/>
                    <pic:cNvPicPr>
                      <a:picLocks noChangeAspect="1"/>
                    </pic:cNvPicPr>
                  </pic:nvPicPr>
                  <pic:blipFill>
                    <a:blip r:embed="rId6"/>
                    <a:stretch>
                      <a:fillRect/>
                    </a:stretch>
                  </pic:blipFill>
                  <pic:spPr>
                    <a:xfrm>
                      <a:off x="0" y="0"/>
                      <a:ext cx="533400" cy="30480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1777365</wp:posOffset>
            </wp:positionH>
            <wp:positionV relativeFrom="paragraph">
              <wp:posOffset>254000</wp:posOffset>
            </wp:positionV>
            <wp:extent cx="982345" cy="306070"/>
            <wp:effectExtent l="0" t="0" r="0" b="11430"/>
            <wp:wrapSquare wrapText="bothSides"/>
            <wp:docPr id="9" name="图片 9"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李丽英电子签"/>
                    <pic:cNvPicPr>
                      <a:picLocks noChangeAspect="1"/>
                    </pic:cNvPicPr>
                  </pic:nvPicPr>
                  <pic:blipFill>
                    <a:blip r:embed="rId7"/>
                    <a:stretch>
                      <a:fillRect/>
                    </a:stretch>
                  </pic:blipFill>
                  <pic:spPr>
                    <a:xfrm>
                      <a:off x="0" y="0"/>
                      <a:ext cx="982345" cy="30607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rPr>
          <w:rFonts w:ascii="宋体"/>
          <w:b/>
          <w:color w:val="000000"/>
          <w:szCs w:val="21"/>
        </w:rPr>
      </w:pPr>
      <w:r>
        <w:rPr>
          <w:sz w:val="21"/>
          <w:szCs w:val="21"/>
        </w:rPr>
        <w:drawing>
          <wp:anchor distT="0" distB="0" distL="0" distR="0" simplePos="0" relativeHeight="251669504" behindDoc="0" locked="0" layoutInCell="1" allowOverlap="1">
            <wp:simplePos x="0" y="0"/>
            <wp:positionH relativeFrom="column">
              <wp:posOffset>4197350</wp:posOffset>
            </wp:positionH>
            <wp:positionV relativeFrom="paragraph">
              <wp:posOffset>248920</wp:posOffset>
            </wp:positionV>
            <wp:extent cx="533400" cy="371475"/>
            <wp:effectExtent l="0" t="0" r="0"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3400" cy="371475"/>
                    </a:xfrm>
                    <a:prstGeom prst="rect">
                      <a:avLst/>
                    </a:prstGeom>
                    <a:noFill/>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sz w:val="22"/>
          <w:szCs w:val="22"/>
        </w:rPr>
        <w:t>：</w:t>
      </w:r>
      <w:r>
        <w:drawing>
          <wp:anchor distT="0" distB="0" distL="114300" distR="114300" simplePos="0" relativeHeight="251670528" behindDoc="0" locked="0" layoutInCell="1" allowOverlap="1">
            <wp:simplePos x="0" y="0"/>
            <wp:positionH relativeFrom="column">
              <wp:posOffset>4778375</wp:posOffset>
            </wp:positionH>
            <wp:positionV relativeFrom="paragraph">
              <wp:posOffset>-152400</wp:posOffset>
            </wp:positionV>
            <wp:extent cx="770890" cy="346075"/>
            <wp:effectExtent l="0" t="0" r="3810" b="952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770890" cy="346075"/>
                    </a:xfrm>
                    <a:prstGeom prst="rect">
                      <a:avLst/>
                    </a:prstGeom>
                    <a:noFill/>
                    <a:ln>
                      <a:noFill/>
                    </a:ln>
                  </pic:spPr>
                </pic:pic>
              </a:graphicData>
            </a:graphic>
          </wp:anchor>
        </w:drawing>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3314065" cy="38677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3314065" cy="3867785"/>
                    </a:xfrm>
                    <a:prstGeom prst="rect">
                      <a:avLst/>
                    </a:prstGeom>
                    <a:noFill/>
                    <a:ln>
                      <a:noFill/>
                    </a:ln>
                  </pic:spPr>
                </pic:pic>
              </a:graphicData>
            </a:graphic>
          </wp:inline>
        </w:drawing>
      </w:r>
      <w:r>
        <w:rPr>
          <w:rFonts w:eastAsia="隶书"/>
          <w:color w:val="000000"/>
          <w:szCs w:val="21"/>
        </w:rPr>
        <w:br w:type="page"/>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内蒙古鄂尔多斯市潮脑梁煤炭有限公司</w:t>
      </w:r>
      <w:bookmarkStart w:id="32" w:name="_GoBack"/>
      <w:bookmarkEnd w:id="32"/>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法律法规清单未识别“高耗能机电设备（产品）淘汰目录（第四批）”,未识别内蒙古及鄂尔多斯市有关环境、职业健康安全和能源的相关要求、未识别危险废物转移管理办法</w:t>
            </w:r>
          </w:p>
        </w:tc>
        <w:tc>
          <w:tcPr>
            <w:tcW w:w="922"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EO</w:t>
            </w:r>
          </w:p>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6.1.3</w:t>
            </w:r>
          </w:p>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71552" behindDoc="0" locked="0" layoutInCell="1" allowOverlap="1">
                  <wp:simplePos x="0" y="0"/>
                  <wp:positionH relativeFrom="column">
                    <wp:posOffset>903605</wp:posOffset>
                  </wp:positionH>
                  <wp:positionV relativeFrom="paragraph">
                    <wp:posOffset>8255</wp:posOffset>
                  </wp:positionV>
                  <wp:extent cx="982345" cy="306070"/>
                  <wp:effectExtent l="0" t="0" r="0" b="11430"/>
                  <wp:wrapSquare wrapText="bothSides"/>
                  <wp:docPr id="23" name="图片 2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李丽英电子签"/>
                          <pic:cNvPicPr>
                            <a:picLocks noChangeAspect="1"/>
                          </pic:cNvPicPr>
                        </pic:nvPicPr>
                        <pic:blipFill>
                          <a:blip r:embed="rId7"/>
                          <a:stretch>
                            <a:fillRect/>
                          </a:stretch>
                        </pic:blipFill>
                        <pic:spPr>
                          <a:xfrm>
                            <a:off x="0" y="0"/>
                            <a:ext cx="982345" cy="30607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pStyle w:val="2"/>
            </w:pP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pacing w:val="-10"/>
                <w:szCs w:val="21"/>
              </w:rPr>
            </w:pPr>
          </w:p>
          <w:p>
            <w:pPr>
              <w:tabs>
                <w:tab w:val="left" w:pos="8740"/>
              </w:tabs>
              <w:spacing w:line="360" w:lineRule="exact"/>
              <w:rPr>
                <w:b/>
                <w:color w:val="000000"/>
                <w:szCs w:val="21"/>
              </w:rPr>
            </w:pPr>
            <w:r>
              <w:rPr>
                <w:rFonts w:hint="eastAsia" w:eastAsia="宋体"/>
                <w:sz w:val="21"/>
                <w:szCs w:val="21"/>
                <w:lang w:eastAsia="zh-CN"/>
              </w:rPr>
              <w:drawing>
                <wp:anchor distT="0" distB="0" distL="114300" distR="114300" simplePos="0" relativeHeight="251672576" behindDoc="0" locked="0" layoutInCell="1" allowOverlap="1">
                  <wp:simplePos x="0" y="0"/>
                  <wp:positionH relativeFrom="column">
                    <wp:posOffset>667385</wp:posOffset>
                  </wp:positionH>
                  <wp:positionV relativeFrom="paragraph">
                    <wp:posOffset>216535</wp:posOffset>
                  </wp:positionV>
                  <wp:extent cx="982345" cy="306070"/>
                  <wp:effectExtent l="0" t="0" r="0" b="1143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7"/>
                          <a:stretch>
                            <a:fillRect/>
                          </a:stretch>
                        </pic:blipFill>
                        <pic:spPr>
                          <a:xfrm>
                            <a:off x="0" y="0"/>
                            <a:ext cx="982345" cy="306070"/>
                          </a:xfrm>
                          <a:prstGeom prst="rect">
                            <a:avLst/>
                          </a:prstGeom>
                          <a:noFill/>
                          <a:ln>
                            <a:noFill/>
                          </a:ln>
                        </pic:spPr>
                      </pic:pic>
                    </a:graphicData>
                  </a:graphic>
                </wp:anchor>
              </w:drawing>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0371FCB"/>
    <w:rsid w:val="251B703F"/>
    <w:rsid w:val="257548A9"/>
    <w:rsid w:val="2B6C5E7A"/>
    <w:rsid w:val="37F71806"/>
    <w:rsid w:val="3EEC7D87"/>
    <w:rsid w:val="59B84969"/>
    <w:rsid w:val="653363CB"/>
    <w:rsid w:val="67D13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unhideWhenUsed/>
    <w:qFormat/>
    <w:locked/>
    <w:uiPriority w:val="9"/>
    <w:pPr>
      <w:keepNext/>
      <w:keepLines/>
      <w:spacing w:after="294" w:line="240" w:lineRule="auto"/>
      <w:ind w:left="-5" w:right="-15" w:hanging="10"/>
      <w:jc w:val="center"/>
      <w:outlineLvl w:val="0"/>
    </w:pPr>
    <w:rPr>
      <w:rFonts w:ascii="Microsoft YaHei UI" w:hAnsi="Microsoft YaHei UI" w:eastAsia="Microsoft YaHei UI" w:cs="Microsoft YaHei UI"/>
      <w:b/>
      <w:color w:val="000000"/>
      <w:kern w:val="2"/>
      <w:sz w:val="28"/>
      <w:szCs w:val="21"/>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设计说明书第三级 + 首行缩进:  2 字符"/>
    <w:basedOn w:val="1"/>
    <w:qFormat/>
    <w:uiPriority w:val="0"/>
    <w:pPr>
      <w:keepNext/>
      <w:keepLines/>
      <w:adjustRightInd/>
      <w:snapToGrid/>
      <w:spacing w:before="100" w:beforeLines="0" w:line="500" w:lineRule="exact"/>
      <w:ind w:firstLine="200" w:firstLineChars="200"/>
      <w:jc w:val="left"/>
      <w:outlineLvl w:val="2"/>
    </w:pPr>
    <w:rPr>
      <w:b/>
      <w:bCs/>
      <w:kern w:val="44"/>
      <w:szCs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 w:type="character" w:customStyle="1" w:styleId="27">
    <w:name w:val="标题 1 Char"/>
    <w:link w:val="3"/>
    <w:qFormat/>
    <w:uiPriority w:val="0"/>
    <w:rPr>
      <w:rFonts w:ascii="Microsoft YaHei UI" w:hAnsi="Microsoft YaHei UI" w:eastAsia="Microsoft YaHei UI" w:cs="Microsoft YaHei UI"/>
      <w:b/>
      <w:color w:val="000000"/>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2023-01-14T09:06:46Z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