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内蒙古鄂尔多斯市潮脑梁煤炭有限公司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专业小类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党明博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土石方剥离作业：</w:t>
            </w:r>
            <w:r>
              <w:rPr>
                <w:rFonts w:hint="eastAsia"/>
                <w:b/>
                <w:sz w:val="20"/>
                <w:szCs w:val="22"/>
              </w:rPr>
              <w:t>钻孔------爆破------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排土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煤炭开采作业：采装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分类堆放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爆破、剥离、采矿；</w:t>
            </w:r>
            <w:r>
              <w:rPr>
                <w:rFonts w:hint="eastAsia"/>
                <w:b/>
                <w:sz w:val="20"/>
                <w:lang w:val="en-US" w:eastAsia="zh-CN"/>
              </w:rPr>
              <w:t>主要控制参数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名称：爆破——位置、钻孔孔径及深度、布孔情况、用药量、爆破效果；剥离——设备选型、剥离量（土、岩比例）、运输距离；采煤——设备选型、采煤量、可采煤层情况、各煤层厚度、运输距离；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需要确认的重点过程：爆破。该过程外包。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中华人品共和国产品质量法；</w:t>
            </w:r>
          </w:p>
          <w:p>
            <w:pPr>
              <w:pStyle w:val="9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中华人民共和国计量法；</w:t>
            </w:r>
          </w:p>
          <w:p>
            <w:pPr>
              <w:pStyle w:val="9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中华人民共和国标准化法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质量管理体系要求</w:t>
            </w:r>
          </w:p>
          <w:p>
            <w:pPr>
              <w:pStyle w:val="9"/>
              <w:rPr>
                <w:rFonts w:hint="default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中华人民共和国劳动法</w:t>
            </w:r>
            <w:r>
              <w:rPr>
                <w:rFonts w:hint="eastAsia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露天采煤的特点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770890" cy="346075"/>
                  <wp:effectExtent l="0" t="0" r="3810" b="952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102870</wp:posOffset>
                  </wp:positionV>
                  <wp:extent cx="982345" cy="306070"/>
                  <wp:effectExtent l="0" t="0" r="0" b="11430"/>
                  <wp:wrapSquare wrapText="bothSides"/>
                  <wp:docPr id="3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内蒙古鄂尔多斯市潮脑梁煤炭有限公司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专业小类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党明博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土石方剥离作业：</w:t>
            </w:r>
            <w:r>
              <w:rPr>
                <w:rFonts w:hint="eastAsia"/>
                <w:b/>
                <w:sz w:val="20"/>
                <w:szCs w:val="22"/>
              </w:rPr>
              <w:t>钻孔------爆破------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排土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煤炭开采作业：采装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分类堆放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</w:rPr>
            </w:pPr>
          </w:p>
          <w:tbl>
            <w:tblPr>
              <w:tblStyle w:val="6"/>
              <w:tblW w:w="7461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41"/>
              <w:gridCol w:w="38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3641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eastAsia" w:ascii="宋体" w:eastAsia="宋体"/>
                      <w:lang w:eastAsia="zh-CN"/>
                    </w:rPr>
                  </w:pPr>
                  <w:r>
                    <w:rPr>
                      <w:rFonts w:hint="eastAsia" w:ascii="宋体" w:hAnsi="Times New Roman" w:cs="Times New Roman"/>
                      <w:szCs w:val="22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82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控制措施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3641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82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364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4"/>
                      <w:sz w:val="21"/>
                      <w:szCs w:val="21"/>
                      <w:lang w:val="en-US" w:eastAsia="zh-CN" w:bidi="ar"/>
                    </w:rPr>
                    <w:t>办公固废（废弃打印纸、废弃包装物、废弃宣传册、硒鼓、墨盒等）</w:t>
                  </w:r>
                </w:p>
              </w:tc>
              <w:tc>
                <w:tcPr>
                  <w:tcW w:w="3820" w:type="dxa"/>
                  <w:tcBorders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固体废弃物应分类存放，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废纸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进行回收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变卖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硒鼓和墨盒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重复使用；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防疫物资由指定单位回收处理；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废矿物油、废油桶、废铅蓄电瓶等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专业公司处置，制定应急预案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装载机、矿用卡车、单斗挖掘机</w:t>
                  </w:r>
                  <w:r>
                    <w:rPr>
                      <w:rStyle w:val="14"/>
                      <w:sz w:val="21"/>
                      <w:szCs w:val="21"/>
                      <w:lang w:val="en-US" w:eastAsia="zh-CN" w:bidi="ar"/>
                    </w:rPr>
                    <w:t>等设备运行噪声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制度管理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3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4"/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捕尘</w:t>
                  </w:r>
                  <w:r>
                    <w:rPr>
                      <w:rStyle w:val="14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和喷雾装置，煤场防风抑尘网</w:t>
                  </w:r>
                  <w:r>
                    <w:rPr>
                      <w:rStyle w:val="14"/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、封闭式煤棚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设置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抑尘装置，制度管理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7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5"/>
                      <w:rFonts w:hint="eastAsia"/>
                      <w:sz w:val="21"/>
                      <w:szCs w:val="21"/>
                      <w:lang w:val="en-US" w:eastAsia="zh-CN" w:bidi="ar"/>
                    </w:rPr>
                    <w:t>采煤过程中发生</w:t>
                  </w:r>
                  <w:r>
                    <w:rPr>
                      <w:rStyle w:val="15"/>
                      <w:sz w:val="21"/>
                      <w:szCs w:val="21"/>
                      <w:lang w:val="en-US" w:eastAsia="zh-CN" w:bidi="ar"/>
                    </w:rPr>
                    <w:t>火灾、</w:t>
                  </w:r>
                  <w:r>
                    <w:rPr>
                      <w:rStyle w:val="15"/>
                      <w:rFonts w:hint="eastAsia"/>
                      <w:sz w:val="21"/>
                      <w:szCs w:val="21"/>
                      <w:lang w:val="en-US" w:eastAsia="zh-CN" w:bidi="ar"/>
                    </w:rPr>
                    <w:t>采空区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设置消防设施，掌握消防设备使用方法，对电器线路进行检测、防止明火。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针对采空区应进行超前钻探工作提前探明。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7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5"/>
                      <w:rFonts w:hint="default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5"/>
                      <w:rFonts w:hint="eastAsia"/>
                      <w:sz w:val="21"/>
                      <w:szCs w:val="21"/>
                      <w:lang w:val="en-US" w:eastAsia="zh-CN" w:bidi="ar"/>
                    </w:rPr>
                    <w:t>污水处理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加强污水处理设施管理，加强监测，达标排放</w:t>
                  </w:r>
                </w:p>
              </w:tc>
            </w:tr>
          </w:tbl>
          <w:p>
            <w:pPr>
              <w:pStyle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中华人品共和国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环境保护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法；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中华人民共和国大气污染防治法；</w:t>
            </w:r>
            <w:r>
              <w:rPr>
                <w:rFonts w:hint="default"/>
                <w:b/>
                <w:sz w:val="20"/>
                <w:lang w:val="en-US" w:eastAsia="zh-CN"/>
              </w:rPr>
              <w:t>中华人民共和国</w:t>
            </w:r>
            <w:r>
              <w:rPr>
                <w:rFonts w:hint="eastAsia"/>
                <w:b/>
                <w:sz w:val="20"/>
                <w:lang w:val="en-US" w:eastAsia="zh-CN"/>
              </w:rPr>
              <w:t>环境影响评价</w:t>
            </w:r>
            <w:r>
              <w:rPr>
                <w:rFonts w:hint="default"/>
                <w:b/>
                <w:sz w:val="20"/>
                <w:lang w:val="en-US" w:eastAsia="zh-CN"/>
              </w:rPr>
              <w:t>法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环境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管理体系  要求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及使用指南；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中华人民共和国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水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法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，中华人民共和国计量法；大气污染物排放标准、危险废物名录，危险废物转移管理办法；GB20426-2006煤炭工业污染物排放标准</w:t>
            </w:r>
            <w:r>
              <w:rPr>
                <w:rFonts w:hint="eastAsia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有废水、颗粒物、噪声监测报告，见相关证据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采煤过程相关环境影响专业知识，如危废库的管理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770890" cy="346075"/>
                  <wp:effectExtent l="0" t="0" r="3810" b="9525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102870</wp:posOffset>
                  </wp:positionV>
                  <wp:extent cx="982345" cy="306070"/>
                  <wp:effectExtent l="0" t="0" r="0" b="11430"/>
                  <wp:wrapSquare wrapText="bothSides"/>
                  <wp:docPr id="7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内蒙古鄂尔多斯市潮脑梁煤炭有限公司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专业小类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党明博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土石方剥离作业：</w:t>
            </w:r>
            <w:r>
              <w:rPr>
                <w:rFonts w:hint="eastAsia"/>
                <w:b/>
                <w:sz w:val="20"/>
                <w:szCs w:val="22"/>
              </w:rPr>
              <w:t>钻孔------爆破------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排土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煤炭开采作业：采装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分类堆放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tbl>
            <w:tblPr>
              <w:tblStyle w:val="7"/>
              <w:tblpPr w:leftFromText="180" w:rightFromText="180" w:vertAnchor="text" w:horzAnchor="page" w:tblpX="373" w:tblpY="117"/>
              <w:tblOverlap w:val="never"/>
              <w:tblW w:w="72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9"/>
              <w:gridCol w:w="59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危险源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运输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（1）作业现场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内车辆严禁超速、超车。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（2）作业现场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车辆行驶过程中严格保持安全距离，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（3）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设备不得带病作业；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（4）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加强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从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业人员培训教育，不得出现酒后上岗，不得疲劳、带病驾驶。</w:t>
                  </w:r>
                  <w:r>
                    <w:rPr>
                      <w:rFonts w:hint="eastAsia" w:cs="Times New Roman"/>
                      <w:b/>
                      <w:sz w:val="20"/>
                      <w:szCs w:val="22"/>
                      <w:lang w:val="en-US" w:eastAsia="zh-CN"/>
                    </w:rPr>
                    <w:t>（5）加强运输道路管理，严格控制道路坡度、转弯半径，对掉落石渣及时组织装载机对道路进行清理等。（6）设置安全警示标识牌进行有效提醒。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eastAsia="zh-CN"/>
                    </w:rPr>
                    <w:t>爆破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（1）全部采用芯片雷管，以此来提高爆破的安全性能。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（2）在爆破作业中增大爆破警戒范围，增加安全系数。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堆煤自燃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（1）堆煤场所减少堆煤，合理安排采煤时间,以及生产量。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（2）按堆煤时间长短进行划分暴露时间不得超过</w:t>
                  </w:r>
                  <w:r>
                    <w:rPr>
                      <w:rFonts w:hint="eastAsia" w:cs="Times New Roman"/>
                      <w:b/>
                      <w:sz w:val="20"/>
                      <w:szCs w:val="22"/>
                      <w:lang w:val="en-US" w:eastAsia="zh-CN"/>
                    </w:rPr>
                    <w:t>煤炭自然发火期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边坡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 xml:space="preserve">（1）边坡作业，严格按照要求进行，刷坡作业时，剔除易松动石块及有浮落可能的物体，为后期边坡的形成做好基础。 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（2）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在非工作帮和端帮，严格按照设计进行采掘。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（3）加强边坡监测工作，发现异常应及时采取有效措施；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（4）加强开采作业管理，防止出现伞檐。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中华人民共和国劳动法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中华人民共和国职业病防治法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中华人民共和国刑法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生产安全事故报告和调查处理条例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《生产安全事故报告和调查处理条例》罚款处罚暂行规定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生产安全事故应急预案管理办法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职业健康管理体系 要求及使用指南；危险化学品名录2015版等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采煤过程安全专业知识、危险源风险、安全教育、矿长带班等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770890" cy="346075"/>
                  <wp:effectExtent l="0" t="0" r="3810" b="9525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102870</wp:posOffset>
                  </wp:positionV>
                  <wp:extent cx="982345" cy="306070"/>
                  <wp:effectExtent l="0" t="0" r="0" b="11430"/>
                  <wp:wrapSquare wrapText="bothSides"/>
                  <wp:docPr id="11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内蒙古鄂尔多斯市潮脑梁煤炭有限公司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专业小类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党明博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土石方剥离作业：</w:t>
            </w:r>
            <w:r>
              <w:rPr>
                <w:rFonts w:hint="eastAsia"/>
                <w:b/>
                <w:sz w:val="20"/>
                <w:szCs w:val="22"/>
              </w:rPr>
              <w:t>钻孔------爆破------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排土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煤炭开采作业：采装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分类堆放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主要能源使用：燃料油、电力、原煤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主要能源参数：综合能耗tce；原煤生产综合能耗kgce/t；万元产值综合能耗kgce/万元。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24789-2009   用水单位水计量器具配备和管理通则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GB-T 5623-2008  产品电耗定额制定和管理导则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2589—2020综合能耗计算通则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29445-2012 煤炭露天开采单位产品能源消耗限额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“十四五”节能减排综合工作方案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GB-T </w:t>
            </w:r>
            <w:r>
              <w:rPr>
                <w:rFonts w:hint="eastAsia"/>
                <w:b/>
                <w:sz w:val="20"/>
                <w:lang w:val="en-US" w:eastAsia="zh-CN"/>
              </w:rPr>
              <w:t>23331</w:t>
            </w:r>
            <w:r>
              <w:rPr>
                <w:rFonts w:hint="eastAsia"/>
                <w:b/>
                <w:sz w:val="20"/>
              </w:rPr>
              <w:t>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 xml:space="preserve"> 能源管理体系  </w:t>
            </w:r>
            <w:r>
              <w:rPr>
                <w:rFonts w:hint="eastAsia"/>
                <w:b/>
                <w:sz w:val="20"/>
                <w:lang w:val="en-US" w:eastAsia="zh-CN"/>
              </w:rPr>
              <w:t>要求及使用指南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GBT 36713-2018能源管理体系 能源基准及能源绩效参数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中华人民共和国煤炭法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中华人民供货节约能源法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RB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 xml:space="preserve">T 105-2013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能源管理体系 煤炭采选业认证要求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有能源评审报告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采煤过程能源消耗的专业知识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770890" cy="346075"/>
                  <wp:effectExtent l="0" t="0" r="3810" b="9525"/>
                  <wp:wrapSquare wrapText="bothSides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102870</wp:posOffset>
                  </wp:positionV>
                  <wp:extent cx="982345" cy="306070"/>
                  <wp:effectExtent l="0" t="0" r="0" b="11430"/>
                  <wp:wrapSquare wrapText="bothSides"/>
                  <wp:docPr id="15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Ⅰ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AwuxlMxAEAAHs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Ⅰ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YmE4Yzk4ZTg3NTZkMThkNWRmYTg4ZjIzNDA1OTIifQ=="/>
  </w:docVars>
  <w:rsids>
    <w:rsidRoot w:val="00000000"/>
    <w:rsid w:val="07110C03"/>
    <w:rsid w:val="10E640DC"/>
    <w:rsid w:val="1DA529C1"/>
    <w:rsid w:val="269C35BA"/>
    <w:rsid w:val="294A3C72"/>
    <w:rsid w:val="300F712E"/>
    <w:rsid w:val="4A7109A7"/>
    <w:rsid w:val="7E645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设计说明书第三级 + 首行缩进:  2 字符"/>
    <w:basedOn w:val="1"/>
    <w:qFormat/>
    <w:uiPriority w:val="0"/>
    <w:pPr>
      <w:keepNext/>
      <w:keepLines/>
      <w:adjustRightInd/>
      <w:snapToGrid/>
      <w:spacing w:before="100" w:beforeLines="0" w:line="500" w:lineRule="exact"/>
      <w:ind w:firstLine="200" w:firstLineChars="200"/>
      <w:jc w:val="left"/>
      <w:outlineLvl w:val="2"/>
    </w:pPr>
    <w:rPr>
      <w:b/>
      <w:bCs/>
      <w:kern w:val="44"/>
      <w:szCs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1993</Words>
  <Characters>2335</Characters>
  <Lines>2</Lines>
  <Paragraphs>1</Paragraphs>
  <TotalTime>12</TotalTime>
  <ScaleCrop>false</ScaleCrop>
  <LinksUpToDate>false</LinksUpToDate>
  <CharactersWithSpaces>2364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2023-01-16T06:57:28Z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9FFBA76D313246A78D5ECF4AF36BDF45</vt:lpwstr>
  </property>
  <property fmtid="{D5CDD505-2E9C-101B-9397-08002B2CF9AE}" pid="3" name="KSOProductBuildVer">
    <vt:lpwstr>2052-11.1.0.10314</vt:lpwstr>
  </property>
</Properties>
</file>