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河北中睿铧禹建设工程有限公司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遵化市西二环北路（文礼小区）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遵化市愚公北路玫瑰园底商8-3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郝红蕾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17695439985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1256665397@qq.com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杨志刚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1129-2021-QJEO-2022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EC：市政公用工程、建筑工程的施工（资质范围内）（仅限总公司使用）；园林绿化工程的施工及养护（仅限总公司使用）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E：市政公用工程、建筑工程的施工（资质范围内）（仅限总公司使用）；园林绿化工程的施工及养护（仅限总公司使用）所涉及场所的相关环境管理活动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O：市政公用工程、建筑工程的施工（资质范围内）（仅限总公司使用）；园林绿化工程的施工及养护（仅限总公司使用）所涉及场所的相关职业健康安全管理活动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EC：28.02.00;28.09.02;35.17.00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E：28.02.00;28.09.02;35.17.00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O：28.02.00;28.09.02;35.17.00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■GB/T19001-2016/ISO 9001:2015   ■GB/T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/>
                <w:sz w:val="21"/>
                <w:szCs w:val="21"/>
              </w:rPr>
              <w:t>HYYL/QES-2021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2022年12月25日 上午至2022年12月27日 下午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3.0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EC:28.02.00,28.09.02,35.17.00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E:28.02.00,28.09.02,35.17.00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O:28.02.00,28.09.02,35.17.00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O:35.17.00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711200" cy="254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  <w:bookmarkStart w:id="31" w:name="_GoBack"/>
      <w:r>
        <w:drawing>
          <wp:inline distT="0" distB="0" distL="114300" distR="114300">
            <wp:extent cx="6557645" cy="8764270"/>
            <wp:effectExtent l="0" t="0" r="825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7645" cy="876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50"/>
        <w:gridCol w:w="872"/>
        <w:gridCol w:w="3407"/>
        <w:gridCol w:w="327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4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ind w:firstLine="2520" w:firstLineChars="1400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审核日程安排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lang w:val="en-US" w:eastAsia="zh-CN"/>
              </w:rPr>
              <w:t>远程审核：采用微信音频、视频、微信传输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76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日期</w:t>
            </w:r>
          </w:p>
        </w:tc>
        <w:tc>
          <w:tcPr>
            <w:tcW w:w="1250" w:type="dxa"/>
            <w:vAlign w:val="center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时间</w:t>
            </w:r>
          </w:p>
        </w:tc>
        <w:tc>
          <w:tcPr>
            <w:tcW w:w="872" w:type="dxa"/>
            <w:vAlign w:val="center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部门</w:t>
            </w:r>
          </w:p>
        </w:tc>
        <w:tc>
          <w:tcPr>
            <w:tcW w:w="3407" w:type="dxa"/>
            <w:vAlign w:val="center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过程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涉及条款</w:t>
            </w:r>
          </w:p>
        </w:tc>
        <w:tc>
          <w:tcPr>
            <w:tcW w:w="964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12-25</w:t>
            </w:r>
          </w:p>
        </w:tc>
        <w:tc>
          <w:tcPr>
            <w:tcW w:w="1250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08:30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-09:00</w:t>
            </w:r>
          </w:p>
        </w:tc>
        <w:tc>
          <w:tcPr>
            <w:tcW w:w="872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407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首次会议</w:t>
            </w:r>
          </w:p>
        </w:tc>
        <w:tc>
          <w:tcPr>
            <w:tcW w:w="3271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AB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09:00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-12:00</w:t>
            </w:r>
          </w:p>
        </w:tc>
        <w:tc>
          <w:tcPr>
            <w:tcW w:w="872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领导层</w:t>
            </w:r>
          </w:p>
        </w:tc>
        <w:tc>
          <w:tcPr>
            <w:tcW w:w="3407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对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初审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问题整改情况的确认；事故事件及起处理情况，质量、环境安全监测情况、使用情况等</w:t>
            </w:r>
          </w:p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对被暂停客户进行跟踪审核，验证被暂停原因是否已消除，以确定是否恢复认证注册资格。</w:t>
            </w:r>
          </w:p>
        </w:tc>
        <w:tc>
          <w:tcPr>
            <w:tcW w:w="3271" w:type="dxa"/>
          </w:tcPr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A审核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:4.1/4.2/4.3/4.4/5.1/5.2/5.3/6.1/6.2/6.3/7.1.1/9.1.1/9.3/10.1/10.3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EC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:3.1/3.2/3.3/3.4/4.1/4.2/4.3/12.1/12.3/12.4/12.5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C审核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4.1/4.2/4.3/4.4/5.1/5.2/5.3/6.1/6.2/7.1.1/9.1.1/9.3/10.1/10.3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64" w:type="dxa"/>
            <w:tcBorders>
              <w:right w:val="single" w:color="auto" w:sz="8" w:space="0"/>
            </w:tcBorders>
            <w:vAlign w:val="top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AB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13:00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872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办公室/财务部</w:t>
            </w:r>
          </w:p>
        </w:tc>
        <w:tc>
          <w:tcPr>
            <w:tcW w:w="3407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组织的岗位、职责权限；目标、方案；环境因素/危险源识别评价；文件化信息；人员、组织知识；能力；意识；沟通；员工的参与和协商；产品和服务要求；顾客满意；运行控制；应急准备和响应；合规义务；法律法规要求；绩效的监视和测量；合规性评价；内部审核；不合格及纠正和预防措施控制</w:t>
            </w:r>
          </w:p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271" w:type="dxa"/>
            <w:shd w:val="clear" w:color="auto" w:fill="F2DCDC" w:themeFill="accent2" w:themeFillTint="32"/>
          </w:tcPr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A审核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Q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5.3/6.2/8.2/9.1.2/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9.1.3/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9.2/10.2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EC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4.3/3.2.3/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3.2.4/6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/10.7.4/12.1/12.2/12.3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/12.5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B审核：EO: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5.3/6.2/6.1.2/6.1.3/8.1/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8.2/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9.1/9.2/10.2；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O5.4</w:t>
            </w:r>
          </w:p>
        </w:tc>
        <w:tc>
          <w:tcPr>
            <w:tcW w:w="96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AB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12-26</w:t>
            </w:r>
          </w:p>
        </w:tc>
        <w:tc>
          <w:tcPr>
            <w:tcW w:w="1250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: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872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3407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组织的岗位、职责权限；目标、方案；环境因素/危险源识别评价；基础设施；运行环境；监视和测量资源；运行的策划和控制；产品和服务的设计和开发；生产和服务控制；产品和服务的放行；不合格品的控制；运行控制；应急准备和响应</w:t>
            </w:r>
          </w:p>
        </w:tc>
        <w:tc>
          <w:tcPr>
            <w:tcW w:w="3271" w:type="dxa"/>
            <w:shd w:val="clear" w:color="auto" w:fill="C7DAF1" w:themeFill="text2" w:themeFillTint="32"/>
          </w:tcPr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审核Q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5.3/6.2/7.1.3/7.1.4/7.1.5/8.1/8.3/8.4/8.5/8.6/8.7</w:t>
            </w:r>
          </w:p>
          <w:p>
            <w:pPr>
              <w:jc w:val="left"/>
              <w:rPr>
                <w:rFonts w:hint="eastAsia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EC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4.3/3.2.3/7/8/9/10/11/12.5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B审核: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5.3/6.2/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6.1.2/8.1/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8.2</w:t>
            </w:r>
          </w:p>
        </w:tc>
        <w:tc>
          <w:tcPr>
            <w:tcW w:w="964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AB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76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12-27</w:t>
            </w:r>
          </w:p>
        </w:tc>
        <w:tc>
          <w:tcPr>
            <w:tcW w:w="1250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08:30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-16:00</w:t>
            </w:r>
          </w:p>
        </w:tc>
        <w:tc>
          <w:tcPr>
            <w:tcW w:w="872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在建项目部</w:t>
            </w:r>
          </w:p>
        </w:tc>
        <w:tc>
          <w:tcPr>
            <w:tcW w:w="3407" w:type="dxa"/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组织的岗位、职责权限；目标、方案；环境因素/危险源识别评价；基础设施；运行环境；监视和测量资源；运行的策划和控制；生产和服务控制；产品和服务的放行；不合格品的控制；运行控制；应急准备和响应</w:t>
            </w:r>
          </w:p>
        </w:tc>
        <w:tc>
          <w:tcPr>
            <w:tcW w:w="3271" w:type="dxa"/>
            <w:shd w:val="clear" w:color="auto" w:fill="F2DCDC" w:themeFill="accent2" w:themeFillTint="32"/>
          </w:tcPr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审核Q5.3/6.2/7.1.3/7.1.4/7.1.5/8.1/8.4/8.5/8.6/8.7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EC4.3/3.2.3/7.1/7.3/7.4/8.3/8.4/8.5/9.3/9.4/10/11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EO: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6.1.2/8.1</w:t>
            </w:r>
          </w:p>
          <w:p>
            <w:pPr>
              <w:jc w:val="left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B审核EO5.3/6.2/8.2</w:t>
            </w:r>
          </w:p>
        </w:tc>
        <w:tc>
          <w:tcPr>
            <w:tcW w:w="964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AB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6:00-17:00</w:t>
            </w:r>
          </w:p>
        </w:tc>
        <w:tc>
          <w:tcPr>
            <w:tcW w:w="872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407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审核组整理资料和管代沟通</w:t>
            </w:r>
          </w:p>
        </w:tc>
        <w:tc>
          <w:tcPr>
            <w:tcW w:w="3271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64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AB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:00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872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407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会议</w:t>
            </w:r>
          </w:p>
        </w:tc>
        <w:tc>
          <w:tcPr>
            <w:tcW w:w="3271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审核发现宣告</w:t>
            </w:r>
          </w:p>
        </w:tc>
        <w:tc>
          <w:tcPr>
            <w:tcW w:w="964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AB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6" w:type="dxa"/>
            <w:tcBorders>
              <w:lef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:00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-13:00</w:t>
            </w:r>
          </w:p>
        </w:tc>
        <w:tc>
          <w:tcPr>
            <w:tcW w:w="872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3407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休息</w:t>
            </w:r>
          </w:p>
        </w:tc>
        <w:tc>
          <w:tcPr>
            <w:tcW w:w="3271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color="auto" w:sz="8" w:space="0"/>
            </w:tcBorders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873FA4"/>
    <w:rsid w:val="1D060785"/>
    <w:rsid w:val="1D8F15E3"/>
    <w:rsid w:val="1E852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2023-01-02T00:12:29Z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