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-873760</wp:posOffset>
            </wp:positionV>
            <wp:extent cx="7402195" cy="10688955"/>
            <wp:effectExtent l="0" t="0" r="1905" b="4445"/>
            <wp:wrapNone/>
            <wp:docPr id="1" name="图片 1" descr="扫描全能王 2023-01-16 15.2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16 15.20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0174-2019-2023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82"/>
        <w:gridCol w:w="1910"/>
        <w:gridCol w:w="1520"/>
        <w:gridCol w:w="641"/>
        <w:gridCol w:w="479"/>
        <w:gridCol w:w="10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1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±0.03%</w:t>
            </w:r>
          </w:p>
        </w:tc>
        <w:tc>
          <w:tcPr>
            <w:tcW w:w="2161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61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HW2000DH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红外碳硫分析仪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碳含量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0.0010％―10.000%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±0.005%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RDXSM</w:t>
            </w:r>
            <w:r>
              <w:rPr>
                <w:rFonts w:hint="eastAsia" w:ascii="Times New Roman" w:hAnsi="Times New Roman" w:cs="Times New Roman"/>
                <w:szCs w:val="21"/>
              </w:rPr>
              <w:t>-201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RDXSM-2019-01《碳硫测定测量过程控制规范》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）℃，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相对湿度：小于75%HRC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郑艳萍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3CA6851"/>
    <w:rsid w:val="59201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2023-01-16T08:32:13Z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903E23EEE9584CB1AB548FA49DC805E1</vt:lpwstr>
  </property>
</Properties>
</file>