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江西方迪科技有限公司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E：33.02.01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程传迪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both"/>
              <w:rPr>
                <w:rFonts w:hint="eastAsia" w:ascii="楷体" w:hAnsi="楷体" w:eastAsia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系统分析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基本设计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详细设计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单体开发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结合测试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系统测试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楷体" w:hAnsi="楷体" w:eastAsia="楷体"/>
                <w:color w:val="000000"/>
                <w:kern w:val="2"/>
                <w:sz w:val="24"/>
                <w:szCs w:val="24"/>
                <w:lang w:val="en-US" w:eastAsia="zh-CN" w:bidi="ar-SA"/>
              </w:rPr>
              <w:t>试运行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正式运行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经识别公司无特殊过程，无外包过程，服务过程执行：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安全教育管理制度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仓库安全管理制度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消防安全管理制度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劳动防护用品管理制度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职业健康体检管理制度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等来控制风险的发生。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重要环境因素：潜在的火灾、固废排放，按管理方案和制度进行控制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不可接受风险：火灾、触电和意外伤害，按应急预案和管理制度进行控制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楷体"/>
                <w:b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电磁辐射环境保护管理办法</w:t>
            </w:r>
            <w:r>
              <w:rPr>
                <w:rFonts w:hint="eastAsia" w:ascii="楷体" w:hAnsi="楷体" w:eastAsia="楷体" w:cs="楷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</w:rPr>
              <w:t>消防安全标志设置要求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</w:rPr>
              <w:t>数值修约规则与极限数值的表示和判定</w:t>
            </w:r>
            <w:r>
              <w:rPr>
                <w:rFonts w:hint="eastAsia" w:ascii="楷体" w:hAnsi="楷体" w:eastAsia="楷体" w:cs="楷体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</w:rPr>
              <w:t>系统与软件工程 系统与软件质量要求和评价(SQuaRE) 第10部分:系统与软件质量模型</w:t>
            </w:r>
            <w:r>
              <w:rPr>
                <w:rFonts w:hint="eastAsia" w:ascii="楷体" w:hAnsi="楷体" w:eastAsia="楷体" w:cs="楷体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信息技术 系统及软件完整性级别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程传迪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2020.4.2</w:t>
      </w:r>
      <w:r>
        <w:rPr>
          <w:rFonts w:ascii="宋体"/>
          <w:b/>
          <w:sz w:val="22"/>
          <w:szCs w:val="22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2020.4.2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A347E49"/>
    <w:rsid w:val="4CA3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小小</cp:lastModifiedBy>
  <dcterms:modified xsi:type="dcterms:W3CDTF">2020-04-16T07:22:34Z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