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868"/>
        <w:gridCol w:w="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过程与活动、</w:t>
            </w:r>
          </w:p>
          <w:p>
            <w:pPr>
              <w:jc w:val="center"/>
              <w:rPr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涉及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条款</w:t>
            </w:r>
          </w:p>
        </w:tc>
        <w:tc>
          <w:tcPr>
            <w:tcW w:w="10868" w:type="dxa"/>
            <w:vAlign w:val="center"/>
          </w:tcPr>
          <w:p>
            <w:pPr>
              <w:rPr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受审核部门：</w:t>
            </w:r>
            <w:r>
              <w:rPr>
                <w:rFonts w:hint="eastAsia"/>
                <w:b/>
                <w:bCs/>
                <w:sz w:val="24"/>
                <w:szCs w:val="24"/>
                <w:highlight w:val="none"/>
                <w:lang w:val="en-US" w:eastAsia="zh-CN"/>
              </w:rPr>
              <w:t>技术质量部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  <w:highlight w:val="none"/>
              </w:rPr>
              <w:t>主管领导/陪同人员</w:t>
            </w:r>
            <w:r>
              <w:rPr>
                <w:rFonts w:hint="eastAsia"/>
                <w:sz w:val="24"/>
                <w:szCs w:val="24"/>
                <w:highlight w:val="none"/>
                <w:lang w:eastAsia="zh-CN"/>
              </w:rPr>
              <w:t>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武建明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唐蔚林</w:t>
            </w:r>
          </w:p>
        </w:tc>
        <w:tc>
          <w:tcPr>
            <w:tcW w:w="721" w:type="dxa"/>
            <w:vMerge w:val="restart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pacing w:before="12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审核员：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张磊               </w:t>
            </w:r>
            <w:r>
              <w:rPr>
                <w:rFonts w:hint="eastAsia"/>
                <w:sz w:val="24"/>
                <w:szCs w:val="24"/>
                <w:highlight w:val="none"/>
              </w:rPr>
              <w:t>审核时间：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2023.1.10</w:t>
            </w:r>
          </w:p>
        </w:tc>
        <w:tc>
          <w:tcPr>
            <w:tcW w:w="721" w:type="dxa"/>
            <w:vMerge w:val="continue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napToGrid w:val="0"/>
              <w:spacing w:line="240" w:lineRule="exact"/>
              <w:rPr>
                <w:rFonts w:hint="eastAsia" w:ascii="Times New Roman" w:hAnsi="Times New Roman" w:cs="Times New Roman"/>
                <w:sz w:val="20"/>
                <w:lang w:val="de-D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涉及标准条款：</w:t>
            </w:r>
            <w:r>
              <w:rPr>
                <w:rFonts w:hint="eastAsia" w:ascii="Times New Roman" w:hAnsi="Times New Roman" w:cs="Times New Roman"/>
                <w:sz w:val="20"/>
                <w:lang w:val="de-DE"/>
              </w:rPr>
              <w:t>QMS-2015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5.3岗位/职责 /权限；6.2质量目标及其实现的策划；7.1.5监视和测量资源；8.6产品和服务放行；8.7不合格输出的控制；</w:t>
            </w:r>
            <w:r>
              <w:rPr>
                <w:rFonts w:ascii="宋体" w:hAnsi="宋体" w:cs="新宋体"/>
                <w:sz w:val="18"/>
                <w:szCs w:val="18"/>
              </w:rPr>
              <w:t xml:space="preserve"> </w:t>
            </w:r>
          </w:p>
          <w:p>
            <w:pPr>
              <w:snapToGrid w:val="0"/>
              <w:spacing w:line="240" w:lineRule="exact"/>
              <w:rPr>
                <w:rFonts w:hint="eastAsia" w:ascii="Times New Roman" w:hAnsi="Times New Roman" w:cs="Times New Roman"/>
                <w:sz w:val="20"/>
                <w:lang w:val="de-DE"/>
              </w:rPr>
            </w:pPr>
            <w:r>
              <w:rPr>
                <w:rFonts w:hint="eastAsia" w:ascii="Times New Roman" w:hAnsi="Times New Roman" w:cs="Times New Roman"/>
                <w:sz w:val="20"/>
                <w:lang w:val="de-DE"/>
              </w:rPr>
              <w:t xml:space="preserve">EMS-2015 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5.3组织的角色、职责和权限、6.1.2环境因素；6.2目标及其达成的策划；8.1运行策划和控制；8.2应急准备和响应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/>
                <w:sz w:val="20"/>
                <w:lang w:val="de-DE"/>
              </w:rPr>
              <w:t>ISO 45001：2018</w:t>
            </w:r>
          </w:p>
          <w:p>
            <w:pPr>
              <w:snapToGrid w:val="0"/>
              <w:spacing w:line="260" w:lineRule="exact"/>
              <w:rPr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5.3组织的角色、职责和权限；6.1.2危险源辨识和职业安全风险评价；6.2目标及其实现的策划；8.1运行策划和控制；8.2应急准备和响应；</w:t>
            </w:r>
          </w:p>
        </w:tc>
        <w:tc>
          <w:tcPr>
            <w:tcW w:w="721" w:type="dxa"/>
            <w:vMerge w:val="continue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组织的岗位职责和权限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QE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5.3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该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部门主要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负责公司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设备的维护保养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工作环境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产品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和技术服务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实现的策划；产品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生产质量和技术服务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的控制、不合格和纠正措施及相应环境和职业健康安全的运行控制。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与部门负责人沟通，了解本部门的职责权限。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目标及其实现的策划总要求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QE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6.2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提供《目标分解考核记录》，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主要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目标有:</w:t>
            </w:r>
          </w:p>
          <w:p>
            <w:pPr>
              <w:pStyle w:val="2"/>
              <w:ind w:firstLine="920" w:firstLineChars="40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目标                           考核结果</w:t>
            </w:r>
          </w:p>
          <w:p>
            <w:pPr>
              <w:numPr>
                <w:ilvl w:val="0"/>
                <w:numId w:val="0"/>
              </w:numPr>
              <w:spacing w:line="280" w:lineRule="exact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产品出合格率100%                              100%</w:t>
            </w:r>
          </w:p>
          <w:p>
            <w:pPr>
              <w:pStyle w:val="2"/>
              <w:ind w:firstLine="230" w:firstLineChars="1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原材料检测合格率95%</w:t>
            </w:r>
            <w:r>
              <w:rPr>
                <w:rFonts w:hint="eastAsia"/>
                <w:lang w:val="en-US" w:eastAsia="zh-CN"/>
              </w:rPr>
              <w:t xml:space="preserve">                     98%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Cs w:val="0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 w:val="0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cs="宋体"/>
                <w:bCs w:val="0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固体废弃物分类收集</w:t>
            </w:r>
            <w:r>
              <w:rPr>
                <w:rFonts w:hint="eastAsia" w:ascii="宋体" w:hAnsi="宋体" w:eastAsia="宋体" w:cs="宋体"/>
                <w:bCs w:val="0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 </w:t>
            </w:r>
            <w:r>
              <w:rPr>
                <w:rFonts w:hint="eastAsia" w:ascii="宋体" w:hAnsi="宋体" w:cs="宋体"/>
                <w:bCs w:val="0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                         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100%</w:t>
            </w:r>
            <w:r>
              <w:rPr>
                <w:rFonts w:hint="eastAsia" w:ascii="宋体" w:hAnsi="宋体" w:eastAsia="宋体" w:cs="宋体"/>
                <w:bCs w:val="0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                   </w:t>
            </w:r>
          </w:p>
          <w:p>
            <w:pPr>
              <w:spacing w:line="280" w:lineRule="exact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安全用电避免事故发生                            0</w:t>
            </w:r>
          </w:p>
          <w:p>
            <w:pPr>
              <w:pStyle w:val="2"/>
              <w:rPr>
                <w:rFonts w:hint="default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部门分解目标与公司方针一致，可测量，并传达到部门相关人员，必要时适时更新，目前无变化。</w:t>
            </w:r>
          </w:p>
          <w:p>
            <w:pPr>
              <w:spacing w:line="280" w:lineRule="exact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提供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“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目标完成情况考核统计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”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，最近一次考核于20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，编制：盛文燕 2023.1.4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批准：陈辉 2023.1.4。完成情况：以上各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目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标均已达成。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针对环境、职业健康安全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的重要环境因素和重大危险源等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公司制定了相应的《管理方案》，内容涉及方法措施、执行部门、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需用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资金、启动/完成时间、完成情况等。如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对噪声采取生产设备按规定维护保养，控制噪声在正常范围内同时在厂房内生产不对相关方造成影响；固废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严格按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固废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控制规范进行处理。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针对火灾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配备有效的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消防栓、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灭火器等消防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、抢救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设施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并培训消防知识提高消防意识和能力。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安全操作隐患检查每月至少1次、现场每天检查操作规范性，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减轻管理体系运行对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环境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造成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影响和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防止因违规操作或违章造成意外伤害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等……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监视和测量资源</w:t>
            </w:r>
          </w:p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Q7.1.5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公司在《监视和测量设备管理程序》中进行了明确的规定，对检定的结果进行记录。</w:t>
            </w:r>
          </w:p>
          <w:p>
            <w:pPr>
              <w:spacing w:line="280" w:lineRule="exact"/>
              <w:ind w:firstLine="420" w:firstLineChars="200"/>
              <w:rPr>
                <w:rFonts w:hint="eastAsia" w:eastAsia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公司提供《监视和测量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设备</w:t>
            </w:r>
            <w:r>
              <w:rPr>
                <w:rFonts w:hint="eastAsia"/>
                <w:sz w:val="21"/>
                <w:szCs w:val="21"/>
                <w:highlight w:val="none"/>
              </w:rPr>
              <w:t>台帐》，主要有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压力表、百分表、千分表、角度尺、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 深度尺、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外径千分尺、游标卡尺</w:t>
            </w:r>
            <w:r>
              <w:rPr>
                <w:rFonts w:hint="eastAsia"/>
                <w:sz w:val="21"/>
                <w:szCs w:val="21"/>
                <w:highlight w:val="none"/>
              </w:rPr>
              <w:t>监视和测量设备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。</w:t>
            </w:r>
            <w:r>
              <w:rPr>
                <w:rFonts w:hint="eastAsia"/>
                <w:sz w:val="21"/>
                <w:szCs w:val="21"/>
                <w:highlight w:val="none"/>
              </w:rPr>
              <w:t>提供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湖南航测检测技术服务有限公司提供的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监测设备</w:t>
            </w:r>
            <w:r>
              <w:rPr>
                <w:rFonts w:hint="eastAsia"/>
                <w:sz w:val="21"/>
                <w:szCs w:val="21"/>
                <w:highlight w:val="none"/>
              </w:rPr>
              <w:t>检定合格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证书及证书号，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详请见附件</w:t>
            </w:r>
            <w:r>
              <w:rPr>
                <w:rFonts w:hint="eastAsia"/>
                <w:sz w:val="21"/>
                <w:szCs w:val="21"/>
                <w:highlight w:val="none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公司监视测量人员设备的保养，按说明书的要求使用人员自行负责。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现场查看监视测量设备使用、调整、搬运和储存均符合要求，查看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百分表、游标卡尺、千分尺等</w:t>
            </w:r>
            <w:r>
              <w:rPr>
                <w:rFonts w:hint="eastAsia"/>
                <w:sz w:val="21"/>
                <w:szCs w:val="21"/>
                <w:highlight w:val="none"/>
              </w:rPr>
              <w:t>无损坏，外观完好。</w:t>
            </w:r>
          </w:p>
          <w:p>
            <w:pPr>
              <w:pStyle w:val="2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查：杠杆百分表，证书编号：HC2210120515，校准日期：2022年10月12号</w:t>
            </w:r>
          </w:p>
          <w:p>
            <w:pPr>
              <w:pStyle w:val="2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 xml:space="preserve">    外径千分尺，证书编号：HC2210120511，校准日期：2022年10月12号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目前无计算机软件作为监视测量设备。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目前公司无封存和报废监视测量设备。</w:t>
            </w:r>
          </w:p>
        </w:tc>
        <w:tc>
          <w:tcPr>
            <w:tcW w:w="721" w:type="dxa"/>
          </w:tcPr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产品和服务的放行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Q8.6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公司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检验验收依据：国家/行业标准及顾客要求，详见Q8.1。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进货检验：</w:t>
            </w:r>
          </w:p>
          <w:p>
            <w:pPr>
              <w:numPr>
                <w:ilvl w:val="0"/>
                <w:numId w:val="0"/>
              </w:numPr>
              <w:spacing w:line="280" w:lineRule="exact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    影响产品质量的采购产品主要有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床身、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机壳、数控系统、电机等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采购产品到货检验提供了《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进货检验记录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》包括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对采购产品的产品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名称、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规格、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数量、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供方、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到货期、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技术要求、检验员姓名、检验指标、检验结果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等。</w:t>
            </w:r>
          </w:p>
          <w:p>
            <w:pPr>
              <w:spacing w:line="280" w:lineRule="exact"/>
              <w:ind w:firstLine="421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抽查2022-12-12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《进货检验记录》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，采购产品:弹性联轴器，数量35个，数量、规格、精密度等，检验结论：合格  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余悦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抽查2022-10-20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《进货检验记录》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，名称三爪自定心卡盘，数量10件，数量、精度等，检验结论：合格  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余悦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抽查2022-12-8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《进货检验记录》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，名称光机，数量4台，规格、配件附件清点、精度检测，检验结论：合格  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余悦</w:t>
            </w: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3524250</wp:posOffset>
                  </wp:positionH>
                  <wp:positionV relativeFrom="paragraph">
                    <wp:posOffset>29845</wp:posOffset>
                  </wp:positionV>
                  <wp:extent cx="3315970" cy="2707640"/>
                  <wp:effectExtent l="0" t="0" r="11430" b="10160"/>
                  <wp:wrapNone/>
                  <wp:docPr id="5" name="图片 5" descr="2c9cf0a40187797b5bcc790c7ac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c9cf0a40187797b5bcc790c7ac32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635885" cy="3513455"/>
                  <wp:effectExtent l="0" t="0" r="4445" b="5715"/>
                  <wp:docPr id="3" name="图片 3" descr="f325f2b5349d68b7614fde44b2eb9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325f2b5349d68b7614fde44b2eb9a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35885" cy="35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4339590" cy="2952115"/>
                  <wp:effectExtent l="0" t="0" r="3810" b="6985"/>
                  <wp:docPr id="6" name="图片 6" descr="96c41b7517a619c9c62b50ff198a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6c41b7517a619c9c62b50ff198a3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590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2、过程检验：</w:t>
            </w:r>
          </w:p>
          <w:p>
            <w:pPr>
              <w:spacing w:line="280" w:lineRule="exact"/>
              <w:ind w:firstLine="420" w:firstLineChars="200"/>
              <w:rPr>
                <w:rFonts w:hint="default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对生产过程外罩、电柜、操作系统等各工序组装的时间、质量状况进行抽检。详见生产部Q8.5.1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left="0" w:leftChars="0" w:firstLine="421" w:firstLineChars="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成品检验：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left="421" w:leftChars="0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检验项目：安装水平，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X、Y、Z轴线运动直线度、角度偏差，主轴轴向窜动，锥孔径向跳动，主轴轴线和Z轴轴线运动间的平行度，主轴轴线和Y轴轴线运动间的垂直度，双向定位精度，镗中心孔的精度，铣正方形四周的精度，铣圆的精度和圆度及外圆和内圆的同轴度，镗四组坐标孔位置精度等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left="421" w:leftChars="0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检验周期频率：对每件产品进行检验。</w:t>
            </w:r>
          </w:p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抽查2022年12月27号，产品型号：CAK 6156</w:t>
            </w:r>
            <w:r>
              <w:rPr>
                <w:rFonts w:hint="default" w:ascii="Arial" w:hAnsi="Arial" w:cs="Arial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1000，出厂编号：2022223的《合格证明书》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134870" cy="3723005"/>
                  <wp:effectExtent l="0" t="0" r="11430" b="10795"/>
                  <wp:docPr id="10" name="图片 10" descr="db562d750637092e56b814518600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b562d750637092e56b814518600de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5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115185" cy="3688080"/>
                  <wp:effectExtent l="0" t="0" r="5715" b="7620"/>
                  <wp:docPr id="15" name="图片 15" descr="8ce9e2f5317e65768d7124ec8372e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ce9e2f5317e65768d7124ec8372e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5196" b="10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425065" cy="3188335"/>
                  <wp:effectExtent l="0" t="0" r="635" b="12065"/>
                  <wp:docPr id="16" name="图片 16" descr="56340d4a6c2d6d39fd25e9c30c6a2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6340d4a6c2d6d39fd25e9c30c6a2f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0214" b="16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31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80" w:lineRule="exact"/>
              <w:ind w:left="421" w:leftChars="0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委托检验</w:t>
            </w:r>
            <w:bookmarkStart w:id="0" w:name="_GoBack"/>
            <w:bookmarkEnd w:id="0"/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不合格品控制</w:t>
            </w:r>
          </w:p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Q8.7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公司在《不合格品控制程序》中，对不合格品的处置方式、处置的职责和权限、不合格的评审方式、让步接受的办法及责任部门等均作了规定，抽查：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采购产品不合格品处置：一般作退货或调换处理，目前无。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/>
                <w:sz w:val="21"/>
                <w:szCs w:val="21"/>
                <w:highlight w:val="none"/>
              </w:rPr>
              <w:t>过程不合格品处置：一般返工处理，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目前无</w:t>
            </w:r>
            <w:r>
              <w:rPr>
                <w:rFonts w:hint="eastAsia"/>
                <w:sz w:val="21"/>
                <w:szCs w:val="21"/>
                <w:highlight w:val="none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产品不合格品处置：一般返工处理，目前无。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环境因素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危险源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E</w:t>
            </w:r>
            <w:r>
              <w:rPr>
                <w:rFonts w:hint="eastAsia"/>
                <w:bCs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/>
                <w:bCs/>
                <w:sz w:val="21"/>
                <w:szCs w:val="21"/>
                <w:highlight w:val="none"/>
              </w:rPr>
              <w:t>6.1.2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编制了《环境因素识别与评价控制程序》，采用是非判断法，规定重大环境因素评定。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提供《环境因素识别评价表》对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和办公活动生命周期全过程分别进行排查，考虑了大气污染、噪声污染、土壤污染、水污染、废弃物污染、能源和资源消耗、火灾等方面；从过去、现在、将来三种时态；正常、异常和紧急三种。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过程中的环境因素，除了本身在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中的环境因素外，公司也识别了能够施加影响的供方和客户的环境因素。另外，在采购产品的运输、使用、寿命结束后处理和最终处置相关的潜在重大环境影响。本部门识别的各区域环境因素有：噪声排放、固体废弃物排放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粉尘、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潜在火灾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水电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能源消耗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等。重要环境因素识别有：火灾、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固废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环境因素识别经核实，基本齐全。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编制了《危险源辨识和风险评价程序》，采用危险源级别判定标准，规定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重大危险源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判定。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提供《危险源辨识和风险评价表》对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各过程和办公活动分别进行辨识，考虑了触电、职业病伤害、意外伤害、火灾等方面；从过去、现在、将来三种时态；正常、异常和紧急三种状态识别危险源。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本部门识别的各区域危险源有：触电、意外伤害、火灾、交通事故等。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重大危险源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识别有：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触电、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火灾、意外伤害。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危险源识别经核实，基本齐全。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运行控制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E</w:t>
            </w:r>
            <w:r>
              <w:rPr>
                <w:rFonts w:hint="eastAsia"/>
                <w:bCs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/>
                <w:bCs/>
                <w:sz w:val="21"/>
                <w:szCs w:val="21"/>
                <w:highlight w:val="none"/>
              </w:rPr>
              <w:t>8.1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编制与环境、安全体系运行控制有关的文件有《环境运行控制程序》、《职业健康安全运行控制程序》、《相关方管理程序》等。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现场查见：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废水管控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检验过程无废水废液产生。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生活污水排放政府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污水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管网统一处理。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废气管控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color w:val="0000FF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检验过程无废气产生。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噪声管控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过程选用了低噪声的设备和工具，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同时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在厂房内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，加强设备的检查和维保，确保机械设备在正常工况下运行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，周围无环境敏感点。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固废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过程中主要为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拆包装桶和包装袋，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技质部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将以上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固废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放置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公司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固定位置，积攒一定量后出售有处理能力的单位</w:t>
            </w:r>
            <w:r>
              <w:rPr>
                <w:rFonts w:hint="eastAsia"/>
                <w:sz w:val="21"/>
                <w:szCs w:val="21"/>
                <w:highlight w:val="none"/>
              </w:rPr>
              <w:t>回收再利用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资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能源管控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000000"/>
              </w:rPr>
              <w:t>能源、资源消耗控制：在</w:t>
            </w:r>
            <w:r>
              <w:rPr>
                <w:rFonts w:hint="eastAsia" w:ascii="宋体" w:hAnsi="宋体"/>
                <w:color w:val="000000"/>
                <w:lang w:eastAsia="zh-CN"/>
              </w:rPr>
              <w:t>检验</w:t>
            </w:r>
            <w:r>
              <w:rPr>
                <w:rFonts w:hint="eastAsia" w:ascii="宋体" w:hAnsi="宋体"/>
                <w:color w:val="000000"/>
              </w:rPr>
              <w:t>过程中合理安排</w:t>
            </w:r>
            <w:r>
              <w:rPr>
                <w:rFonts w:hint="eastAsia" w:ascii="宋体" w:hAnsi="宋体"/>
                <w:color w:val="000000"/>
                <w:lang w:eastAsia="zh-CN"/>
              </w:rPr>
              <w:t>避免无序、重复检验</w:t>
            </w:r>
            <w:r>
              <w:rPr>
                <w:rFonts w:hint="eastAsia" w:ascii="宋体" w:hAnsi="宋体"/>
                <w:color w:val="000000"/>
              </w:rPr>
              <w:t>；现场杜绝用水跑冒滴漏，采用节水阀门和节能灯等节能设备。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潜在火灾管控</w:t>
            </w:r>
          </w:p>
          <w:p>
            <w:pPr>
              <w:spacing w:line="400" w:lineRule="exact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技质部楼道配有消防栓</w:t>
            </w:r>
            <w:r>
              <w:rPr>
                <w:rFonts w:hint="eastAsia"/>
                <w:szCs w:val="21"/>
                <w:lang w:val="en-US" w:eastAsia="zh-CN"/>
              </w:rPr>
              <w:t>、</w:t>
            </w:r>
            <w:r>
              <w:rPr>
                <w:rFonts w:hint="eastAsia"/>
                <w:szCs w:val="21"/>
              </w:rPr>
              <w:t>灭火器，均在有效期内，经了解未发生过触电和火灾事故</w:t>
            </w:r>
            <w:r>
              <w:rPr>
                <w:szCs w:val="21"/>
              </w:rPr>
              <w:t>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职业健康安全管控：</w:t>
            </w:r>
          </w:p>
          <w:p>
            <w:pPr>
              <w:spacing w:line="280" w:lineRule="exact"/>
              <w:ind w:firstLine="421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发放安全帽、工服、手套等劳保，</w:t>
            </w:r>
            <w:r>
              <w:rPr>
                <w:rFonts w:hint="eastAsia"/>
                <w:szCs w:val="21"/>
                <w:lang w:eastAsia="zh-CN"/>
              </w:rPr>
              <w:t>并能穿戴。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Cs w:val="21"/>
              </w:rPr>
              <w:t>提供公司与员工签订的劳动合同，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见审核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该条款记录。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Cs w:val="21"/>
              </w:rPr>
              <w:t>经了解</w:t>
            </w:r>
            <w:r>
              <w:rPr>
                <w:szCs w:val="21"/>
              </w:rPr>
              <w:t>公司为职工缴纳</w:t>
            </w:r>
            <w:r>
              <w:rPr>
                <w:rFonts w:hint="eastAsia"/>
                <w:szCs w:val="21"/>
                <w:lang w:eastAsia="zh-CN"/>
              </w:rPr>
              <w:t>社保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见审核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该条款记录。</w:t>
            </w:r>
          </w:p>
          <w:p>
            <w:pPr>
              <w:spacing w:line="280" w:lineRule="exact"/>
              <w:ind w:firstLine="421" w:firstLineChars="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按有关程序和要求通报供方和顾客，采用〈告知函〉方式通报。查到相关方告知书。</w:t>
            </w:r>
          </w:p>
          <w:p>
            <w:pPr>
              <w:spacing w:line="400" w:lineRule="exact"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经了解未发生相关方造成的环境污染以及职业健康安全问题情况。</w:t>
            </w:r>
          </w:p>
          <w:p>
            <w:pPr>
              <w:spacing w:line="280" w:lineRule="exact"/>
              <w:ind w:firstLine="421" w:firstLineChars="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运行控制基本有效。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应急准备和相应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E</w:t>
            </w:r>
            <w:r>
              <w:rPr>
                <w:rFonts w:hint="eastAsia"/>
                <w:bCs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/>
                <w:bCs/>
                <w:sz w:val="21"/>
                <w:szCs w:val="21"/>
                <w:highlight w:val="none"/>
              </w:rPr>
              <w:t>8.2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参加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组织的应急培训和演练，详见审核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该条款记录。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</w:tbl>
    <w:p>
      <w:pPr>
        <w:pStyle w:val="7"/>
      </w:pPr>
      <w:r>
        <w:rPr>
          <w:rFonts w:hint="eastAsia"/>
        </w:rPr>
        <w:t>说明：不符合标注N</w:t>
      </w: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QkH4RNgAAAALAQAADwAAAAAAAAABACAAAAAiAAAAZHJzL2Rvd25yZXYu&#10;eG1sUEsBAhQAFAAAAAgAh07iQDjWOELCAQAAdwMAAA4AAAAAAAAAAQAgAAAAJw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8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4"/>
        <w:rFonts w:hint="default"/>
        <w:w w:val="90"/>
      </w:rPr>
      <w:t>Beijing International Standard united Certification Co.,Ltd.</w:t>
    </w:r>
  </w:p>
  <w:p>
    <w:pPr>
      <w:pStyle w:val="8"/>
      <w:pBdr>
        <w:bottom w:val="none" w:color="auto" w:sz="0" w:space="1"/>
      </w:pBdr>
      <w:spacing w:line="320" w:lineRule="exact"/>
      <w:jc w:val="left"/>
    </w:pPr>
    <w:r>
      <w:rPr>
        <w:rStyle w:val="14"/>
        <w:rFonts w:hint="default"/>
        <w:w w:val="90"/>
      </w:rPr>
      <w:t xml:space="preserve">                 </w:t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97934B"/>
    <w:multiLevelType w:val="singleLevel"/>
    <w:tmpl w:val="A69793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50680E"/>
    <w:multiLevelType w:val="singleLevel"/>
    <w:tmpl w:val="0150680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ZWJiZGY2YjU2MmRhNjg4NDA1NWJhMzhhZTVmYzcifQ=="/>
  </w:docVars>
  <w:rsids>
    <w:rsidRoot w:val="009973B4"/>
    <w:rsid w:val="000237F6"/>
    <w:rsid w:val="0003373A"/>
    <w:rsid w:val="001A2D7F"/>
    <w:rsid w:val="00337922"/>
    <w:rsid w:val="00340867"/>
    <w:rsid w:val="00380837"/>
    <w:rsid w:val="003A198A"/>
    <w:rsid w:val="00410914"/>
    <w:rsid w:val="004D532C"/>
    <w:rsid w:val="00536930"/>
    <w:rsid w:val="00564E53"/>
    <w:rsid w:val="00644FE2"/>
    <w:rsid w:val="0067640C"/>
    <w:rsid w:val="006E678B"/>
    <w:rsid w:val="007757F3"/>
    <w:rsid w:val="007E6AEB"/>
    <w:rsid w:val="008973EE"/>
    <w:rsid w:val="00971600"/>
    <w:rsid w:val="009973B4"/>
    <w:rsid w:val="009C28C1"/>
    <w:rsid w:val="009F7EED"/>
    <w:rsid w:val="00AF0AAB"/>
    <w:rsid w:val="00BF597E"/>
    <w:rsid w:val="00C51A36"/>
    <w:rsid w:val="00C55228"/>
    <w:rsid w:val="00CE315A"/>
    <w:rsid w:val="00D06F59"/>
    <w:rsid w:val="00D8388C"/>
    <w:rsid w:val="00EB0164"/>
    <w:rsid w:val="00ED0F62"/>
    <w:rsid w:val="03011590"/>
    <w:rsid w:val="0320505F"/>
    <w:rsid w:val="04510B7D"/>
    <w:rsid w:val="08BF0232"/>
    <w:rsid w:val="08E60B71"/>
    <w:rsid w:val="0A8D103E"/>
    <w:rsid w:val="0ACE1CBC"/>
    <w:rsid w:val="0B451C47"/>
    <w:rsid w:val="0B4E6612"/>
    <w:rsid w:val="0E3E43E5"/>
    <w:rsid w:val="0E673B3C"/>
    <w:rsid w:val="0E891764"/>
    <w:rsid w:val="0F413AC7"/>
    <w:rsid w:val="108219C2"/>
    <w:rsid w:val="108A0D67"/>
    <w:rsid w:val="117E71EC"/>
    <w:rsid w:val="12245DB8"/>
    <w:rsid w:val="136314F4"/>
    <w:rsid w:val="13CA12D3"/>
    <w:rsid w:val="13CE6575"/>
    <w:rsid w:val="141304FE"/>
    <w:rsid w:val="14257908"/>
    <w:rsid w:val="14D454BA"/>
    <w:rsid w:val="14FD6176"/>
    <w:rsid w:val="15D53416"/>
    <w:rsid w:val="162B5F34"/>
    <w:rsid w:val="179470C0"/>
    <w:rsid w:val="188C6160"/>
    <w:rsid w:val="19BD6015"/>
    <w:rsid w:val="1A5C1BE8"/>
    <w:rsid w:val="1B3E39A3"/>
    <w:rsid w:val="1B71487F"/>
    <w:rsid w:val="1B9E43FA"/>
    <w:rsid w:val="1BD854B1"/>
    <w:rsid w:val="1BEC3BF1"/>
    <w:rsid w:val="1D85741F"/>
    <w:rsid w:val="1DE60924"/>
    <w:rsid w:val="1E847499"/>
    <w:rsid w:val="1F063599"/>
    <w:rsid w:val="1F1F7BA7"/>
    <w:rsid w:val="1FD7676E"/>
    <w:rsid w:val="23557E88"/>
    <w:rsid w:val="274E61F5"/>
    <w:rsid w:val="2767752B"/>
    <w:rsid w:val="27DF7CD6"/>
    <w:rsid w:val="28563B5D"/>
    <w:rsid w:val="2C703113"/>
    <w:rsid w:val="2EE93C61"/>
    <w:rsid w:val="2FEB299B"/>
    <w:rsid w:val="319610F9"/>
    <w:rsid w:val="32691255"/>
    <w:rsid w:val="32C11AD5"/>
    <w:rsid w:val="34041CDB"/>
    <w:rsid w:val="3438524B"/>
    <w:rsid w:val="34B32935"/>
    <w:rsid w:val="35C75C9A"/>
    <w:rsid w:val="375F34D7"/>
    <w:rsid w:val="37FB7F90"/>
    <w:rsid w:val="39952144"/>
    <w:rsid w:val="3AD826FA"/>
    <w:rsid w:val="3BD4497A"/>
    <w:rsid w:val="3C9E5B10"/>
    <w:rsid w:val="3DAD6D4F"/>
    <w:rsid w:val="3F0F3C1B"/>
    <w:rsid w:val="40285D69"/>
    <w:rsid w:val="414D774F"/>
    <w:rsid w:val="41842DAE"/>
    <w:rsid w:val="418A49D1"/>
    <w:rsid w:val="440643B1"/>
    <w:rsid w:val="44D10776"/>
    <w:rsid w:val="466F33FE"/>
    <w:rsid w:val="46B97919"/>
    <w:rsid w:val="48800E04"/>
    <w:rsid w:val="489C542B"/>
    <w:rsid w:val="494C5676"/>
    <w:rsid w:val="4ABE4B71"/>
    <w:rsid w:val="4BFF3076"/>
    <w:rsid w:val="4D943D2E"/>
    <w:rsid w:val="4E95570D"/>
    <w:rsid w:val="4EC64F08"/>
    <w:rsid w:val="4FF9693C"/>
    <w:rsid w:val="50886C2D"/>
    <w:rsid w:val="51543C71"/>
    <w:rsid w:val="52390AC9"/>
    <w:rsid w:val="56135BAC"/>
    <w:rsid w:val="56390FCA"/>
    <w:rsid w:val="58322D49"/>
    <w:rsid w:val="592F0962"/>
    <w:rsid w:val="59D5213B"/>
    <w:rsid w:val="5A526EF4"/>
    <w:rsid w:val="5AAA27E4"/>
    <w:rsid w:val="5BCC76FD"/>
    <w:rsid w:val="5BE53841"/>
    <w:rsid w:val="5CAB10AC"/>
    <w:rsid w:val="5CB37300"/>
    <w:rsid w:val="5DAB4DE2"/>
    <w:rsid w:val="5DE6570D"/>
    <w:rsid w:val="5EA12B9A"/>
    <w:rsid w:val="5ED74E33"/>
    <w:rsid w:val="5FF65830"/>
    <w:rsid w:val="63606581"/>
    <w:rsid w:val="65B47E80"/>
    <w:rsid w:val="661149EF"/>
    <w:rsid w:val="6612664F"/>
    <w:rsid w:val="66B7462A"/>
    <w:rsid w:val="68AC04FF"/>
    <w:rsid w:val="69EA7EC1"/>
    <w:rsid w:val="6A23146B"/>
    <w:rsid w:val="6BAC184E"/>
    <w:rsid w:val="6CA45EE1"/>
    <w:rsid w:val="6D53402F"/>
    <w:rsid w:val="70205029"/>
    <w:rsid w:val="702D7970"/>
    <w:rsid w:val="71065FD8"/>
    <w:rsid w:val="7333596B"/>
    <w:rsid w:val="73A00EA2"/>
    <w:rsid w:val="75A8368A"/>
    <w:rsid w:val="761F43CB"/>
    <w:rsid w:val="76373F2B"/>
    <w:rsid w:val="76E27F87"/>
    <w:rsid w:val="77310DBF"/>
    <w:rsid w:val="78741EB2"/>
    <w:rsid w:val="79C04904"/>
    <w:rsid w:val="79E2643B"/>
    <w:rsid w:val="7A3A268E"/>
    <w:rsid w:val="7B5C61FD"/>
    <w:rsid w:val="7C4566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Body Text Indent"/>
    <w:basedOn w:val="1"/>
    <w:qFormat/>
    <w:uiPriority w:val="0"/>
    <w:pPr>
      <w:ind w:firstLine="480" w:firstLineChars="200"/>
    </w:pPr>
    <w:rPr>
      <w:sz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 w:val="21"/>
    </w:rPr>
  </w:style>
  <w:style w:type="paragraph" w:styleId="6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Char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5">
    <w:name w:val="_Style 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2636</Words>
  <Characters>2855</Characters>
  <Lines>1</Lines>
  <Paragraphs>1</Paragraphs>
  <TotalTime>1</TotalTime>
  <ScaleCrop>false</ScaleCrop>
  <LinksUpToDate>false</LinksUpToDate>
  <CharactersWithSpaces>2893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春华秋实</cp:lastModifiedBy>
  <dcterms:modified xsi:type="dcterms:W3CDTF">2023-01-09T06:55:48Z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F0DA830CB4864BD78C41F22A3D8A3B4E</vt:lpwstr>
  </property>
</Properties>
</file>