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伍光华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2017-N1EMS-1219448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2018-N1OHSMS-1219448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ISC[S]0290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袁良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信丰杰丰农业发展有限公司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E:31.04.01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O:31.04.01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ISC-JSZJ-085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江西顺杰餐饮管理服务有限公司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信丰县大唐埠镇大塘村罗屋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341600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江西省赣州市信丰县大唐埠镇大塘村罗屋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341600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江西省赣州市信丰县大唐埠镇大塘村罗屋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341600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李仕伟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0797-3238288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李仕伟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李仕伟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2020年01月17日 上午至2020年01月18日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E：31.04.01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