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1258-2021-Q-2022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sz w:val="32"/>
          <w:szCs w:val="32"/>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河北恒讯达信息科技有限公司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pPr>
    </w:p>
    <w:p>
      <w:pPr>
        <w:pStyle w:val="2"/>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河北恒讯达信息科技有限公司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河北省石家庄市桥西区裕华西路128号乐活大厦B座20层2009室</w:t>
            </w:r>
            <w:bookmarkEnd w:id="6"/>
          </w:p>
        </w:tc>
        <w:tc>
          <w:tcPr>
            <w:tcW w:w="1242" w:type="dxa"/>
            <w:vMerge w:val="restart"/>
            <w:vAlign w:val="center"/>
          </w:tcPr>
          <w:p>
            <w:r>
              <w:rPr>
                <w:rFonts w:hint="eastAsia"/>
              </w:rPr>
              <w:t>邮编</w:t>
            </w:r>
          </w:p>
        </w:tc>
        <w:tc>
          <w:tcPr>
            <w:tcW w:w="1771" w:type="dxa"/>
          </w:tcPr>
          <w:p>
            <w:bookmarkStart w:id="7" w:name="注册邮编"/>
            <w:r>
              <w:t>050000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河北省石家庄市桥西区裕华西路128号乐活大厦B座20层2009室</w:t>
            </w:r>
            <w:bookmarkEnd w:id="8"/>
          </w:p>
        </w:tc>
        <w:tc>
          <w:tcPr>
            <w:tcW w:w="1242" w:type="dxa"/>
            <w:vMerge w:val="continue"/>
            <w:vAlign w:val="center"/>
          </w:tcPr>
          <w:p/>
        </w:tc>
        <w:tc>
          <w:tcPr>
            <w:tcW w:w="1771" w:type="dxa"/>
          </w:tcPr>
          <w:p>
            <w:bookmarkStart w:id="9" w:name="办公邮编"/>
            <w:r>
              <w:t>050000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刘丛</w:t>
            </w:r>
            <w:bookmarkEnd w:id="10"/>
          </w:p>
        </w:tc>
        <w:tc>
          <w:tcPr>
            <w:tcW w:w="1313" w:type="dxa"/>
            <w:vAlign w:val="center"/>
          </w:tcPr>
          <w:p>
            <w:r>
              <w:rPr>
                <w:rFonts w:hint="eastAsia"/>
              </w:rPr>
              <w:t>电话.</w:t>
            </w:r>
          </w:p>
        </w:tc>
        <w:tc>
          <w:tcPr>
            <w:tcW w:w="2180" w:type="dxa"/>
            <w:vAlign w:val="center"/>
          </w:tcPr>
          <w:p>
            <w:bookmarkStart w:id="11" w:name="联系人电话"/>
            <w:r>
              <w:t>17732190090</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魏永红</w:t>
            </w:r>
            <w:bookmarkEnd w:id="13"/>
          </w:p>
        </w:tc>
        <w:tc>
          <w:tcPr>
            <w:tcW w:w="1313" w:type="dxa"/>
            <w:vAlign w:val="center"/>
          </w:tcPr>
          <w:p>
            <w:r>
              <w:rPr>
                <w:rFonts w:hint="eastAsia"/>
              </w:rPr>
              <w:t>管理者代表</w:t>
            </w:r>
          </w:p>
        </w:tc>
        <w:tc>
          <w:tcPr>
            <w:tcW w:w="2180" w:type="dxa"/>
          </w:tcPr>
          <w:p>
            <w:bookmarkStart w:id="14" w:name="管理者代表"/>
            <w:r>
              <w:t>刘丛</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r>
              <w:rPr>
                <w:rFonts w:hint="eastAsia"/>
              </w:rPr>
              <w:t>受审核组织的班次：</w:t>
            </w:r>
            <w:r>
              <w:rPr>
                <w:rFonts w:hint="eastAsia"/>
                <w:lang w:eastAsia="zh-CN"/>
              </w:rPr>
              <w:t>☑</w:t>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rFonts w:hint="eastAsia" w:eastAsia="宋体"/>
                <w:lang w:val="en-US" w:eastAsia="zh-CN"/>
              </w:rPr>
            </w:pPr>
            <w:r>
              <w:rPr>
                <w:rFonts w:hint="eastAsia"/>
              </w:rPr>
              <w:t>确认受审核方管理体系覆盖的查产品范围与现场运作情况是否一致；</w:t>
            </w:r>
            <w:r>
              <w:rPr>
                <w:rFonts w:hint="eastAsia"/>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rPr>
            </w:pPr>
            <w:r>
              <w:rPr>
                <w:rFonts w:hint="eastAsia"/>
              </w:rPr>
              <w:t>网络安全等级保护测评：信息调研---方案设计、编制---现场测评---对方整改------复评---分析---编制报告。</w:t>
            </w:r>
          </w:p>
          <w:p>
            <w:r>
              <w:rPr>
                <w:rFonts w:hint="eastAsia"/>
              </w:rPr>
              <w:t>信息安全风险评估：信息调研---方案设计、编制（渗透方式）---渗透测试---分析评估---编制报告</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2022年12月22日 上午至2022年12月22日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eastAsia="zh-CN"/>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w:t>
            </w:r>
          </w:p>
        </w:tc>
        <w:tc>
          <w:tcPr>
            <w:tcW w:w="7831" w:type="dxa"/>
            <w:gridSpan w:val="3"/>
            <w:tcMar>
              <w:left w:w="113" w:type="dxa"/>
            </w:tcMar>
          </w:tcPr>
          <w:p>
            <w:pPr>
              <w:rPr>
                <w:rFonts w:ascii="宋体"/>
                <w:b/>
                <w:color w:val="0000FF"/>
                <w:szCs w:val="21"/>
              </w:rPr>
            </w:pPr>
            <w:r>
              <w:rPr>
                <w:b w:val="0"/>
                <w:bCs w:val="0"/>
                <w:sz w:val="21"/>
                <w:szCs w:val="21"/>
              </w:rPr>
              <w:t>河北省石家庄市桥西区裕华西路128号乐活大厦B座20层2009室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tc>
        <w:tc>
          <w:tcPr>
            <w:tcW w:w="5625" w:type="dxa"/>
            <w:gridSpan w:val="3"/>
            <w:vMerge w:val="restart"/>
            <w:vAlign w:val="center"/>
          </w:tcPr>
          <w:p>
            <w:bookmarkStart w:id="29" w:name="审核范围"/>
            <w:r>
              <w:t>信息安全技术服务（包含网络安全等级保护测评、信息安全风险评估）</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33.02.04</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2018</w:t>
            </w:r>
            <w:r>
              <w:rPr>
                <w:rFonts w:hint="eastAsia"/>
              </w:rPr>
              <w:t>年</w:t>
            </w:r>
            <w:r>
              <w:rPr>
                <w:rFonts w:hint="eastAsia"/>
                <w:lang w:val="en-US" w:eastAsia="zh-CN"/>
              </w:rPr>
              <w:t>5</w:t>
            </w:r>
            <w:r>
              <w:rPr>
                <w:rFonts w:hint="eastAsia"/>
              </w:rPr>
              <w:t>月</w:t>
            </w:r>
            <w:r>
              <w:rPr>
                <w:rFonts w:hint="eastAsia"/>
                <w:lang w:val="en-US" w:eastAsia="zh-CN"/>
              </w:rPr>
              <w:t>15</w:t>
            </w:r>
            <w:r>
              <w:rPr>
                <w:rFonts w:hint="eastAsia"/>
              </w:rPr>
              <w:t>日</w:t>
            </w:r>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13-14</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2024</w:t>
            </w:r>
            <w:r>
              <w:rPr>
                <w:rFonts w:hint="eastAsia"/>
              </w:rPr>
              <w:t>年</w:t>
            </w:r>
            <w:r>
              <w:rPr>
                <w:rFonts w:hint="eastAsia"/>
                <w:lang w:val="en-US" w:eastAsia="zh-CN"/>
              </w:rPr>
              <w:t>12</w:t>
            </w:r>
            <w:r>
              <w:rPr>
                <w:rFonts w:hint="eastAsia"/>
              </w:rPr>
              <w:t>月</w:t>
            </w:r>
            <w:r>
              <w:rPr>
                <w:rFonts w:hint="eastAsia"/>
                <w:lang w:val="en-US" w:eastAsia="zh-CN"/>
              </w:rPr>
              <w:t>16</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117"/>
        <w:gridCol w:w="1827"/>
        <w:gridCol w:w="655"/>
        <w:gridCol w:w="2136"/>
        <w:gridCol w:w="1842"/>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19"/>
              <w:spacing w:before="0" w:after="0"/>
              <w:rPr>
                <w:rFonts w:eastAsia="黑体" w:cs="Arial"/>
                <w:bCs/>
                <w:sz w:val="21"/>
                <w:szCs w:val="21"/>
                <w:lang w:val="en-US" w:eastAsia="zh-CN"/>
              </w:rPr>
            </w:pPr>
            <w:r>
              <w:rPr>
                <w:rFonts w:eastAsia="黑体" w:cs="Arial"/>
                <w:sz w:val="21"/>
                <w:szCs w:val="21"/>
                <w:lang w:eastAsia="zh-CN"/>
              </w:rPr>
              <w:t>场所编号</w:t>
            </w:r>
          </w:p>
        </w:tc>
        <w:tc>
          <w:tcPr>
            <w:tcW w:w="2117"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bCs/>
                <w:sz w:val="21"/>
                <w:szCs w:val="21"/>
                <w:lang w:val="en-US" w:eastAsia="zh-CN"/>
              </w:rPr>
              <w:t>注册场所地址</w:t>
            </w:r>
          </w:p>
        </w:tc>
        <w:tc>
          <w:tcPr>
            <w:tcW w:w="1827"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sz w:val="21"/>
                <w:szCs w:val="21"/>
                <w:lang w:eastAsia="zh-CN"/>
              </w:rPr>
              <w:t>经营场所的地址</w:t>
            </w:r>
          </w:p>
        </w:tc>
        <w:tc>
          <w:tcPr>
            <w:tcW w:w="655"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sz w:val="21"/>
                <w:szCs w:val="21"/>
                <w:lang w:eastAsia="zh-CN"/>
              </w:rPr>
              <w:t>员工人数</w:t>
            </w:r>
          </w:p>
        </w:tc>
        <w:tc>
          <w:tcPr>
            <w:tcW w:w="2136" w:type="dxa"/>
            <w:shd w:val="clear" w:color="auto" w:fill="F3F3F3"/>
            <w:tcMar>
              <w:left w:w="57" w:type="dxa"/>
              <w:right w:w="57" w:type="dxa"/>
            </w:tcMar>
          </w:tcPr>
          <w:p>
            <w:pPr>
              <w:pStyle w:val="19"/>
              <w:spacing w:before="0" w:after="0"/>
              <w:jc w:val="left"/>
              <w:rPr>
                <w:rFonts w:eastAsia="黑体" w:cs="Arial"/>
                <w:sz w:val="21"/>
                <w:szCs w:val="21"/>
                <w:lang w:val="en-US"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tc>
        <w:tc>
          <w:tcPr>
            <w:tcW w:w="1842"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117" w:type="dxa"/>
          </w:tcPr>
          <w:p>
            <w:pPr>
              <w:spacing w:before="40" w:after="40"/>
              <w:rPr>
                <w:rFonts w:eastAsia="黑体"/>
                <w:szCs w:val="21"/>
                <w:lang w:val="de-DE" w:eastAsia="ja-JP"/>
              </w:rPr>
            </w:pPr>
            <w:r>
              <w:rPr>
                <w:b w:val="0"/>
                <w:bCs w:val="0"/>
                <w:sz w:val="21"/>
                <w:szCs w:val="21"/>
              </w:rPr>
              <w:t>河北省石家庄市桥西区裕华西路128号乐活大厦B座20层2009室</w:t>
            </w:r>
          </w:p>
        </w:tc>
        <w:tc>
          <w:tcPr>
            <w:tcW w:w="1827" w:type="dxa"/>
          </w:tcPr>
          <w:p>
            <w:pPr>
              <w:spacing w:before="40" w:after="40"/>
              <w:rPr>
                <w:rFonts w:eastAsia="黑体"/>
                <w:szCs w:val="21"/>
                <w:lang w:val="de-DE" w:eastAsia="ja-JP"/>
              </w:rPr>
            </w:pPr>
            <w:r>
              <w:rPr>
                <w:b w:val="0"/>
                <w:bCs w:val="0"/>
                <w:sz w:val="21"/>
                <w:szCs w:val="21"/>
              </w:rPr>
              <w:t>河北省石家庄市桥西区裕华西路128号乐活大厦B座20层2009室</w:t>
            </w:r>
          </w:p>
        </w:tc>
        <w:tc>
          <w:tcPr>
            <w:tcW w:w="655" w:type="dxa"/>
            <w:vAlign w:val="center"/>
          </w:tcPr>
          <w:p>
            <w:pPr>
              <w:spacing w:before="40" w:after="40"/>
              <w:rPr>
                <w:rFonts w:hint="default" w:eastAsia="黑体"/>
                <w:szCs w:val="21"/>
                <w:lang w:val="en-US" w:eastAsia="zh-CN"/>
              </w:rPr>
            </w:pPr>
            <w:r>
              <w:rPr>
                <w:rFonts w:hint="eastAsia" w:eastAsia="黑体"/>
                <w:szCs w:val="21"/>
                <w:lang w:val="en-US" w:eastAsia="zh-CN"/>
              </w:rPr>
              <w:t>45</w:t>
            </w:r>
          </w:p>
        </w:tc>
        <w:tc>
          <w:tcPr>
            <w:tcW w:w="2136" w:type="dxa"/>
            <w:vAlign w:val="center"/>
          </w:tcPr>
          <w:p>
            <w:pPr>
              <w:pStyle w:val="20"/>
              <w:rPr>
                <w:rFonts w:eastAsia="黑体" w:cs="Arial"/>
                <w:sz w:val="21"/>
                <w:szCs w:val="21"/>
                <w:lang w:val="en-US" w:eastAsia="ja-JP"/>
              </w:rPr>
            </w:pPr>
            <w:r>
              <w:rPr>
                <w:b w:val="0"/>
                <w:bCs w:val="0"/>
                <w:sz w:val="21"/>
                <w:szCs w:val="21"/>
              </w:rPr>
              <w:t>信息安全技术服务（包含网络安全等级保护测评、信息安全风险评估）</w:t>
            </w:r>
          </w:p>
        </w:tc>
        <w:tc>
          <w:tcPr>
            <w:tcW w:w="1842" w:type="dxa"/>
            <w:vAlign w:val="center"/>
          </w:tcPr>
          <w:p>
            <w:pPr>
              <w:spacing w:before="40" w:after="40"/>
              <w:rPr>
                <w:rFonts w:hint="default" w:eastAsia="黑体"/>
                <w:szCs w:val="21"/>
                <w:lang w:val="en-US" w:eastAsia="zh-CN"/>
              </w:rPr>
            </w:pPr>
            <w:r>
              <w:rPr>
                <w:rFonts w:hint="eastAsia" w:eastAsia="黑体"/>
                <w:szCs w:val="21"/>
                <w:lang w:val="en-US" w:eastAsia="zh-CN"/>
              </w:rPr>
              <w:t>GB/T 19001-2016</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default" w:ascii="Arial" w:hAnsi="Arial" w:eastAsia="黑体" w:cs="Arial"/>
                    <w:szCs w:val="21"/>
                  </w:rPr>
                  <w:t>×</w:t>
                </w:r>
                <w:r>
                  <w:rPr>
                    <w:rFonts w:ascii="MS Gothic" w:hAnsi="MS Gothic" w:eastAsia="黑体" w:cs="Segoe UI Symbol"/>
                    <w:szCs w:val="21"/>
                  </w:rPr>
                  <w:t>☐</w:t>
                </w:r>
              </w:p>
            </w:tc>
          </w:sdtContent>
        </w:sdt>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吉洁</w:t>
            </w:r>
          </w:p>
        </w:tc>
        <w:tc>
          <w:tcPr>
            <w:tcW w:w="1089" w:type="dxa"/>
            <w:vAlign w:val="center"/>
          </w:tcPr>
          <w:p>
            <w:r>
              <w:t>组长</w:t>
            </w:r>
          </w:p>
        </w:tc>
        <w:tc>
          <w:tcPr>
            <w:tcW w:w="711" w:type="dxa"/>
            <w:vAlign w:val="center"/>
          </w:tcPr>
          <w:p>
            <w:r>
              <w:t>女</w:t>
            </w:r>
          </w:p>
        </w:tc>
        <w:tc>
          <w:tcPr>
            <w:tcW w:w="3870" w:type="dxa"/>
            <w:vAlign w:val="center"/>
          </w:tcPr>
          <w:p>
            <w:r>
              <w:t>2022-N1QMS-4022240</w:t>
            </w:r>
          </w:p>
        </w:tc>
        <w:tc>
          <w:tcPr>
            <w:tcW w:w="2179" w:type="dxa"/>
            <w:vAlign w:val="center"/>
          </w:tcPr>
          <w:p>
            <w:r>
              <w:t>33.02.04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default" w:eastAsia="宋体"/>
                <w:lang w:val="en-US" w:eastAsia="zh-CN"/>
              </w:rPr>
            </w:pPr>
            <w:r>
              <w:rPr>
                <w:rFonts w:hint="eastAsia"/>
                <w:lang w:val="en-US" w:eastAsia="zh-CN"/>
              </w:rPr>
              <w:t>总经理、办公室负责人兼管理者代表发生了变更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lang w:eastAsia="zh-CN"/>
              </w:rPr>
              <w:t>☑</w:t>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cs="Times New Roman"/>
                <w:szCs w:val="21"/>
                <w:lang w:val="en-US" w:eastAsia="zh-CN"/>
              </w:rPr>
              <w:t>上次不符合为办公室7.1.6条款，经验证已改，未发现类似问题，措施有效。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pPr>
        <w:rPr>
          <w:rFonts w:hint="eastAsia" w:eastAsia="宋体"/>
          <w:lang w:val="en-US" w:eastAsia="zh-CN"/>
        </w:rPr>
      </w:pPr>
      <w:r>
        <w:rPr>
          <w:rFonts w:hint="eastAsia"/>
        </w:rPr>
        <w:t>八、已识别出的任何未解决的问题：</w:t>
      </w:r>
      <w:r>
        <w:rPr>
          <w:rFonts w:hint="eastAsia"/>
          <w:lang w:val="en-US" w:eastAsia="zh-CN"/>
        </w:rPr>
        <w:t>无</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pPr>
              <w:rPr>
                <w:rFonts w:hint="eastAsia" w:eastAsia="宋体"/>
                <w:lang w:val="en-US" w:eastAsia="zh-CN"/>
              </w:rPr>
            </w:pPr>
            <w:r>
              <w:rPr>
                <w:rFonts w:hint="eastAsia"/>
                <w:lang w:val="en-US" w:eastAsia="zh-CN"/>
              </w:rPr>
              <w:t>/</w:t>
            </w:r>
          </w:p>
        </w:tc>
        <w:tc>
          <w:tcPr>
            <w:tcW w:w="1717" w:type="dxa"/>
          </w:tcPr>
          <w:p>
            <w:pPr>
              <w:rPr>
                <w:rFonts w:hint="eastAsia" w:eastAsia="宋体"/>
                <w:lang w:val="en-US" w:eastAsia="zh-CN"/>
              </w:rPr>
            </w:pPr>
            <w:r>
              <w:rPr>
                <w:rFonts w:hint="eastAsia"/>
                <w:lang w:val="en-US" w:eastAsia="zh-CN"/>
              </w:rPr>
              <w:t>/</w:t>
            </w:r>
          </w:p>
        </w:tc>
        <w:tc>
          <w:tcPr>
            <w:tcW w:w="1560" w:type="dxa"/>
          </w:tcPr>
          <w:p>
            <w:pPr>
              <w:rPr>
                <w:rFonts w:hint="eastAsia" w:eastAsia="宋体"/>
                <w:lang w:val="en-US" w:eastAsia="zh-CN"/>
              </w:rPr>
            </w:pPr>
            <w:r>
              <w:rPr>
                <w:rFonts w:hint="eastAsia"/>
                <w:lang w:val="en-US" w:eastAsia="zh-CN"/>
              </w:rPr>
              <w:t>/</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w:t>
            </w:r>
          </w:p>
        </w:tc>
        <w:tc>
          <w:tcPr>
            <w:tcW w:w="1717" w:type="dxa"/>
          </w:tcPr>
          <w:p>
            <w:pPr>
              <w:rPr>
                <w:rFonts w:hint="eastAsia" w:eastAsia="宋体"/>
                <w:lang w:val="en-US" w:eastAsia="zh-CN"/>
              </w:rPr>
            </w:pPr>
            <w:r>
              <w:rPr>
                <w:rFonts w:hint="eastAsia"/>
                <w:lang w:val="en-US" w:eastAsia="zh-CN"/>
              </w:rPr>
              <w:t>/</w:t>
            </w:r>
          </w:p>
        </w:tc>
        <w:tc>
          <w:tcPr>
            <w:tcW w:w="1560" w:type="dxa"/>
          </w:tcPr>
          <w:p>
            <w:pPr>
              <w:rPr>
                <w:rFonts w:hint="eastAsia" w:eastAsia="宋体"/>
                <w:lang w:val="en-US" w:eastAsia="zh-CN"/>
              </w:rPr>
            </w:pPr>
            <w:r>
              <w:rPr>
                <w:rFonts w:hint="eastAsia"/>
                <w:lang w:val="en-US" w:eastAsia="zh-CN"/>
              </w:rPr>
              <w:t>/</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w:t>
            </w:r>
          </w:p>
        </w:tc>
        <w:tc>
          <w:tcPr>
            <w:tcW w:w="1717" w:type="dxa"/>
          </w:tcPr>
          <w:p>
            <w:pPr>
              <w:rPr>
                <w:rFonts w:hint="eastAsia" w:eastAsia="宋体"/>
                <w:lang w:val="en-US" w:eastAsia="zh-CN"/>
              </w:rPr>
            </w:pPr>
            <w:r>
              <w:rPr>
                <w:rFonts w:hint="eastAsia"/>
                <w:lang w:val="en-US" w:eastAsia="zh-CN"/>
              </w:rPr>
              <w:t>/</w:t>
            </w:r>
          </w:p>
        </w:tc>
        <w:tc>
          <w:tcPr>
            <w:tcW w:w="1560" w:type="dxa"/>
          </w:tcPr>
          <w:p>
            <w:pPr>
              <w:rPr>
                <w:rFonts w:hint="eastAsia" w:eastAsia="宋体"/>
                <w:lang w:val="en-US" w:eastAsia="zh-CN"/>
              </w:rPr>
            </w:pPr>
            <w:r>
              <w:rPr>
                <w:rFonts w:hint="eastAsia"/>
                <w:lang w:val="en-US" w:eastAsia="zh-CN"/>
              </w:rPr>
              <w:t>/</w:t>
            </w: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推荐保持认证注册(</w:t>
            </w:r>
            <w:r>
              <w:rPr>
                <w:rFonts w:hint="eastAsia"/>
                <w:lang w:eastAsia="zh-CN"/>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Pr>
              <w:rPr>
                <w:rFonts w:hint="default" w:eastAsia="宋体"/>
                <w:lang w:val="en-US" w:eastAsia="zh-CN"/>
              </w:rPr>
            </w:pPr>
            <w:r>
              <w:rPr>
                <w:rFonts w:hint="eastAsia"/>
                <w:lang w:val="en-US" w:eastAsia="zh-CN"/>
              </w:rPr>
              <w:t>吉洁</w:t>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2022年12月22日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lang w:eastAsia="zh-CN"/>
              </w:rPr>
              <w:t>□</w:t>
            </w:r>
            <w:r>
              <w:rPr>
                <w:rFonts w:hint="eastAsia"/>
              </w:rPr>
              <w:t>QMS体系建立以来</w:t>
            </w:r>
            <w:bookmarkStart w:id="34" w:name="_GoBack"/>
            <w:bookmarkEnd w:id="34"/>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绩效□工艺□设备</w:t>
                  </w:r>
                  <w:r>
                    <w:rPr>
                      <w:rFonts w:hint="eastAsia"/>
                      <w:lang w:eastAsia="zh-CN"/>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市场拓展</w:t>
            </w:r>
            <w:r>
              <w:rPr>
                <w:rFonts w:hint="eastAsia"/>
                <w:lang w:eastAsia="zh-CN"/>
              </w:rPr>
              <w:t>☑</w:t>
            </w:r>
            <w:r>
              <w:rPr>
                <w:rFonts w:hint="eastAsia"/>
              </w:rPr>
              <w:t>设备能力</w:t>
            </w:r>
            <w:r>
              <w:rPr>
                <w:rFonts w:hint="eastAsia"/>
                <w:lang w:eastAsia="zh-CN"/>
              </w:rPr>
              <w:t>☑</w:t>
            </w:r>
            <w:r>
              <w:rPr>
                <w:rFonts w:hint="eastAsia"/>
              </w:rPr>
              <w:t>人员能力</w:t>
            </w:r>
            <w:r>
              <w:rPr>
                <w:rFonts w:hint="eastAsia"/>
                <w:lang w:eastAsia="zh-CN"/>
              </w:rPr>
              <w:t>☑</w:t>
            </w:r>
            <w:r>
              <w:rPr>
                <w:rFonts w:hint="eastAsia"/>
              </w:rPr>
              <w:t>检测水平</w:t>
            </w:r>
            <w:r>
              <w:rPr>
                <w:rFonts w:hint="eastAsia"/>
                <w:lang w:eastAsia="zh-CN"/>
              </w:rPr>
              <w:t>☑</w:t>
            </w:r>
            <w:r>
              <w:rPr>
                <w:rFonts w:hint="eastAsia"/>
              </w:rPr>
              <w:t>合同评审</w:t>
            </w:r>
            <w:r>
              <w:rPr>
                <w:rFonts w:hint="eastAsia"/>
                <w:lang w:eastAsia="zh-CN"/>
              </w:rPr>
              <w:t>☑</w:t>
            </w:r>
            <w:r>
              <w:rPr>
                <w:rFonts w:hint="eastAsia"/>
              </w:rPr>
              <w:t>知识保密</w:t>
            </w:r>
          </w:p>
          <w:p>
            <w:pPr>
              <w:shd w:val="clear" w:color="auto" w:fill="C7DAF1" w:themeFill="text2" w:themeFillTint="32"/>
              <w:spacing w:before="40" w:after="40"/>
            </w:pPr>
            <w:r>
              <w:rPr>
                <w:rFonts w:hint="eastAsia"/>
                <w:lang w:eastAsia="zh-CN"/>
              </w:rPr>
              <w:t>☑</w:t>
            </w:r>
            <w:r>
              <w:rPr>
                <w:rFonts w:hint="eastAsia"/>
              </w:rPr>
              <w:t>新产品设计开发□原材料采购</w:t>
            </w:r>
            <w:r>
              <w:rPr>
                <w:rFonts w:hint="eastAsia"/>
                <w:lang w:eastAsia="zh-CN"/>
              </w:rPr>
              <w:t>☑</w:t>
            </w:r>
            <w:r>
              <w:rPr>
                <w:rFonts w:hint="eastAsia"/>
              </w:rPr>
              <w:t>外部供方控制</w:t>
            </w:r>
            <w:r>
              <w:rPr>
                <w:rFonts w:hint="eastAsia"/>
                <w:lang w:eastAsia="zh-CN"/>
              </w:rPr>
              <w:t>☑</w:t>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shd w:val="clear" w:color="auto" w:fill="C7DAF1" w:themeFill="text2" w:themeFillTint="32"/>
              <w:rPr>
                <w:u w:val="single"/>
              </w:rPr>
            </w:pPr>
            <w:r>
              <w:rPr>
                <w:rFonts w:hint="eastAsia" w:ascii="宋体" w:hAnsi="宋体"/>
                <w:b/>
              </w:rPr>
              <w:t>客观公正     方法科学     结果准确    服务最优</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w:t>
            </w:r>
            <w:r>
              <w:rPr>
                <w:rFonts w:hint="eastAsia"/>
                <w:lang w:val="en-US" w:eastAsia="zh-CN"/>
              </w:rPr>
              <w:t>测评部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default" w:ascii="Times New Roman" w:hAnsi="Times New Roman" w:eastAsia="宋体" w:cs="Times New Roman"/>
                      <w:szCs w:val="21"/>
                    </w:rPr>
                    <w:t>检查技术保障能力</w:t>
                  </w:r>
                </w:p>
              </w:tc>
              <w:tc>
                <w:tcPr>
                  <w:tcW w:w="3965" w:type="dxa"/>
                </w:tcPr>
                <w:p>
                  <w:pPr>
                    <w:shd w:val="clear" w:color="auto" w:fill="C7DAF1" w:themeFill="text2" w:themeFillTint="32"/>
                  </w:pPr>
                  <w:r>
                    <w:rPr>
                      <w:rFonts w:hint="default" w:ascii="Times New Roman" w:hAnsi="Times New Roman" w:eastAsia="宋体" w:cs="Times New Roman"/>
                      <w:szCs w:val="21"/>
                    </w:rPr>
                    <w:t>制定设备管理制度，定期进行外部校准，保养保护检测设备</w:t>
                  </w:r>
                </w:p>
              </w:tc>
              <w:tc>
                <w:tcPr>
                  <w:tcW w:w="1717" w:type="dxa"/>
                </w:tcPr>
                <w:p>
                  <w:pPr>
                    <w:shd w:val="clear" w:color="auto" w:fill="C7DAF1" w:themeFill="text2" w:themeFillTint="32"/>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default" w:ascii="Times New Roman" w:hAnsi="Times New Roman" w:eastAsia="宋体" w:cs="Times New Roman"/>
                      <w:szCs w:val="21"/>
                    </w:rPr>
                    <w:t>市场价格竞争（市场推广、投标等）</w:t>
                  </w:r>
                </w:p>
              </w:tc>
              <w:tc>
                <w:tcPr>
                  <w:tcW w:w="3965" w:type="dxa"/>
                </w:tcPr>
                <w:p>
                  <w:pPr>
                    <w:shd w:val="clear" w:color="auto" w:fill="C7DAF1" w:themeFill="text2" w:themeFillTint="32"/>
                  </w:pPr>
                  <w:r>
                    <w:rPr>
                      <w:rFonts w:hint="default" w:ascii="Times New Roman" w:hAnsi="Times New Roman" w:eastAsia="宋体" w:cs="Times New Roman"/>
                      <w:szCs w:val="21"/>
                    </w:rPr>
                    <w:t>在保障公司利益的前提下，尽可能提高产品性价比和制定较为可行的产品价格，以及更好的投标项目，趋于寻找利润更大的产品适用行业</w:t>
                  </w:r>
                </w:p>
              </w:tc>
              <w:tc>
                <w:tcPr>
                  <w:tcW w:w="1717" w:type="dxa"/>
                </w:tcPr>
                <w:p>
                  <w:pPr>
                    <w:shd w:val="clear" w:color="auto" w:fill="C7DAF1" w:themeFill="text2" w:themeFillTint="32"/>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default" w:ascii="Times New Roman" w:hAnsi="Times New Roman" w:eastAsia="宋体" w:cs="Times New Roman"/>
                      <w:szCs w:val="21"/>
                    </w:rPr>
                    <w:t>人员流失对于客户信息的泄露</w:t>
                  </w:r>
                </w:p>
              </w:tc>
              <w:tc>
                <w:tcPr>
                  <w:tcW w:w="3965" w:type="dxa"/>
                </w:tcPr>
                <w:p>
                  <w:pPr>
                    <w:shd w:val="clear" w:color="auto" w:fill="C7DAF1" w:themeFill="text2" w:themeFillTint="32"/>
                  </w:pPr>
                  <w:r>
                    <w:rPr>
                      <w:rFonts w:hint="default" w:ascii="Times New Roman" w:hAnsi="Times New Roman" w:eastAsia="宋体" w:cs="Times New Roman"/>
                      <w:szCs w:val="21"/>
                    </w:rPr>
                    <w:t>登记和统计客户信息，对于离职人员的工作交接和客户回访进行规定和要求。保证客户的不丢失</w:t>
                  </w:r>
                </w:p>
              </w:tc>
              <w:tc>
                <w:tcPr>
                  <w:tcW w:w="1717" w:type="dxa"/>
                </w:tcPr>
                <w:p>
                  <w:pPr>
                    <w:shd w:val="clear" w:color="auto" w:fill="C7DAF1" w:themeFill="text2" w:themeFillTint="32"/>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ascii="Times New Roman" w:hAnsi="Times New Roman" w:eastAsia="宋体" w:cs="Times New Roman"/>
                      <w:lang w:val="en-US" w:eastAsia="zh-CN"/>
                    </w:rPr>
                    <w:t>防疫要求</w:t>
                  </w:r>
                </w:p>
              </w:tc>
              <w:tc>
                <w:tcPr>
                  <w:tcW w:w="3965" w:type="dxa"/>
                </w:tcPr>
                <w:p>
                  <w:pPr>
                    <w:jc w:val="both"/>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制定疫情疾病的重大应急预案，</w:t>
                  </w:r>
                </w:p>
                <w:p>
                  <w:pPr>
                    <w:shd w:val="clear" w:color="auto" w:fill="C7DAF1" w:themeFill="text2" w:themeFillTint="32"/>
                  </w:pPr>
                  <w:r>
                    <w:rPr>
                      <w:rFonts w:hint="default" w:ascii="Times New Roman" w:hAnsi="Times New Roman" w:eastAsia="宋体" w:cs="Times New Roman"/>
                      <w:lang w:val="en-US" w:eastAsia="zh-CN"/>
                    </w:rPr>
                    <w:t>购置防护物资进行人员发放和佩戴检查；对外地人员归来进行先期自我隔离；发现疑似病例及时报告指定单位进行处理</w:t>
                  </w:r>
                </w:p>
              </w:tc>
              <w:tc>
                <w:tcPr>
                  <w:tcW w:w="1717" w:type="dxa"/>
                </w:tcPr>
                <w:p>
                  <w:pPr>
                    <w:shd w:val="clear" w:color="auto" w:fill="C7DAF1" w:themeFill="text2" w:themeFillTint="32"/>
                    <w:rPr>
                      <w:rFonts w:hint="eastAsia" w:eastAsia="宋体"/>
                      <w:lang w:val="en-US" w:eastAsia="zh-CN"/>
                    </w:rPr>
                  </w:pPr>
                  <w:r>
                    <w:rPr>
                      <w:rFonts w:hint="eastAsia"/>
                      <w:lang w:val="en-US" w:eastAsia="zh-CN"/>
                    </w:rPr>
                    <w:t>良好</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0"/>
              <w:gridCol w:w="956"/>
              <w:gridCol w:w="3492"/>
              <w:gridCol w:w="1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rPr>
                  </w:pPr>
                  <w:r>
                    <w:rPr>
                      <w:rFonts w:hint="eastAsia"/>
                      <w:color w:val="000000"/>
                      <w:szCs w:val="18"/>
                    </w:rPr>
                    <w:t>目标</w:t>
                  </w:r>
                </w:p>
              </w:tc>
              <w:tc>
                <w:tcPr>
                  <w:tcW w:w="1089" w:type="dxa"/>
                </w:tcPr>
                <w:p>
                  <w:pPr>
                    <w:widowControl/>
                    <w:spacing w:before="40"/>
                    <w:jc w:val="left"/>
                    <w:rPr>
                      <w:color w:val="000000"/>
                      <w:szCs w:val="18"/>
                    </w:rPr>
                  </w:pPr>
                  <w:r>
                    <w:rPr>
                      <w:rFonts w:hint="eastAsia"/>
                      <w:color w:val="000000"/>
                      <w:szCs w:val="18"/>
                    </w:rPr>
                    <w:t>考核频次</w:t>
                  </w:r>
                </w:p>
              </w:tc>
              <w:tc>
                <w:tcPr>
                  <w:tcW w:w="3975" w:type="dxa"/>
                </w:tcPr>
                <w:p>
                  <w:pPr>
                    <w:widowControl/>
                    <w:spacing w:before="40"/>
                    <w:jc w:val="left"/>
                    <w:rPr>
                      <w:color w:val="000000"/>
                      <w:szCs w:val="18"/>
                    </w:rPr>
                  </w:pPr>
                  <w:r>
                    <w:rPr>
                      <w:rFonts w:hint="eastAsia"/>
                      <w:color w:val="000000"/>
                      <w:szCs w:val="18"/>
                    </w:rPr>
                    <w:t>计算方法</w:t>
                  </w:r>
                </w:p>
              </w:tc>
              <w:tc>
                <w:tcPr>
                  <w:tcW w:w="2266" w:type="dxa"/>
                </w:tcPr>
                <w:p>
                  <w:pPr>
                    <w:widowControl/>
                    <w:spacing w:before="40"/>
                    <w:jc w:val="left"/>
                    <w:rPr>
                      <w:color w:val="000000"/>
                      <w:szCs w:val="18"/>
                    </w:rPr>
                  </w:pPr>
                  <w:r>
                    <w:rPr>
                      <w:rFonts w:hint="eastAsia"/>
                      <w:color w:val="000000"/>
                      <w:szCs w:val="18"/>
                    </w:rPr>
                    <w:t>完成情况（审核周期）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center"/>
                </w:tcPr>
                <w:p>
                  <w:pPr>
                    <w:spacing w:line="360" w:lineRule="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bCs/>
                      <w:kern w:val="1"/>
                      <w:sz w:val="18"/>
                      <w:szCs w:val="18"/>
                    </w:rPr>
                    <w:t>文件受控率100%</w:t>
                  </w:r>
                </w:p>
              </w:tc>
              <w:tc>
                <w:tcPr>
                  <w:tcW w:w="1089" w:type="dxa"/>
                </w:tcPr>
                <w:p>
                  <w:pPr>
                    <w:widowControl/>
                    <w:spacing w:before="40"/>
                    <w:jc w:val="left"/>
                    <w:rPr>
                      <w:color w:val="000000"/>
                      <w:szCs w:val="18"/>
                      <w:highlight w:val="cyan"/>
                    </w:rPr>
                  </w:pPr>
                  <w:r>
                    <w:rPr>
                      <w:rFonts w:hint="default" w:ascii="Times New Roman" w:hAnsi="Times New Roman" w:eastAsia="宋体" w:cs="Times New Roman"/>
                      <w:szCs w:val="21"/>
                    </w:rPr>
                    <w:t>每季度</w:t>
                  </w:r>
                </w:p>
              </w:tc>
              <w:tc>
                <w:tcPr>
                  <w:tcW w:w="3975" w:type="dxa"/>
                  <w:vAlign w:val="center"/>
                </w:tcPr>
                <w:p>
                  <w:pPr>
                    <w:spacing w:line="360" w:lineRule="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bCs/>
                      <w:kern w:val="1"/>
                      <w:sz w:val="18"/>
                      <w:szCs w:val="18"/>
                    </w:rPr>
                    <w:t>受控文件数÷总文件数*100</w:t>
                  </w:r>
                </w:p>
              </w:tc>
              <w:tc>
                <w:tcPr>
                  <w:tcW w:w="2266" w:type="dxa"/>
                  <w:vAlign w:val="top"/>
                </w:tcPr>
                <w:p>
                  <w:pPr>
                    <w:spacing w:line="360" w:lineRule="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Cs/>
                      <w:kern w:val="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center"/>
                </w:tcPr>
                <w:p>
                  <w:pP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bCs/>
                      <w:kern w:val="1"/>
                      <w:sz w:val="18"/>
                      <w:szCs w:val="18"/>
                    </w:rPr>
                    <w:t>培训计划执行率100%</w:t>
                  </w:r>
                </w:p>
              </w:tc>
              <w:tc>
                <w:tcPr>
                  <w:tcW w:w="1089" w:type="dxa"/>
                </w:tcPr>
                <w:p>
                  <w:pPr>
                    <w:widowControl/>
                    <w:spacing w:before="40"/>
                    <w:jc w:val="left"/>
                    <w:rPr>
                      <w:color w:val="000000"/>
                      <w:szCs w:val="18"/>
                      <w:highlight w:val="cyan"/>
                    </w:rPr>
                  </w:pPr>
                  <w:r>
                    <w:rPr>
                      <w:rFonts w:hint="default" w:ascii="Times New Roman" w:hAnsi="Times New Roman" w:eastAsia="宋体" w:cs="Times New Roman"/>
                      <w:szCs w:val="21"/>
                    </w:rPr>
                    <w:t>每季度</w:t>
                  </w:r>
                </w:p>
              </w:tc>
              <w:tc>
                <w:tcPr>
                  <w:tcW w:w="3975" w:type="dxa"/>
                  <w:vAlign w:val="center"/>
                </w:tcPr>
                <w:p>
                  <w:pP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bCs/>
                      <w:kern w:val="1"/>
                      <w:sz w:val="18"/>
                      <w:szCs w:val="18"/>
                    </w:rPr>
                    <w:t>培训计划执行数÷总策划数*100</w:t>
                  </w:r>
                </w:p>
              </w:tc>
              <w:tc>
                <w:tcPr>
                  <w:tcW w:w="2266" w:type="dxa"/>
                  <w:vAlign w:val="top"/>
                </w:tcPr>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center"/>
                </w:tcPr>
                <w:p>
                  <w:pPr>
                    <w:rPr>
                      <w:rFonts w:hint="default" w:ascii="Times New Roman" w:hAnsi="Times New Roman" w:eastAsia="宋体" w:cs="Times New Roman"/>
                      <w:bCs/>
                      <w:kern w:val="1"/>
                      <w:sz w:val="18"/>
                      <w:szCs w:val="18"/>
                      <w:lang w:val="en-US" w:eastAsia="zh-CN" w:bidi="ar-SA"/>
                    </w:rPr>
                  </w:pPr>
                  <w:r>
                    <w:rPr>
                      <w:rFonts w:hint="default" w:ascii="Times New Roman" w:hAnsi="Times New Roman" w:eastAsia="宋体" w:cs="Times New Roman"/>
                      <w:bCs/>
                      <w:kern w:val="1"/>
                      <w:sz w:val="18"/>
                      <w:szCs w:val="18"/>
                    </w:rPr>
                    <w:t>测评人员持证上岗率100%</w:t>
                  </w:r>
                </w:p>
              </w:tc>
              <w:tc>
                <w:tcPr>
                  <w:tcW w:w="1089" w:type="dxa"/>
                </w:tcPr>
                <w:p>
                  <w:pPr>
                    <w:widowControl/>
                    <w:spacing w:before="40"/>
                    <w:jc w:val="left"/>
                    <w:rPr>
                      <w:color w:val="000000"/>
                      <w:szCs w:val="18"/>
                      <w:highlight w:val="cyan"/>
                    </w:rPr>
                  </w:pPr>
                  <w:r>
                    <w:rPr>
                      <w:rFonts w:hint="default" w:ascii="Times New Roman" w:hAnsi="Times New Roman" w:eastAsia="宋体" w:cs="Times New Roman"/>
                      <w:szCs w:val="21"/>
                    </w:rPr>
                    <w:t>每季度</w:t>
                  </w:r>
                </w:p>
              </w:tc>
              <w:tc>
                <w:tcPr>
                  <w:tcW w:w="3975" w:type="dxa"/>
                  <w:vAlign w:val="center"/>
                </w:tcPr>
                <w:p>
                  <w:pPr>
                    <w:rPr>
                      <w:rFonts w:hint="default" w:ascii="Times New Roman" w:hAnsi="Times New Roman" w:eastAsia="宋体" w:cs="Times New Roman"/>
                      <w:bCs/>
                      <w:kern w:val="1"/>
                      <w:sz w:val="18"/>
                      <w:szCs w:val="18"/>
                      <w:lang w:val="en-US" w:eastAsia="zh-CN" w:bidi="ar-SA"/>
                    </w:rPr>
                  </w:pPr>
                  <w:r>
                    <w:rPr>
                      <w:rFonts w:hint="default" w:ascii="Times New Roman" w:hAnsi="Times New Roman" w:eastAsia="宋体" w:cs="Times New Roman"/>
                      <w:bCs/>
                      <w:kern w:val="1"/>
                      <w:sz w:val="18"/>
                      <w:szCs w:val="18"/>
                    </w:rPr>
                    <w:t>测评人员持证上岗人员÷总测评人员*100</w:t>
                  </w:r>
                </w:p>
              </w:tc>
              <w:tc>
                <w:tcPr>
                  <w:tcW w:w="2266" w:type="dxa"/>
                  <w:vAlign w:val="top"/>
                </w:tcPr>
                <w:p>
                  <w:pPr>
                    <w:rPr>
                      <w:rFonts w:hint="default" w:ascii="Times New Roman" w:hAnsi="Times New Roman" w:eastAsia="宋体" w:cs="Times New Roman"/>
                      <w:bCs/>
                      <w:kern w:val="1"/>
                      <w:sz w:val="21"/>
                      <w:szCs w:val="21"/>
                      <w:lang w:val="en-US" w:eastAsia="zh-CN" w:bidi="ar-SA"/>
                    </w:rPr>
                  </w:pPr>
                  <w:r>
                    <w:rPr>
                      <w:rFonts w:hint="default" w:ascii="Times New Roman" w:hAnsi="Times New Roman" w:eastAsia="宋体" w:cs="Times New Roma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center"/>
                </w:tcPr>
                <w:p>
                  <w:pPr>
                    <w:widowControl/>
                    <w:tabs>
                      <w:tab w:val="left" w:pos="840"/>
                    </w:tabs>
                    <w:spacing w:line="360" w:lineRule="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测评数据差错率＜0.5%</w:t>
                  </w:r>
                </w:p>
              </w:tc>
              <w:tc>
                <w:tcPr>
                  <w:tcW w:w="1089" w:type="dxa"/>
                </w:tcPr>
                <w:p>
                  <w:pPr>
                    <w:widowControl/>
                    <w:spacing w:before="40"/>
                    <w:jc w:val="left"/>
                    <w:rPr>
                      <w:color w:val="000000"/>
                      <w:szCs w:val="18"/>
                      <w:highlight w:val="cyan"/>
                    </w:rPr>
                  </w:pPr>
                  <w:r>
                    <w:rPr>
                      <w:rFonts w:hint="default" w:ascii="Times New Roman" w:hAnsi="Times New Roman" w:eastAsia="宋体" w:cs="Times New Roman"/>
                      <w:szCs w:val="21"/>
                    </w:rPr>
                    <w:t>每季度</w:t>
                  </w:r>
                </w:p>
              </w:tc>
              <w:tc>
                <w:tcPr>
                  <w:tcW w:w="3975" w:type="dxa"/>
                  <w:vAlign w:val="center"/>
                </w:tcPr>
                <w:p>
                  <w:pP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差错测评数据数目÷总测评数据数目*100</w:t>
                  </w:r>
                </w:p>
              </w:tc>
              <w:tc>
                <w:tcPr>
                  <w:tcW w:w="2266" w:type="dxa"/>
                  <w:vAlign w:val="top"/>
                </w:tcPr>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center"/>
                </w:tcPr>
                <w:p>
                  <w:pPr>
                    <w:spacing w:line="360" w:lineRule="auto"/>
                    <w:rPr>
                      <w:rFonts w:hint="default" w:ascii="Times New Roman" w:hAnsi="Times New Roman" w:eastAsia="宋体" w:cs="Times New Roman"/>
                      <w:bCs/>
                      <w:kern w:val="1"/>
                      <w:sz w:val="18"/>
                      <w:szCs w:val="18"/>
                      <w:lang w:val="en-US" w:eastAsia="zh-CN" w:bidi="ar-SA"/>
                    </w:rPr>
                  </w:pPr>
                  <w:r>
                    <w:rPr>
                      <w:rFonts w:hint="default" w:ascii="Times New Roman" w:hAnsi="Times New Roman" w:eastAsia="宋体" w:cs="Times New Roman"/>
                      <w:bCs/>
                      <w:kern w:val="1"/>
                      <w:sz w:val="18"/>
                      <w:szCs w:val="18"/>
                    </w:rPr>
                    <w:t>终测测评报告出具时间符合规定要求率100%</w:t>
                  </w:r>
                </w:p>
              </w:tc>
              <w:tc>
                <w:tcPr>
                  <w:tcW w:w="1089" w:type="dxa"/>
                </w:tcPr>
                <w:p>
                  <w:pPr>
                    <w:widowControl/>
                    <w:spacing w:before="40"/>
                    <w:jc w:val="left"/>
                    <w:rPr>
                      <w:color w:val="000000"/>
                      <w:szCs w:val="18"/>
                      <w:highlight w:val="cyan"/>
                    </w:rPr>
                  </w:pPr>
                  <w:r>
                    <w:rPr>
                      <w:rFonts w:hint="default" w:ascii="Times New Roman" w:hAnsi="Times New Roman" w:eastAsia="宋体" w:cs="Times New Roman"/>
                      <w:szCs w:val="21"/>
                    </w:rPr>
                    <w:t>每季度</w:t>
                  </w:r>
                </w:p>
              </w:tc>
              <w:tc>
                <w:tcPr>
                  <w:tcW w:w="3975" w:type="dxa"/>
                  <w:vAlign w:val="center"/>
                </w:tcPr>
                <w:p>
                  <w:pPr>
                    <w:spacing w:line="360" w:lineRule="auto"/>
                    <w:rPr>
                      <w:rFonts w:hint="default" w:ascii="Times New Roman" w:hAnsi="Times New Roman" w:eastAsia="宋体" w:cs="Times New Roman"/>
                      <w:bCs/>
                      <w:kern w:val="1"/>
                      <w:sz w:val="18"/>
                      <w:szCs w:val="18"/>
                      <w:lang w:val="en-US" w:eastAsia="zh-CN" w:bidi="ar-SA"/>
                    </w:rPr>
                  </w:pPr>
                  <w:r>
                    <w:rPr>
                      <w:rFonts w:hint="default" w:ascii="Times New Roman" w:hAnsi="Times New Roman" w:eastAsia="宋体" w:cs="Times New Roman"/>
                      <w:bCs/>
                      <w:kern w:val="1"/>
                      <w:sz w:val="18"/>
                      <w:szCs w:val="18"/>
                    </w:rPr>
                    <w:t>季度内终测报告出具时间符合规定要求数目</w:t>
                  </w:r>
                  <w:r>
                    <w:rPr>
                      <w:rFonts w:hint="default" w:ascii="Times New Roman" w:hAnsi="Times New Roman" w:eastAsia="宋体" w:cs="Times New Roman"/>
                      <w:sz w:val="18"/>
                      <w:szCs w:val="18"/>
                    </w:rPr>
                    <w:t>÷季度内总终测报告数目</w:t>
                  </w:r>
                  <w:r>
                    <w:rPr>
                      <w:rFonts w:hint="default" w:ascii="Times New Roman" w:hAnsi="Times New Roman" w:eastAsia="宋体" w:cs="Times New Roman"/>
                      <w:bCs/>
                      <w:kern w:val="1"/>
                      <w:sz w:val="18"/>
                      <w:szCs w:val="18"/>
                    </w:rPr>
                    <w:t>*100</w:t>
                  </w:r>
                </w:p>
              </w:tc>
              <w:tc>
                <w:tcPr>
                  <w:tcW w:w="2266" w:type="dxa"/>
                  <w:vAlign w:val="top"/>
                </w:tcPr>
                <w:p>
                  <w:pPr>
                    <w:rPr>
                      <w:rFonts w:hint="default" w:ascii="Times New Roman" w:hAnsi="Times New Roman" w:eastAsia="宋体" w:cs="Times New Roman"/>
                      <w:bCs/>
                      <w:kern w:val="1"/>
                      <w:sz w:val="21"/>
                      <w:szCs w:val="21"/>
                      <w:lang w:val="en-US" w:eastAsia="zh-CN" w:bidi="ar-SA"/>
                    </w:rPr>
                  </w:pPr>
                  <w:r>
                    <w:rPr>
                      <w:rFonts w:hint="default" w:ascii="Times New Roman" w:hAnsi="Times New Roman" w:eastAsia="宋体" w:cs="Times New Roma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center"/>
                </w:tcPr>
                <w:p>
                  <w:pPr>
                    <w:spacing w:line="360" w:lineRule="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bCs/>
                      <w:kern w:val="1"/>
                      <w:sz w:val="18"/>
                      <w:szCs w:val="18"/>
                    </w:rPr>
                    <w:t>顾客满意度≥95%；</w:t>
                  </w:r>
                </w:p>
              </w:tc>
              <w:tc>
                <w:tcPr>
                  <w:tcW w:w="1089" w:type="dxa"/>
                </w:tcPr>
                <w:p>
                  <w:pPr>
                    <w:widowControl/>
                    <w:spacing w:before="40"/>
                    <w:jc w:val="left"/>
                    <w:rPr>
                      <w:color w:val="000000"/>
                      <w:szCs w:val="18"/>
                      <w:highlight w:val="cyan"/>
                    </w:rPr>
                  </w:pPr>
                  <w:r>
                    <w:rPr>
                      <w:rFonts w:hint="default" w:ascii="Times New Roman" w:hAnsi="Times New Roman" w:eastAsia="宋体" w:cs="Times New Roman"/>
                      <w:szCs w:val="21"/>
                    </w:rPr>
                    <w:t>每季度</w:t>
                  </w:r>
                </w:p>
              </w:tc>
              <w:tc>
                <w:tcPr>
                  <w:tcW w:w="3975" w:type="dxa"/>
                  <w:vAlign w:val="center"/>
                </w:tcPr>
                <w:p>
                  <w:pPr>
                    <w:spacing w:line="360" w:lineRule="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pict>
                      <v:line id="_x0000_s1026" o:spid="_x0000_s1026" o:spt="20" style="position:absolute;left:0pt;margin-left:6.25pt;margin-top:23.4pt;height:0pt;width:148.7pt;z-index:251663360;mso-width-relative:page;mso-height-relative:page;" filled="f" stroked="t" coordsize="21600,21600" o:gfxdata="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4xy7ItYAAAAJAQAADwAA&#10;AAAAAAABACAAAAAiAAAAZHJzL2Rvd25yZXYueG1sUEsBAhQAFAAAAAgAh07iQEDtl0rfAQAAzwMA&#10;AA4AAAAAAAAAAQAgAAAAJQEAAGRycy9lMm9Eb2MueG1sUEsFBgAAAAAGAAYAWQEAAHYFAAAAAA==&#10;">
                        <v:path arrowok="t"/>
                        <v:fill on="f" focussize="0,0"/>
                        <v:stroke color="#000000" joinstyle="round"/>
                        <v:imagedata o:title=""/>
                        <o:lock v:ext="edit" aspectratio="f"/>
                      </v:line>
                    </w:pict>
                  </w:r>
                  <w:r>
                    <w:rPr>
                      <w:rFonts w:hint="default" w:ascii="Times New Roman" w:hAnsi="Times New Roman" w:eastAsia="宋体" w:cs="Times New Roman"/>
                      <w:bCs/>
                      <w:kern w:val="1"/>
                      <w:sz w:val="18"/>
                      <w:szCs w:val="18"/>
                    </w:rPr>
                    <w:t xml:space="preserve">   </w:t>
                  </w:r>
                  <w:r>
                    <w:rPr>
                      <w:rFonts w:hint="default" w:ascii="Times New Roman" w:hAnsi="Times New Roman" w:eastAsia="宋体" w:cs="Times New Roman"/>
                      <w:bCs/>
                      <w:kern w:val="1"/>
                      <w:szCs w:val="21"/>
                    </w:rPr>
                    <w:t xml:space="preserve">   </w:t>
                  </w:r>
                  <w:r>
                    <w:rPr>
                      <w:rFonts w:hint="default" w:ascii="Times New Roman" w:hAnsi="Times New Roman" w:eastAsia="宋体" w:cs="Times New Roman"/>
                      <w:sz w:val="18"/>
                      <w:szCs w:val="18"/>
                    </w:rPr>
                    <w:t>顾客满意度(N1+N2+……Nn)</w:t>
                  </w:r>
                </w:p>
                <w:p>
                  <w:pPr>
                    <w:spacing w:line="360" w:lineRule="auto"/>
                    <w:ind w:firstLine="1080" w:firstLineChars="600"/>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 xml:space="preserve">      n                </w:t>
                  </w:r>
                </w:p>
              </w:tc>
              <w:tc>
                <w:tcPr>
                  <w:tcW w:w="2266" w:type="dxa"/>
                  <w:vAlign w:val="top"/>
                </w:tcPr>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center"/>
                </w:tcPr>
                <w:p>
                  <w:pPr>
                    <w:spacing w:line="360" w:lineRule="auto"/>
                    <w:rPr>
                      <w:rFonts w:hint="default" w:ascii="Times New Roman" w:hAnsi="Times New Roman" w:eastAsia="宋体" w:cs="Times New Roman"/>
                      <w:bCs/>
                      <w:kern w:val="1"/>
                      <w:sz w:val="18"/>
                      <w:szCs w:val="18"/>
                      <w:lang w:val="en-US" w:eastAsia="zh-CN" w:bidi="ar-SA"/>
                    </w:rPr>
                  </w:pPr>
                  <w:r>
                    <w:rPr>
                      <w:rFonts w:hint="default" w:ascii="Times New Roman" w:hAnsi="Times New Roman" w:eastAsia="宋体" w:cs="Times New Roman"/>
                      <w:sz w:val="18"/>
                      <w:szCs w:val="18"/>
                    </w:rPr>
                    <w:t>处理顾客反馈信息率100%。</w:t>
                  </w:r>
                </w:p>
              </w:tc>
              <w:tc>
                <w:tcPr>
                  <w:tcW w:w="1089" w:type="dxa"/>
                </w:tcPr>
                <w:p>
                  <w:pPr>
                    <w:widowControl/>
                    <w:spacing w:before="40"/>
                    <w:jc w:val="left"/>
                    <w:rPr>
                      <w:color w:val="000000"/>
                      <w:szCs w:val="18"/>
                      <w:highlight w:val="cyan"/>
                    </w:rPr>
                  </w:pPr>
                  <w:r>
                    <w:rPr>
                      <w:rFonts w:hint="default" w:ascii="Times New Roman" w:hAnsi="Times New Roman" w:eastAsia="宋体" w:cs="Times New Roman"/>
                      <w:szCs w:val="21"/>
                    </w:rPr>
                    <w:t>每季度</w:t>
                  </w:r>
                </w:p>
              </w:tc>
              <w:tc>
                <w:tcPr>
                  <w:tcW w:w="3975" w:type="dxa"/>
                  <w:vAlign w:val="center"/>
                </w:tcPr>
                <w:p>
                  <w:pPr>
                    <w:spacing w:line="360" w:lineRule="auto"/>
                    <w:rPr>
                      <w:rFonts w:hint="default" w:ascii="Times New Roman" w:hAnsi="Times New Roman" w:eastAsia="宋体" w:cs="Times New Roman"/>
                      <w:bCs/>
                      <w:kern w:val="1"/>
                      <w:sz w:val="18"/>
                      <w:szCs w:val="18"/>
                      <w:lang w:val="en-US" w:eastAsia="zh-CN" w:bidi="ar-SA"/>
                    </w:rPr>
                  </w:pPr>
                  <w:r>
                    <w:rPr>
                      <w:rFonts w:hint="default" w:ascii="Times New Roman" w:hAnsi="Times New Roman" w:eastAsia="宋体" w:cs="Times New Roman"/>
                      <w:sz w:val="18"/>
                      <w:szCs w:val="18"/>
                    </w:rPr>
                    <w:t>处理顾客信息的项目÷顾客反馈的总项目数*100</w:t>
                  </w:r>
                </w:p>
              </w:tc>
              <w:tc>
                <w:tcPr>
                  <w:tcW w:w="2266" w:type="dxa"/>
                  <w:vAlign w:val="top"/>
                </w:tcPr>
                <w:p>
                  <w:pPr>
                    <w:rPr>
                      <w:rFonts w:hint="default" w:ascii="Times New Roman" w:hAnsi="Times New Roman" w:eastAsia="宋体" w:cs="Times New Roman"/>
                      <w:bCs/>
                      <w:kern w:val="1"/>
                      <w:sz w:val="21"/>
                      <w:szCs w:val="21"/>
                      <w:lang w:val="en-US" w:eastAsia="zh-CN" w:bidi="ar-SA"/>
                    </w:rPr>
                  </w:pPr>
                  <w:r>
                    <w:rPr>
                      <w:rFonts w:hint="default" w:ascii="Times New Roman" w:hAnsi="Times New Roman" w:eastAsia="宋体" w:cs="Times New Roma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360" w:lineRule="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委托合同履约率100%</w:t>
                  </w:r>
                </w:p>
              </w:tc>
              <w:tc>
                <w:tcPr>
                  <w:tcW w:w="1089" w:type="dxa"/>
                </w:tcPr>
                <w:p>
                  <w:pPr>
                    <w:widowControl/>
                    <w:spacing w:before="40"/>
                    <w:jc w:val="left"/>
                    <w:rPr>
                      <w:color w:val="000000"/>
                      <w:szCs w:val="18"/>
                      <w:highlight w:val="cyan"/>
                    </w:rPr>
                  </w:pPr>
                  <w:r>
                    <w:rPr>
                      <w:rFonts w:hint="default" w:ascii="Times New Roman" w:hAnsi="Times New Roman" w:eastAsia="宋体" w:cs="Times New Roman"/>
                      <w:szCs w:val="21"/>
                    </w:rPr>
                    <w:t>每季度</w:t>
                  </w:r>
                </w:p>
              </w:tc>
              <w:tc>
                <w:tcPr>
                  <w:tcW w:w="3975" w:type="dxa"/>
                  <w:vAlign w:val="center"/>
                </w:tcPr>
                <w:p>
                  <w:pPr>
                    <w:spacing w:line="360" w:lineRule="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履约合同数目÷总合同数目*100</w:t>
                  </w:r>
                </w:p>
              </w:tc>
              <w:tc>
                <w:tcPr>
                  <w:tcW w:w="2266" w:type="dxa"/>
                  <w:vAlign w:val="top"/>
                </w:tcPr>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rPr>
                    <w:t>100%</w:t>
                  </w:r>
                </w:p>
              </w:tc>
            </w:tr>
          </w:tbl>
          <w:p>
            <w:pPr>
              <w:shd w:val="clear" w:color="auto" w:fill="C7DAF1" w:themeFill="text2" w:themeFillTint="32"/>
            </w:pPr>
            <w:r>
              <w:rPr>
                <w:rFonts w:hint="eastAsia" w:ascii="Wingdings" w:hAnsi="Wingdings"/>
              </w:rPr>
              <w:t>¨</w:t>
            </w:r>
            <w:r>
              <w:rPr>
                <w:rFonts w:hint="eastAsia"/>
              </w:rPr>
              <w:t>目标已实现。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400</w:t>
            </w:r>
            <w:r>
              <w:rPr>
                <w:rFonts w:hint="eastAsia"/>
              </w:rPr>
              <w:t>平方米；</w:t>
            </w:r>
            <w:r>
              <w:rPr>
                <w:rFonts w:hint="eastAsia"/>
                <w:lang w:val="en-US" w:eastAsia="zh-CN"/>
              </w:rPr>
              <w:t>办公</w:t>
            </w:r>
            <w:r>
              <w:rPr>
                <w:rFonts w:hint="eastAsia"/>
              </w:rPr>
              <w:t>室</w:t>
            </w:r>
            <w:r>
              <w:rPr>
                <w:rFonts w:hint="eastAsia"/>
                <w:lang w:val="en-US" w:eastAsia="zh-CN"/>
              </w:rPr>
              <w:t>10</w:t>
            </w:r>
            <w:r>
              <w:rPr>
                <w:rFonts w:hint="eastAsia"/>
              </w:rPr>
              <w:t>个；</w:t>
            </w:r>
          </w:p>
          <w:p>
            <w:pPr>
              <w:shd w:val="clear" w:color="auto" w:fill="C7DAF1" w:themeFill="text2" w:themeFillTint="32"/>
              <w:rPr>
                <w:u w:val="single"/>
              </w:rPr>
            </w:pPr>
            <w:r>
              <w:rPr>
                <w:rFonts w:hint="eastAsia"/>
              </w:rPr>
              <w:t>主要生产设备有：</w:t>
            </w:r>
            <w:r>
              <w:rPr>
                <w:rFonts w:hint="eastAsia"/>
                <w:color w:val="000000"/>
                <w:szCs w:val="21"/>
                <w:lang w:eastAsia="zh-CN"/>
              </w:rPr>
              <w:t>笔记本电脑、数码相机、接线板</w:t>
            </w:r>
          </w:p>
          <w:p>
            <w:pPr>
              <w:shd w:val="clear" w:color="auto" w:fill="C7DAF1" w:themeFill="text2" w:themeFillTint="32"/>
              <w:rPr>
                <w:rFonts w:hint="eastAsia" w:eastAsia="宋体"/>
                <w:lang w:eastAsia="zh-CN"/>
              </w:rPr>
            </w:pPr>
            <w:r>
              <w:rPr>
                <w:rFonts w:hint="eastAsia"/>
              </w:rPr>
              <w:t>特种设备：</w:t>
            </w:r>
            <w:r>
              <w:rPr>
                <w:rFonts w:hint="eastAsia" w:ascii="Wingdings" w:hAnsi="Wingdings"/>
                <w:lang w:val="en-US" w:eastAsia="zh-CN"/>
              </w:rPr>
              <w:t>无</w:t>
            </w:r>
          </w:p>
          <w:p>
            <w:pPr>
              <w:shd w:val="clear" w:color="auto" w:fill="C7DAF1" w:themeFill="text2" w:themeFillTint="32"/>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eastAsia"/>
              </w:rPr>
              <w:t>计量器具</w:t>
            </w:r>
            <w:r>
              <w:rPr>
                <w:rFonts w:hint="eastAsia" w:ascii="Wingdings" w:hAnsi="Wingdings"/>
              </w:rPr>
              <w:t>¨</w:t>
            </w:r>
            <w:r>
              <w:rPr>
                <w:rFonts w:hint="eastAsia"/>
              </w:rPr>
              <w:t>服务流程检查表</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rPr>
              <w:t>¨</w:t>
            </w:r>
            <w:r>
              <w:rPr>
                <w:rFonts w:hint="eastAsia"/>
              </w:rPr>
              <w:t>自校</w:t>
            </w:r>
          </w:p>
          <w:p>
            <w:pPr>
              <w:shd w:val="clear" w:color="auto" w:fill="C7DAF1" w:themeFill="text2" w:themeFillTint="32"/>
              <w:rPr>
                <w:rFonts w:hint="eastAsia" w:eastAsia="宋体"/>
                <w:u w:val="single"/>
                <w:lang w:eastAsia="zh-CN"/>
              </w:rPr>
            </w:pPr>
            <w:r>
              <w:rPr>
                <w:rFonts w:hint="eastAsia"/>
              </w:rPr>
              <w:t>国家强检的计量器具有：</w:t>
            </w:r>
            <w:r>
              <w:rPr>
                <w:rFonts w:hint="eastAsia"/>
                <w:u w:val="single"/>
                <w:lang w:val="en-US" w:eastAsia="zh-CN"/>
              </w:rPr>
              <w:t>无</w:t>
            </w:r>
          </w:p>
          <w:p>
            <w:pPr>
              <w:shd w:val="clear" w:color="auto" w:fill="C7DAF1" w:themeFill="text2" w:themeFillTint="32"/>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rPr>
              <w:t>¨</w:t>
            </w:r>
            <w:r>
              <w:rPr>
                <w:rFonts w:hint="eastAsia"/>
              </w:rPr>
              <w:t>加工工艺</w:t>
            </w:r>
            <w:r>
              <w:rPr>
                <w:rFonts w:hint="eastAsia" w:ascii="Wingdings" w:hAnsi="Wingdings"/>
              </w:rPr>
              <w:t>¨</w:t>
            </w:r>
            <w:r>
              <w:rPr>
                <w:rFonts w:hint="eastAsia"/>
              </w:rPr>
              <w:t>生产经验</w:t>
            </w:r>
            <w:r>
              <w:rPr>
                <w:rFonts w:hint="eastAsia" w:ascii="Wingdings" w:hAnsi="Wingdings"/>
              </w:rPr>
              <w:t>¨</w:t>
            </w:r>
            <w:r>
              <w:rPr>
                <w:rFonts w:hint="eastAsia"/>
              </w:rPr>
              <w:t>管理软件</w:t>
            </w:r>
            <w:r>
              <w:rPr>
                <w:rFonts w:hint="eastAsia" w:ascii="Wingdings" w:hAnsi="Wingdings"/>
              </w:rPr>
              <w:t>¨</w:t>
            </w:r>
            <w:r>
              <w:rPr>
                <w:rFonts w:hint="eastAsia"/>
              </w:rPr>
              <w:t>市场预测</w:t>
            </w:r>
            <w:r>
              <w:rPr>
                <w:rFonts w:hint="eastAsia" w:ascii="Wingdings" w:hAnsi="Wingdings"/>
              </w:rPr>
              <w:t>¨</w:t>
            </w:r>
            <w:r>
              <w:rPr>
                <w:rFonts w:hint="eastAsia"/>
              </w:rPr>
              <w:t>企业标准</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rPr>
              <w:t>¨</w:t>
            </w:r>
            <w:r>
              <w:rPr>
                <w:rFonts w:hint="eastAsia"/>
              </w:rPr>
              <w:t>顾客提供资料</w:t>
            </w:r>
            <w:r>
              <w:rPr>
                <w:rFonts w:hint="eastAsia" w:ascii="Wingdings" w:hAnsi="Wingdings"/>
              </w:rPr>
              <w:t>¨</w:t>
            </w:r>
            <w:r>
              <w:rPr>
                <w:rFonts w:hint="eastAsia"/>
              </w:rPr>
              <w:t>产品标准</w:t>
            </w:r>
            <w:r>
              <w:rPr>
                <w:rFonts w:hint="eastAsia" w:ascii="Wingdings" w:hAnsi="Wingdings"/>
              </w:rPr>
              <w:t>¨</w:t>
            </w:r>
            <w:r>
              <w:rPr>
                <w:rFonts w:hint="eastAsia"/>
              </w:rPr>
              <w:t>学术交流信息</w:t>
            </w:r>
            <w:r>
              <w:rPr>
                <w:rFonts w:hint="eastAsia" w:ascii="Wingdings" w:hAnsi="Wingdings"/>
              </w:rPr>
              <w:t>¨</w:t>
            </w:r>
            <w:r>
              <w:rPr>
                <w:rFonts w:hint="eastAsia"/>
              </w:rPr>
              <w:t>专业会议信息</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rPr>
              <w:t>¨</w:t>
            </w:r>
            <w:r>
              <w:rPr>
                <w:rFonts w:hint="eastAsia"/>
              </w:rPr>
              <w:t>招聘</w:t>
            </w:r>
            <w:r>
              <w:rPr>
                <w:rFonts w:hint="eastAsia" w:ascii="Wingdings" w:hAnsi="Wingdings"/>
              </w:rPr>
              <w:t>¨</w:t>
            </w:r>
            <w:r>
              <w:rPr>
                <w:rFonts w:hint="eastAsia"/>
              </w:rPr>
              <w:t>换岗</w:t>
            </w:r>
            <w:r>
              <w:rPr>
                <w:rFonts w:hint="eastAsia" w:ascii="Wingdings" w:hAnsi="Wingdings"/>
              </w:rPr>
              <w:t>¨</w:t>
            </w:r>
            <w:r>
              <w:rPr>
                <w:rFonts w:hint="eastAsia"/>
              </w:rPr>
              <w:t>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rPr>
                <w:rFonts w:hint="eastAsia" w:eastAsia="宋体"/>
                <w:lang w:eastAsia="zh-CN"/>
              </w:rPr>
            </w:pPr>
            <w:r>
              <w:rPr>
                <w:rFonts w:hint="eastAsia"/>
              </w:rPr>
              <w:t>特种作业人员：</w:t>
            </w:r>
            <w:r>
              <w:rPr>
                <w:rFonts w:hint="eastAsia" w:ascii="Wingdings" w:hAnsi="Wingdings"/>
                <w:lang w:val="en-US" w:eastAsia="zh-CN"/>
              </w:rPr>
              <w:t>无</w:t>
            </w:r>
          </w:p>
          <w:p>
            <w:pPr>
              <w:shd w:val="clear" w:color="auto" w:fill="C7DAF1" w:themeFill="text2" w:themeFillTint="32"/>
              <w:rPr>
                <w:rFonts w:hint="eastAsia" w:eastAsia="宋体"/>
                <w:lang w:eastAsia="zh-CN"/>
              </w:rPr>
            </w:pPr>
            <w:r>
              <w:rPr>
                <w:rFonts w:hint="eastAsia"/>
              </w:rPr>
              <w:t>特种设备作业人员：</w:t>
            </w:r>
            <w:r>
              <w:rPr>
                <w:rFonts w:hint="eastAsia" w:ascii="Wingdings" w:hAnsi="Wingdings"/>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rPr>
              <w:t>¨</w:t>
            </w:r>
            <w:r>
              <w:rPr>
                <w:rFonts w:hint="eastAsia"/>
              </w:rPr>
              <w:t>会议传达</w:t>
            </w:r>
            <w:r>
              <w:rPr>
                <w:rFonts w:hint="eastAsia" w:ascii="Wingdings" w:hAnsi="Wingdings"/>
              </w:rPr>
              <w:t>¨</w:t>
            </w:r>
            <w:r>
              <w:rPr>
                <w:rFonts w:hint="eastAsia"/>
              </w:rPr>
              <w:t>标语</w:t>
            </w:r>
            <w:r>
              <w:rPr>
                <w:rFonts w:hint="eastAsia" w:ascii="Wingdings" w:hAnsi="Wingdings"/>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rPr>
              <w:t>¨</w:t>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ascii="Wingdings" w:hAnsi="Wingdings"/>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w:t>
            </w:r>
            <w:r>
              <w:rPr>
                <w:rFonts w:hint="eastAsia"/>
                <w:lang w:eastAsia="zh-CN"/>
              </w:rPr>
              <w:t>□</w:t>
            </w:r>
            <w:r>
              <w:rPr>
                <w:rFonts w:hint="eastAsia"/>
              </w:rPr>
              <w:t>法律法规获取有遗漏，缺少：</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rPr>
              <w:t>¨</w:t>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检测计划</w:t>
            </w:r>
            <w:r>
              <w:rPr>
                <w:rFonts w:hint="eastAsia" w:ascii="Wingdings" w:hAnsi="Wingdings"/>
              </w:rPr>
              <w:t>¨</w:t>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rPr>
              <w:t>¨</w:t>
            </w:r>
            <w:r>
              <w:rPr>
                <w:rFonts w:hint="eastAsia"/>
              </w:rPr>
              <w:t>外来标准</w:t>
            </w:r>
            <w:r>
              <w:rPr>
                <w:rFonts w:hint="eastAsia" w:ascii="Wingdings" w:hAnsi="Wingdings"/>
              </w:rPr>
              <w:t>¨</w:t>
            </w:r>
            <w:r>
              <w:rPr>
                <w:rFonts w:hint="eastAsia"/>
              </w:rPr>
              <w:t>企业标准</w:t>
            </w:r>
            <w:r>
              <w:rPr>
                <w:rFonts w:hint="eastAsia" w:ascii="Wingdings" w:hAnsi="Wingdings"/>
              </w:rPr>
              <w:t>¨</w:t>
            </w:r>
            <w:r>
              <w:rPr>
                <w:rFonts w:hint="eastAsia"/>
              </w:rPr>
              <w:t>顾客要求</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rPr>
                <w:rFonts w:hint="eastAsia" w:eastAsia="宋体"/>
                <w:lang w:eastAsia="zh-CN"/>
              </w:rPr>
            </w:pPr>
            <w:r>
              <w:rPr>
                <w:rFonts w:hint="eastAsia"/>
              </w:rPr>
              <w:t>审核期间内设计和开发新产品/项目名称：河北省水利工程局集团有限公司</w:t>
            </w:r>
            <w:r>
              <w:rPr>
                <w:rFonts w:hint="eastAsia"/>
                <w:lang w:eastAsia="zh-CN"/>
              </w:rPr>
              <w:t>“网络安全等级保护网站服务器系统”</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rPr>
                <w:rFonts w:hint="eastAsia" w:eastAsia="宋体"/>
                <w:lang w:eastAsia="zh-CN"/>
              </w:rPr>
            </w:pPr>
            <w:r>
              <w:rPr>
                <w:rFonts w:hint="eastAsia"/>
              </w:rPr>
              <w:t>外部提供包括：</w:t>
            </w:r>
            <w:r>
              <w:rPr>
                <w:rFonts w:hint="eastAsia" w:ascii="Wingdings" w:hAnsi="Wingdings"/>
                <w:lang w:val="en-US" w:eastAsia="zh-CN"/>
              </w:rPr>
              <w:t>无</w:t>
            </w:r>
          </w:p>
          <w:p>
            <w:pPr>
              <w:shd w:val="clear" w:color="auto" w:fill="C7DAF1" w:themeFill="text2" w:themeFillTint="32"/>
              <w:jc w:val="left"/>
            </w:pPr>
            <w:r>
              <w:rPr>
                <w:rFonts w:hint="eastAsia"/>
              </w:rPr>
              <w:t>提供给外部供方的信息</w:t>
            </w:r>
            <w:r>
              <w:rPr>
                <w:rFonts w:hint="eastAsia" w:ascii="Wingdings" w:hAnsi="Wingdings"/>
              </w:rPr>
              <w:t>¨</w:t>
            </w:r>
            <w:r>
              <w:rPr>
                <w:rFonts w:hint="eastAsia"/>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0"/>
              <w:gridCol w:w="2767"/>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pPr>
                    <w:shd w:val="clear" w:color="auto" w:fill="C7DAF1" w:themeFill="text2" w:themeFillTint="32"/>
                    <w:jc w:val="left"/>
                  </w:pPr>
                  <w:r>
                    <w:rPr>
                      <w:rFonts w:hint="eastAsia"/>
                    </w:rPr>
                    <w:t>产品/服务名称</w:t>
                  </w:r>
                </w:p>
              </w:tc>
              <w:tc>
                <w:tcPr>
                  <w:tcW w:w="2767"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pPr>
                    <w:shd w:val="clear" w:color="auto" w:fill="C7DAF1" w:themeFill="text2" w:themeFillTint="32"/>
                    <w:jc w:val="left"/>
                  </w:pPr>
                  <w:r>
                    <w:rPr>
                      <w:rFonts w:hint="eastAsia"/>
                      <w:color w:val="000000"/>
                      <w:lang w:eastAsia="zh-CN"/>
                    </w:rPr>
                    <w:t>网络安全等级保护</w:t>
                  </w:r>
                  <w:r>
                    <w:rPr>
                      <w:rFonts w:hint="eastAsia"/>
                      <w:color w:val="000000"/>
                    </w:rPr>
                    <w:t>测评</w:t>
                  </w:r>
                </w:p>
              </w:tc>
              <w:tc>
                <w:tcPr>
                  <w:tcW w:w="2767" w:type="dxa"/>
                </w:tcPr>
                <w:p>
                  <w:pPr>
                    <w:shd w:val="clear" w:color="auto" w:fill="C7DAF1" w:themeFill="text2" w:themeFillTint="32"/>
                    <w:jc w:val="left"/>
                  </w:pPr>
                  <w:r>
                    <w:rPr>
                      <w:rFonts w:hint="eastAsia"/>
                      <w:color w:val="000000"/>
                    </w:rPr>
                    <w:t>现场测评过程</w:t>
                  </w:r>
                </w:p>
              </w:tc>
              <w:tc>
                <w:tcPr>
                  <w:tcW w:w="3265" w:type="dxa"/>
                </w:tcPr>
                <w:p>
                  <w:pPr>
                    <w:shd w:val="clear" w:color="auto" w:fill="C7DAF1" w:themeFill="text2" w:themeFillTint="32"/>
                    <w:jc w:val="left"/>
                  </w:pPr>
                  <w:r>
                    <w:rPr>
                      <w:rFonts w:hint="eastAsia"/>
                      <w:color w:val="000000"/>
                      <w:lang w:eastAsia="zh-CN"/>
                    </w:rPr>
                    <w:t>物理环境、安全通信网络、安全区域边界、安全计算环境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pPr>
                    <w:shd w:val="clear" w:color="auto" w:fill="C7DAF1" w:themeFill="text2" w:themeFillTint="32"/>
                    <w:jc w:val="left"/>
                  </w:pPr>
                  <w:r>
                    <w:rPr>
                      <w:rFonts w:hint="eastAsia" w:ascii="宋体" w:hAnsi="宋体" w:cs="宋体"/>
                      <w:color w:val="000000"/>
                      <w:kern w:val="0"/>
                      <w:szCs w:val="21"/>
                    </w:rPr>
                    <w:t>信息安全风险评估</w:t>
                  </w:r>
                </w:p>
              </w:tc>
              <w:tc>
                <w:tcPr>
                  <w:tcW w:w="2767" w:type="dxa"/>
                </w:tcPr>
                <w:p>
                  <w:pPr>
                    <w:shd w:val="clear" w:color="auto" w:fill="C7DAF1" w:themeFill="text2" w:themeFillTint="32"/>
                    <w:jc w:val="left"/>
                  </w:pPr>
                  <w:r>
                    <w:rPr>
                      <w:rFonts w:hint="eastAsia" w:ascii="宋体" w:hAnsi="宋体" w:cs="宋体"/>
                      <w:color w:val="000000"/>
                      <w:kern w:val="0"/>
                      <w:szCs w:val="21"/>
                      <w:lang w:eastAsia="zh-CN"/>
                    </w:rPr>
                    <w:t>现场渗透测试过程</w:t>
                  </w:r>
                </w:p>
              </w:tc>
              <w:tc>
                <w:tcPr>
                  <w:tcW w:w="3265" w:type="dxa"/>
                </w:tcPr>
                <w:p>
                  <w:pPr>
                    <w:shd w:val="clear" w:color="auto" w:fill="C7DAF1" w:themeFill="text2" w:themeFillTint="32"/>
                    <w:jc w:val="left"/>
                  </w:pPr>
                  <w:r>
                    <w:rPr>
                      <w:rFonts w:hint="default" w:ascii="宋体" w:hAnsi="宋体" w:cs="宋体"/>
                      <w:color w:val="000000"/>
                      <w:kern w:val="0"/>
                      <w:szCs w:val="21"/>
                      <w:lang w:val="en-US" w:eastAsia="zh-CN"/>
                    </w:rPr>
                    <w:t>网络安全、主机系统安全、应用安全</w:t>
                  </w: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ascii="宋体" w:hAnsi="宋体" w:cs="宋体"/>
                <w:color w:val="000000"/>
                <w:kern w:val="0"/>
                <w:szCs w:val="21"/>
                <w:lang w:eastAsia="zh-CN"/>
              </w:rPr>
              <w:t>信息调研</w:t>
            </w:r>
            <w:r>
              <w:rPr>
                <w:rFonts w:hint="eastAsia"/>
              </w:rPr>
              <w:t>，</w:t>
            </w:r>
          </w:p>
          <w:p>
            <w:pPr>
              <w:shd w:val="clear" w:color="auto" w:fill="C7DAF1" w:themeFill="text2" w:themeFillTint="32"/>
              <w:jc w:val="left"/>
            </w:pPr>
            <w:r>
              <w:rPr>
                <w:rFonts w:hint="eastAsia" w:ascii="Wingdings" w:hAnsi="Wingdings"/>
              </w:rPr>
              <w:t>¨</w:t>
            </w:r>
            <w:r>
              <w:rPr>
                <w:rFonts w:hint="eastAsia"/>
              </w:rPr>
              <w:t>进行了有效的确认。</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rPr>
              <w:t>¨</w:t>
            </w:r>
            <w:r>
              <w:rPr>
                <w:rFonts w:hint="eastAsia"/>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t>¨</w:t>
            </w:r>
            <w:r>
              <w:rPr>
                <w:rFonts w:hint="eastAsia"/>
                <w:lang w:val="en-US" w:eastAsia="zh-CN"/>
              </w:rPr>
              <w:t>合同编号</w:t>
            </w:r>
          </w:p>
          <w:p>
            <w:pPr>
              <w:shd w:val="clear" w:color="auto" w:fill="C7DAF1" w:themeFill="text2" w:themeFillTint="32"/>
              <w:jc w:val="left"/>
            </w:pPr>
            <w:r>
              <w:rPr>
                <w:rFonts w:hint="eastAsia"/>
              </w:rPr>
              <w:t>可追溯性实现：</w:t>
            </w:r>
            <w:r>
              <w:rPr>
                <w:rFonts w:hint="eastAsia" w:ascii="Wingdings" w:hAnsi="Wingdings"/>
              </w:rPr>
              <w:t>¨</w:t>
            </w:r>
            <w:r>
              <w:rPr>
                <w:rFonts w:hint="eastAsia"/>
              </w:rPr>
              <w:t>符合要求。</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图纸</w:t>
            </w:r>
            <w:r>
              <w:rPr>
                <w:rFonts w:hint="eastAsia" w:ascii="Wingdings" w:hAnsi="Wingdings"/>
              </w:rPr>
              <w:t>¨</w:t>
            </w:r>
            <w:r>
              <w:rPr>
                <w:rFonts w:hint="eastAsia"/>
                <w:lang w:val="en-US" w:eastAsia="zh-CN"/>
              </w:rPr>
              <w:t>数据</w:t>
            </w:r>
            <w:r>
              <w:rPr>
                <w:rFonts w:hint="eastAsia" w:ascii="Wingdings" w:hAnsi="Wingdings"/>
              </w:rPr>
              <w:t>¨</w:t>
            </w:r>
            <w:r>
              <w:rPr>
                <w:rFonts w:hint="eastAsia"/>
              </w:rPr>
              <w:t>个人信息</w:t>
            </w:r>
          </w:p>
          <w:p>
            <w:pPr>
              <w:shd w:val="clear" w:color="auto" w:fill="C7DAF1" w:themeFill="text2" w:themeFillTint="32"/>
              <w:jc w:val="left"/>
            </w:pPr>
            <w:r>
              <w:rPr>
                <w:rFonts w:hint="eastAsia"/>
              </w:rPr>
              <w:t>顾客或外部供方财产控制：</w:t>
            </w:r>
            <w:r>
              <w:rPr>
                <w:rFonts w:hint="eastAsia" w:ascii="Wingdings" w:hAnsi="Wingdings"/>
              </w:rPr>
              <w:t>¨</w:t>
            </w:r>
            <w:r>
              <w:rPr>
                <w:rFonts w:hint="eastAsia"/>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rPr>
              <w:t>¨</w:t>
            </w:r>
            <w:r>
              <w:rPr>
                <w:rFonts w:hint="eastAsia"/>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rPr>
              <w:t>¨</w:t>
            </w:r>
            <w:r>
              <w:rPr>
                <w:rFonts w:hint="eastAsia"/>
              </w:rPr>
              <w:t>三包</w:t>
            </w:r>
            <w:r>
              <w:rPr>
                <w:rFonts w:hint="eastAsia" w:ascii="Wingdings" w:hAnsi="Wingdings"/>
              </w:rPr>
              <w:t>¨</w:t>
            </w:r>
            <w:r>
              <w:rPr>
                <w:rFonts w:hint="eastAsia"/>
              </w:rPr>
              <w:t>维修</w:t>
            </w:r>
            <w:r>
              <w:rPr>
                <w:rFonts w:hint="eastAsia" w:ascii="Wingdings" w:hAnsi="Wingdings"/>
              </w:rPr>
              <w:t>¨</w:t>
            </w:r>
            <w:r>
              <w:rPr>
                <w:rFonts w:hint="eastAsia"/>
              </w:rPr>
              <w:t>赔偿</w:t>
            </w:r>
            <w:r>
              <w:rPr>
                <w:rFonts w:hint="eastAsia" w:ascii="Wingdings" w:hAnsi="Wingdings"/>
              </w:rPr>
              <w:t>¨</w:t>
            </w:r>
            <w:r>
              <w:rPr>
                <w:rFonts w:hint="eastAsia"/>
              </w:rPr>
              <w:t>道歉</w:t>
            </w:r>
            <w:r>
              <w:rPr>
                <w:rFonts w:hint="eastAsia" w:ascii="Wingdings" w:hAnsi="Wingdings"/>
              </w:rPr>
              <w:t>¨</w:t>
            </w:r>
            <w:r>
              <w:rPr>
                <w:rFonts w:hint="eastAsia"/>
              </w:rPr>
              <w:t>最终处置</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Wingdings" w:hAnsi="Wingdings"/>
              </w:rPr>
              <w:t>¨</w:t>
            </w:r>
            <w:r>
              <w:rPr>
                <w:rFonts w:hint="eastAsia"/>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rPr>
                <w:rFonts w:hint="eastAsia" w:eastAsia="宋体"/>
                <w:lang w:val="en-US" w:eastAsia="zh-CN"/>
              </w:rPr>
            </w:pPr>
            <w:r>
              <w:rPr>
                <w:rFonts w:hint="eastAsia"/>
              </w:rPr>
              <w:t>已发生的更改包括：</w:t>
            </w:r>
            <w:r>
              <w:rPr>
                <w:rFonts w:hint="eastAsia" w:ascii="Wingdings" w:hAnsi="Wingdings"/>
                <w:lang w:val="en-US" w:eastAsia="zh-CN"/>
              </w:rPr>
              <w:t>无</w:t>
            </w:r>
          </w:p>
          <w:p>
            <w:pPr>
              <w:shd w:val="clear" w:color="auto" w:fill="C7DAF1" w:themeFill="text2" w:themeFillTint="32"/>
            </w:pPr>
            <w:r>
              <w:rPr>
                <w:rFonts w:hint="eastAsia"/>
              </w:rPr>
              <w:t>变更控制：</w:t>
            </w:r>
            <w:r>
              <w:rPr>
                <w:rFonts w:hint="eastAsia" w:ascii="Wingdings" w:hAnsi="Wingdings"/>
              </w:rPr>
              <w:t>¨</w:t>
            </w:r>
            <w:r>
              <w:rPr>
                <w:rFonts w:hint="eastAsia"/>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rPr>
              <w:t>¨</w:t>
            </w:r>
            <w:r>
              <w:rPr>
                <w:rFonts w:hint="eastAsia"/>
              </w:rPr>
              <w:t>过程检验</w:t>
            </w:r>
            <w:r>
              <w:rPr>
                <w:rFonts w:hint="eastAsia" w:ascii="Wingdings" w:hAnsi="Wingdings"/>
              </w:rPr>
              <w:t>¨</w:t>
            </w:r>
            <w:r>
              <w:rPr>
                <w:rFonts w:hint="eastAsia"/>
              </w:rPr>
              <w:t>最终检验</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rPr>
              <w:t>¨</w:t>
            </w:r>
            <w:r>
              <w:rPr>
                <w:rFonts w:hint="eastAsia"/>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t>¨</w:t>
            </w:r>
            <w:r>
              <w:rPr>
                <w:rFonts w:hint="eastAsia"/>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t>¨</w:t>
            </w:r>
            <w:r>
              <w:rPr>
                <w:rFonts w:hint="eastAsia"/>
              </w:rPr>
              <w:t>顾客调查</w:t>
            </w:r>
            <w:r>
              <w:rPr>
                <w:rFonts w:hint="eastAsia" w:ascii="Wingdings" w:hAnsi="Wingdings"/>
              </w:rPr>
              <w:t>¨</w:t>
            </w:r>
            <w:r>
              <w:rPr>
                <w:rFonts w:hint="eastAsia"/>
              </w:rPr>
              <w:t>顾客对交付产品或服务的反馈</w:t>
            </w:r>
            <w:r>
              <w:rPr>
                <w:rFonts w:hint="eastAsia" w:ascii="Wingdings" w:hAnsi="Wingdings"/>
              </w:rPr>
              <w:t>¨</w:t>
            </w:r>
            <w:r>
              <w:rPr>
                <w:rFonts w:hint="eastAsia"/>
              </w:rPr>
              <w:t>顾客座谈</w:t>
            </w:r>
            <w:r>
              <w:rPr>
                <w:rFonts w:hint="eastAsia" w:ascii="Wingdings" w:hAnsi="Wingdings"/>
              </w:rPr>
              <w:t>¨</w:t>
            </w:r>
            <w:r>
              <w:rPr>
                <w:rFonts w:hint="eastAsia"/>
              </w:rPr>
              <w:t>市场占有率分析</w:t>
            </w:r>
            <w:r>
              <w:rPr>
                <w:rFonts w:hint="eastAsia" w:ascii="Wingdings" w:hAnsi="Wingdings"/>
              </w:rPr>
              <w:t>¨</w:t>
            </w:r>
            <w:r>
              <w:rPr>
                <w:rFonts w:hint="eastAsia"/>
              </w:rPr>
              <w:t>顾客赞扬</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9</w:t>
            </w:r>
            <w:r>
              <w:rPr>
                <w:rFonts w:hint="eastAsia"/>
              </w:rPr>
              <w:t>月</w:t>
            </w:r>
            <w:r>
              <w:rPr>
                <w:rFonts w:hint="eastAsia"/>
                <w:lang w:val="en-US" w:eastAsia="zh-CN"/>
              </w:rPr>
              <w:t>15-16</w:t>
            </w:r>
            <w:r>
              <w:rPr>
                <w:rFonts w:hint="eastAsia"/>
              </w:rPr>
              <w:t>日实施了质量管理体系内部审核，对质量管理体系的符合性和有效性进行了审核。内审发现的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9</w:t>
            </w:r>
            <w:r>
              <w:rPr>
                <w:rFonts w:hint="eastAsia"/>
              </w:rPr>
              <w:t>月</w:t>
            </w:r>
            <w:r>
              <w:rPr>
                <w:rFonts w:hint="eastAsia"/>
                <w:lang w:val="en-US" w:eastAsia="zh-CN"/>
              </w:rPr>
              <w:t>30</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不合格产品/服务</w:t>
            </w:r>
            <w:r>
              <w:rPr>
                <w:rFonts w:hint="eastAsia" w:ascii="Wingdings" w:hAnsi="Wingdings"/>
              </w:rPr>
              <w:t>¨</w:t>
            </w:r>
            <w:r>
              <w:rPr>
                <w:rFonts w:hint="eastAsia"/>
              </w:rPr>
              <w:t>自我验证的结果</w:t>
            </w:r>
            <w:r>
              <w:rPr>
                <w:rFonts w:hint="eastAsia" w:ascii="Wingdings" w:hAnsi="Wingdings"/>
              </w:rPr>
              <w:t>¨</w:t>
            </w:r>
            <w:r>
              <w:rPr>
                <w:rFonts w:hint="eastAsia"/>
              </w:rPr>
              <w:t>顾客投诉</w:t>
            </w:r>
            <w:r>
              <w:rPr>
                <w:rFonts w:hint="eastAsia" w:ascii="Wingdings" w:hAnsi="Wingdings"/>
              </w:rPr>
              <w:t>¨</w:t>
            </w:r>
            <w:r>
              <w:rPr>
                <w:rFonts w:hint="eastAsia"/>
              </w:rPr>
              <w:t>顾客满意调查</w:t>
            </w:r>
          </w:p>
          <w:p>
            <w:pPr>
              <w:shd w:val="clear" w:color="auto" w:fill="C7DAF1" w:themeFill="text2" w:themeFillTint="32"/>
            </w:pPr>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default"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2</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2</w:t>
            </w:r>
          </w:p>
        </w:tc>
        <w:tc>
          <w:tcPr>
            <w:tcW w:w="649" w:type="dxa"/>
            <w:vAlign w:val="center"/>
          </w:tcPr>
          <w:p>
            <w:pPr>
              <w:shd w:val="clear" w:color="auto" w:fill="C7DAF1" w:themeFill="text2" w:themeFillTint="32"/>
              <w:rPr>
                <w:rFonts w:hint="default" w:eastAsia="宋体"/>
                <w:lang w:val="en-US" w:eastAsia="zh-CN"/>
              </w:rPr>
            </w:pPr>
            <w:r>
              <w:rPr>
                <w:rFonts w:hint="eastAsia"/>
                <w:lang w:val="en-US" w:eastAsia="zh-CN"/>
              </w:rPr>
              <w:t>2</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2</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Y3MmNiNTA4Y2RiYTNkMzhmODU1Yjg5OTYxMzY5NzMifQ=="/>
  </w:docVars>
  <w:rsids>
    <w:rsidRoot w:val="00000000"/>
    <w:rsid w:val="28EB0643"/>
    <w:rsid w:val="661221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3165</Words>
  <Characters>18045</Characters>
  <Lines>150</Lines>
  <Paragraphs>42</Paragraphs>
  <TotalTime>2</TotalTime>
  <ScaleCrop>false</ScaleCrop>
  <LinksUpToDate>false</LinksUpToDate>
  <CharactersWithSpaces>21168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至鱼</cp:lastModifiedBy>
  <cp:lastPrinted>2019-05-13T03:19:00Z</cp:lastPrinted>
  <dcterms:modified xsi:type="dcterms:W3CDTF">2022-12-22T07:10:19Z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2052-11.1.0.12980</vt:lpwstr>
  </property>
</Properties>
</file>