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1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17" w:type="dxa"/>
            <w:vAlign w:val="center"/>
          </w:tcPr>
          <w:p>
            <w:pPr>
              <w:rPr>
                <w:rFonts w:hint="eastAsia" w:eastAsia="宋体"/>
                <w:sz w:val="24"/>
                <w:szCs w:val="24"/>
                <w:lang w:val="en-US" w:eastAsia="zh-CN"/>
              </w:rPr>
            </w:pPr>
            <w:r>
              <w:rPr>
                <w:rFonts w:hint="eastAsia"/>
                <w:sz w:val="24"/>
                <w:szCs w:val="24"/>
              </w:rPr>
              <w:t>受审核</w:t>
            </w:r>
            <w:r>
              <w:rPr>
                <w:rFonts w:hint="eastAsia"/>
                <w:color w:val="auto"/>
                <w:sz w:val="24"/>
                <w:szCs w:val="24"/>
              </w:rPr>
              <w:t>部门：</w:t>
            </w:r>
            <w:r>
              <w:rPr>
                <w:rFonts w:hint="eastAsia"/>
                <w:color w:val="auto"/>
                <w:sz w:val="24"/>
                <w:szCs w:val="24"/>
                <w:lang w:val="en-US" w:eastAsia="zh-CN"/>
              </w:rPr>
              <w:t xml:space="preserve">采购部   </w:t>
            </w:r>
            <w:r>
              <w:rPr>
                <w:rFonts w:hint="eastAsia"/>
                <w:color w:val="auto"/>
                <w:sz w:val="24"/>
                <w:szCs w:val="24"/>
              </w:rPr>
              <w:t>主管领导：</w:t>
            </w:r>
            <w:r>
              <w:rPr>
                <w:rFonts w:hint="eastAsia"/>
                <w:color w:val="auto"/>
                <w:sz w:val="24"/>
                <w:szCs w:val="24"/>
                <w:lang w:val="en-US" w:eastAsia="zh-CN"/>
              </w:rPr>
              <w:t xml:space="preserve">李明禄   </w:t>
            </w:r>
            <w:r>
              <w:rPr>
                <w:rFonts w:hint="eastAsia"/>
                <w:color w:val="auto"/>
                <w:sz w:val="24"/>
                <w:szCs w:val="24"/>
              </w:rPr>
              <w:t>陪同人员：</w:t>
            </w:r>
            <w:r>
              <w:rPr>
                <w:rFonts w:hint="eastAsia"/>
                <w:color w:val="auto"/>
                <w:sz w:val="24"/>
                <w:szCs w:val="24"/>
                <w:lang w:val="en-US" w:eastAsia="zh-CN"/>
              </w:rPr>
              <w:t>张海龙</w:t>
            </w:r>
          </w:p>
        </w:tc>
        <w:tc>
          <w:tcPr>
            <w:tcW w:w="157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17" w:type="dxa"/>
            <w:vAlign w:val="center"/>
          </w:tcPr>
          <w:p>
            <w:pPr>
              <w:spacing w:before="120"/>
            </w:pPr>
            <w:r>
              <w:rPr>
                <w:rFonts w:hint="eastAsia"/>
                <w:sz w:val="24"/>
                <w:szCs w:val="24"/>
              </w:rPr>
              <w:t>审核员：</w:t>
            </w:r>
            <w:r>
              <w:rPr>
                <w:rFonts w:hint="eastAsia"/>
                <w:sz w:val="24"/>
                <w:szCs w:val="24"/>
                <w:lang w:val="en-US" w:eastAsia="zh-CN"/>
              </w:rPr>
              <w:t>明利红</w:t>
            </w:r>
            <w:bookmarkStart w:id="1" w:name="_GoBack"/>
            <w:r>
              <w:rPr>
                <w:rFonts w:hint="eastAsia"/>
                <w:sz w:val="24"/>
                <w:szCs w:val="24"/>
                <w:lang w:val="en-US" w:eastAsia="zh-CN"/>
              </w:rPr>
              <w:t>、</w:t>
            </w:r>
            <w:r>
              <w:rPr>
                <w:rFonts w:hint="eastAsia"/>
                <w:sz w:val="24"/>
                <w:szCs w:val="24"/>
                <w:lang w:val="de-DE" w:eastAsia="zh-CN"/>
              </w:rPr>
              <w:t>杨冰</w:t>
            </w:r>
            <w:bookmarkEnd w:id="1"/>
            <w:r>
              <w:rPr>
                <w:rFonts w:hint="eastAsia"/>
                <w:sz w:val="24"/>
                <w:szCs w:val="24"/>
                <w:lang w:val="en-US" w:eastAsia="zh-CN"/>
              </w:rPr>
              <w:t xml:space="preserve">  </w:t>
            </w:r>
            <w:r>
              <w:rPr>
                <w:rFonts w:hint="eastAsia"/>
                <w:sz w:val="24"/>
                <w:szCs w:val="24"/>
              </w:rPr>
              <w:t>审核时间：</w:t>
            </w:r>
            <w:bookmarkStart w:id="0" w:name="审核日期"/>
            <w:r>
              <w:t>2022年1</w:t>
            </w:r>
            <w:r>
              <w:rPr>
                <w:rFonts w:hint="eastAsia"/>
                <w:lang w:val="en-US" w:eastAsia="zh-CN"/>
              </w:rPr>
              <w:t>2</w:t>
            </w:r>
            <w:r>
              <w:t>月</w:t>
            </w:r>
            <w:r>
              <w:rPr>
                <w:rFonts w:hint="eastAsia"/>
                <w:lang w:val="en-US" w:eastAsia="zh-CN"/>
              </w:rPr>
              <w:t>25</w:t>
            </w:r>
            <w:r>
              <w:t xml:space="preserve">日 </w:t>
            </w:r>
            <w:bookmarkEnd w:id="0"/>
          </w:p>
        </w:tc>
        <w:tc>
          <w:tcPr>
            <w:tcW w:w="15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17" w:type="dxa"/>
            <w:vAlign w:val="center"/>
          </w:tcPr>
          <w:p>
            <w:pPr>
              <w:pStyle w:val="12"/>
              <w:rPr>
                <w:rFonts w:hint="eastAsia" w:cs="Times New Roman"/>
                <w:sz w:val="21"/>
                <w:szCs w:val="21"/>
                <w:lang w:val="en-US" w:eastAsia="zh-CN"/>
              </w:rPr>
            </w:pPr>
            <w:r>
              <w:rPr>
                <w:rFonts w:hint="eastAsia"/>
              </w:rPr>
              <w:t>审核条款：</w:t>
            </w:r>
          </w:p>
          <w:p>
            <w:pPr>
              <w:spacing w:line="300" w:lineRule="exact"/>
              <w:rPr>
                <w:rFonts w:ascii="宋体" w:hAnsi="宋体"/>
                <w:sz w:val="21"/>
                <w:szCs w:val="21"/>
              </w:rPr>
            </w:pPr>
            <w:r>
              <w:rPr>
                <w:rFonts w:hint="eastAsia" w:ascii="宋体" w:hAnsi="宋体"/>
                <w:sz w:val="21"/>
                <w:szCs w:val="21"/>
              </w:rPr>
              <w:t>QMS：</w:t>
            </w:r>
            <w:r>
              <w:rPr>
                <w:rFonts w:hint="eastAsia"/>
                <w:bCs/>
                <w:spacing w:val="10"/>
                <w:sz w:val="21"/>
                <w:szCs w:val="21"/>
              </w:rPr>
              <w:t>5.3，6.2</w:t>
            </w:r>
            <w:r>
              <w:rPr>
                <w:rFonts w:hint="eastAsia" w:ascii="宋体" w:hAnsi="宋体"/>
                <w:sz w:val="21"/>
                <w:szCs w:val="21"/>
              </w:rPr>
              <w:t>，</w:t>
            </w:r>
            <w:r>
              <w:rPr>
                <w:rFonts w:ascii="宋体" w:hAnsi="宋体"/>
                <w:sz w:val="21"/>
                <w:szCs w:val="21"/>
              </w:rPr>
              <w:t xml:space="preserve"> 8.</w:t>
            </w:r>
            <w:r>
              <w:rPr>
                <w:rFonts w:hint="eastAsia" w:ascii="宋体" w:hAnsi="宋体"/>
                <w:sz w:val="21"/>
                <w:szCs w:val="21"/>
              </w:rPr>
              <w:t>4</w:t>
            </w:r>
          </w:p>
          <w:p>
            <w:pPr>
              <w:pStyle w:val="18"/>
              <w:spacing w:after="0"/>
              <w:rPr>
                <w:rFonts w:ascii="宋体" w:hAnsi="宋体" w:eastAsia="宋体" w:cs="Arial"/>
                <w:sz w:val="21"/>
                <w:szCs w:val="21"/>
                <w:lang w:eastAsia="zh-CN"/>
              </w:rPr>
            </w:pPr>
            <w:r>
              <w:rPr>
                <w:rFonts w:hint="eastAsia" w:ascii="宋体" w:hAnsi="宋体" w:eastAsia="宋体" w:cs="Arial"/>
                <w:sz w:val="21"/>
                <w:szCs w:val="21"/>
                <w:lang w:eastAsia="zh-CN"/>
              </w:rPr>
              <w:t>EMS:</w:t>
            </w:r>
            <w:r>
              <w:rPr>
                <w:rFonts w:hint="eastAsia"/>
                <w:bCs/>
                <w:spacing w:val="10"/>
                <w:sz w:val="21"/>
                <w:szCs w:val="21"/>
              </w:rPr>
              <w:t xml:space="preserve"> 5.3</w:t>
            </w:r>
            <w:r>
              <w:rPr>
                <w:rFonts w:hint="eastAsia" w:ascii="宋体" w:hAnsi="宋体" w:eastAsia="宋体" w:cs="宋体"/>
                <w:bCs/>
                <w:spacing w:val="10"/>
                <w:sz w:val="21"/>
                <w:szCs w:val="21"/>
              </w:rPr>
              <w:t>，</w:t>
            </w:r>
            <w:r>
              <w:rPr>
                <w:rFonts w:hint="eastAsia"/>
                <w:bCs/>
                <w:spacing w:val="10"/>
                <w:sz w:val="21"/>
                <w:szCs w:val="21"/>
              </w:rPr>
              <w:t>6.2</w:t>
            </w:r>
            <w:r>
              <w:rPr>
                <w:rFonts w:hint="eastAsia" w:ascii="宋体" w:hAnsi="宋体" w:eastAsia="宋体" w:cs="宋体"/>
                <w:bCs/>
                <w:spacing w:val="10"/>
                <w:sz w:val="21"/>
                <w:szCs w:val="21"/>
              </w:rPr>
              <w:t>、</w:t>
            </w:r>
            <w:r>
              <w:rPr>
                <w:rFonts w:hint="eastAsia" w:ascii="宋体" w:hAnsi="宋体" w:eastAsia="宋体" w:cs="Arial"/>
                <w:sz w:val="21"/>
                <w:szCs w:val="21"/>
                <w:lang w:eastAsia="zh-CN"/>
              </w:rPr>
              <w:t xml:space="preserve">6.1.2,8.1, 8.2, </w:t>
            </w:r>
          </w:p>
          <w:p>
            <w:pPr>
              <w:pStyle w:val="12"/>
              <w:rPr>
                <w:rFonts w:hint="eastAsia" w:cs="Times New Roman"/>
                <w:sz w:val="21"/>
                <w:szCs w:val="21"/>
                <w:lang w:val="en-US" w:eastAsia="zh-CN"/>
              </w:rPr>
            </w:pPr>
            <w:r>
              <w:rPr>
                <w:rFonts w:hint="eastAsia" w:ascii="宋体" w:hAnsi="宋体" w:cs="Arial"/>
                <w:sz w:val="21"/>
                <w:szCs w:val="21"/>
                <w:lang w:val="de-DE"/>
              </w:rPr>
              <w:t>OHS:</w:t>
            </w:r>
            <w:r>
              <w:rPr>
                <w:rFonts w:hint="eastAsia"/>
                <w:sz w:val="21"/>
                <w:szCs w:val="21"/>
              </w:rPr>
              <w:t xml:space="preserve"> 5.3</w:t>
            </w:r>
            <w:r>
              <w:rPr>
                <w:rFonts w:hint="eastAsia" w:ascii="宋体" w:hAnsi="宋体" w:cs="宋体"/>
                <w:sz w:val="21"/>
                <w:szCs w:val="21"/>
              </w:rPr>
              <w:t>，</w:t>
            </w:r>
            <w:r>
              <w:rPr>
                <w:rFonts w:hint="eastAsia"/>
                <w:sz w:val="21"/>
                <w:szCs w:val="21"/>
              </w:rPr>
              <w:t>6.2</w:t>
            </w:r>
            <w:r>
              <w:rPr>
                <w:rFonts w:hint="eastAsia" w:ascii="宋体" w:hAnsi="宋体" w:cs="宋体"/>
                <w:sz w:val="21"/>
                <w:szCs w:val="21"/>
              </w:rPr>
              <w:t>、</w:t>
            </w:r>
            <w:r>
              <w:rPr>
                <w:rFonts w:hint="eastAsia" w:ascii="宋体" w:hAnsi="宋体" w:cs="Arial"/>
                <w:sz w:val="21"/>
                <w:szCs w:val="21"/>
                <w:lang w:val="de-DE"/>
              </w:rPr>
              <w:t>6.1.2,8.1, 8.2,</w:t>
            </w:r>
          </w:p>
        </w:tc>
        <w:tc>
          <w:tcPr>
            <w:tcW w:w="15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120" w:type="dxa"/>
            <w:gridSpan w:val="2"/>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远程审核采用的方式</w:t>
            </w:r>
          </w:p>
        </w:tc>
        <w:tc>
          <w:tcPr>
            <w:tcW w:w="10017" w:type="dxa"/>
            <w:vAlign w:val="top"/>
          </w:tcPr>
          <w:p>
            <w:pPr>
              <w:pStyle w:val="2"/>
              <w:jc w:val="left"/>
              <w:rPr>
                <w:rFonts w:hint="eastAsia"/>
                <w:highlight w:val="none"/>
                <w:lang w:val="en-US" w:eastAsia="zh-CN"/>
              </w:rPr>
            </w:pPr>
            <w:r>
              <w:rPr>
                <w:rFonts w:hint="eastAsia"/>
                <w:highlight w:val="none"/>
                <w:lang w:val="en-US" w:eastAsia="zh-CN"/>
              </w:rPr>
              <w:t>网络微信群、微信视频、腾讯会议、电话等方式。</w:t>
            </w:r>
          </w:p>
          <w:p>
            <w:pPr>
              <w:pStyle w:val="2"/>
              <w:jc w:val="left"/>
              <w:rPr>
                <w:rFonts w:hint="eastAsia"/>
                <w:highlight w:val="none"/>
                <w:lang w:val="en-US" w:eastAsia="zh-CN"/>
              </w:rPr>
            </w:pPr>
            <w:r>
              <w:rPr>
                <w:rFonts w:hint="eastAsia"/>
                <w:highlight w:val="none"/>
                <w:lang w:val="en-US" w:eastAsia="zh-CN"/>
              </w:rPr>
              <w:t>微信群：唐山万源云科技三体系审核群</w:t>
            </w:r>
          </w:p>
          <w:p>
            <w:pPr>
              <w:pStyle w:val="2"/>
              <w:jc w:val="left"/>
              <w:rPr>
                <w:rFonts w:hint="default" w:ascii="Times New Roman" w:hAnsi="Times New Roman" w:eastAsia="宋体" w:cs="Times New Roman"/>
                <w:bCs/>
                <w:spacing w:val="10"/>
                <w:kern w:val="2"/>
                <w:sz w:val="21"/>
                <w:highlight w:val="none"/>
                <w:lang w:val="en-US" w:eastAsia="zh-CN" w:bidi="ar-SA"/>
              </w:rPr>
            </w:pPr>
            <w:r>
              <w:rPr>
                <w:rFonts w:hint="eastAsia"/>
                <w:highlight w:val="none"/>
                <w:lang w:val="en-US" w:eastAsia="zh-CN"/>
              </w:rPr>
              <w:t>腾讯会议号：544544564</w:t>
            </w:r>
          </w:p>
        </w:tc>
        <w:tc>
          <w:tcPr>
            <w:tcW w:w="1572"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b/>
                <w:bCs/>
                <w:sz w:val="21"/>
                <w:szCs w:val="21"/>
              </w:rPr>
              <w:t>组织的角色、职责和权限</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QEO5.3</w:t>
            </w:r>
          </w:p>
        </w:tc>
        <w:tc>
          <w:tcPr>
            <w:tcW w:w="10017" w:type="dxa"/>
            <w:vAlign w:val="top"/>
          </w:tcPr>
          <w:p>
            <w:pPr>
              <w:numPr>
                <w:ilvl w:val="0"/>
                <w:numId w:val="1"/>
              </w:numPr>
              <w:spacing w:line="360" w:lineRule="auto"/>
              <w:ind w:left="420" w:leftChars="0" w:hanging="420" w:firstLineChars="0"/>
              <w:rPr>
                <w:rFonts w:hint="eastAsia" w:ascii="Times New Roman" w:hAnsi="Times New Roman" w:eastAsia="宋体" w:cs="Times New Roman"/>
                <w:color w:val="auto"/>
                <w:kern w:val="2"/>
                <w:sz w:val="21"/>
                <w:szCs w:val="21"/>
                <w:lang w:val="en-US" w:eastAsia="zh-CN" w:bidi="ar-SA"/>
              </w:rPr>
            </w:pPr>
            <w:r>
              <w:rPr>
                <w:rFonts w:hint="eastAsia"/>
                <w:sz w:val="21"/>
                <w:szCs w:val="21"/>
                <w:lang w:val="en-US" w:eastAsia="zh-CN"/>
              </w:rPr>
              <w:t>文件：《管理手册》5.3条款，</w:t>
            </w:r>
            <w:r>
              <w:rPr>
                <w:rFonts w:hint="eastAsia" w:ascii="Times New Roman" w:hAnsi="Times New Roman" w:eastAsia="宋体" w:cs="Times New Roman"/>
                <w:color w:val="auto"/>
                <w:kern w:val="2"/>
                <w:sz w:val="21"/>
                <w:szCs w:val="21"/>
                <w:lang w:val="en-US" w:eastAsia="zh-CN" w:bidi="ar-SA"/>
              </w:rPr>
              <w:t>《岗位说明书》；文件适宜。</w:t>
            </w:r>
          </w:p>
          <w:p>
            <w:pPr>
              <w:pStyle w:val="12"/>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采购部</w:t>
            </w:r>
            <w:r>
              <w:rPr>
                <w:rFonts w:hint="eastAsia" w:ascii="Times New Roman" w:hAnsi="Times New Roman" w:eastAsia="宋体" w:cs="Times New Roman"/>
                <w:color w:val="auto"/>
                <w:kern w:val="2"/>
                <w:sz w:val="21"/>
                <w:szCs w:val="21"/>
                <w:lang w:val="en-US" w:eastAsia="zh-CN" w:bidi="ar-SA"/>
              </w:rPr>
              <w:t>：职责已明确:</w:t>
            </w:r>
          </w:p>
          <w:p>
            <w:pPr>
              <w:spacing w:line="420" w:lineRule="exact"/>
              <w:ind w:firstLine="420" w:firstLineChars="200"/>
              <w:rPr>
                <w:rFonts w:ascii="宋体" w:hAnsi="宋体"/>
              </w:rPr>
            </w:pPr>
            <w:r>
              <w:rPr>
                <w:rFonts w:hint="eastAsia" w:ascii="宋体" w:hAnsi="宋体"/>
              </w:rPr>
              <w:t>1.负责公司所用物资的采购</w:t>
            </w:r>
            <w:r>
              <w:rPr>
                <w:rFonts w:ascii="宋体" w:hAnsi="宋体"/>
              </w:rPr>
              <w:t>,</w:t>
            </w:r>
            <w:r>
              <w:rPr>
                <w:rFonts w:hint="eastAsia" w:ascii="宋体" w:hAnsi="宋体"/>
              </w:rPr>
              <w:t>制定采购计划。</w:t>
            </w:r>
          </w:p>
          <w:p>
            <w:pPr>
              <w:spacing w:line="420" w:lineRule="exact"/>
              <w:ind w:firstLine="420" w:firstLineChars="200"/>
              <w:rPr>
                <w:rFonts w:hint="eastAsia" w:ascii="宋体" w:hAnsi="宋体"/>
              </w:rPr>
            </w:pPr>
            <w:r>
              <w:rPr>
                <w:rFonts w:hint="eastAsia" w:ascii="宋体" w:hAnsi="宋体"/>
              </w:rPr>
              <w:t>2.负责公司供货商资格的核查，制定供应商评价考核标准，完善供应商档案资料。</w:t>
            </w:r>
          </w:p>
          <w:p>
            <w:pPr>
              <w:spacing w:line="420" w:lineRule="exact"/>
              <w:ind w:firstLine="420" w:firstLineChars="200"/>
              <w:rPr>
                <w:rFonts w:ascii="宋体" w:hAnsi="宋体"/>
              </w:rPr>
            </w:pPr>
            <w:r>
              <w:rPr>
                <w:rFonts w:hint="eastAsia" w:ascii="宋体" w:hAnsi="宋体"/>
              </w:rPr>
              <w:t>3.组织采购合同、订单和商务谈判，建立完善的市场询价及报价体系。开展业务研究，跟踪所购物资的使用、运行情况，进行“性价比”研究分析。</w:t>
            </w:r>
          </w:p>
          <w:p>
            <w:pPr>
              <w:spacing w:line="420" w:lineRule="exact"/>
              <w:ind w:firstLine="420" w:firstLineChars="200"/>
              <w:rPr>
                <w:rFonts w:ascii="宋体" w:hAnsi="宋体"/>
              </w:rPr>
            </w:pPr>
            <w:r>
              <w:rPr>
                <w:rFonts w:hint="eastAsia" w:ascii="宋体" w:hAnsi="宋体"/>
              </w:rPr>
              <w:t>4.负责对材料供应相关方施加环境的影响。</w:t>
            </w:r>
          </w:p>
          <w:p>
            <w:pPr>
              <w:spacing w:line="420" w:lineRule="exact"/>
              <w:ind w:firstLine="420" w:firstLineChars="200"/>
              <w:rPr>
                <w:rFonts w:hint="eastAsia" w:ascii="宋体" w:hAnsi="宋体"/>
              </w:rPr>
            </w:pPr>
            <w:r>
              <w:rPr>
                <w:rFonts w:hint="eastAsia" w:ascii="宋体" w:hAnsi="宋体"/>
              </w:rPr>
              <w:t>5.负责公司物流管理，及时完成入、退、出库的手续，按时盘点，做到帐、证、物相符。</w:t>
            </w:r>
          </w:p>
          <w:p>
            <w:pPr>
              <w:spacing w:line="420" w:lineRule="exact"/>
              <w:ind w:firstLine="420" w:firstLineChars="200"/>
              <w:rPr>
                <w:rFonts w:hint="eastAsia" w:ascii="宋体" w:hAnsi="宋体"/>
              </w:rPr>
            </w:pPr>
            <w:r>
              <w:rPr>
                <w:rFonts w:hint="eastAsia" w:ascii="宋体" w:hAnsi="宋体"/>
              </w:rPr>
              <w:t>6.负责本部门环境因素和危险源的识别、评价与控制管理工作。</w:t>
            </w:r>
          </w:p>
          <w:p>
            <w:pPr>
              <w:pStyle w:val="2"/>
              <w:rPr>
                <w:rFonts w:hint="eastAsia"/>
              </w:rPr>
            </w:pPr>
          </w:p>
          <w:p>
            <w:pPr>
              <w:numPr>
                <w:ilvl w:val="0"/>
                <w:numId w:val="2"/>
              </w:numPr>
              <w:ind w:left="420" w:leftChars="0" w:hanging="420" w:firstLineChars="0"/>
              <w:rPr>
                <w:rFonts w:ascii="Times New Roman" w:hAnsi="Times New Roman" w:eastAsia="宋体" w:cs="Times New Roman"/>
                <w:kern w:val="2"/>
                <w:sz w:val="21"/>
                <w:lang w:val="en-US" w:eastAsia="zh-CN" w:bidi="ar-SA"/>
              </w:rPr>
            </w:pPr>
            <w:r>
              <w:rPr>
                <w:rFonts w:hint="eastAsia" w:ascii="宋体" w:hAnsi="宋体" w:cs="Arial"/>
                <w:color w:val="000000"/>
                <w:szCs w:val="21"/>
              </w:rPr>
              <w:t>以文件的形式发布，部门组织学习，现场有职责</w:t>
            </w:r>
            <w:r>
              <w:rPr>
                <w:rFonts w:hint="eastAsia" w:ascii="宋体" w:hAnsi="宋体" w:cs="Tahoma"/>
                <w:color w:val="000000"/>
                <w:szCs w:val="21"/>
              </w:rPr>
              <w:t>权限的要求文件，询问</w:t>
            </w:r>
            <w:r>
              <w:rPr>
                <w:rFonts w:hint="eastAsia" w:ascii="宋体" w:hAnsi="宋体" w:cs="Tahoma"/>
                <w:color w:val="000000"/>
                <w:szCs w:val="21"/>
                <w:lang w:eastAsia="zh-CN"/>
              </w:rPr>
              <w:t>采购部</w:t>
            </w:r>
            <w:r>
              <w:rPr>
                <w:rFonts w:hint="eastAsia" w:ascii="宋体" w:hAnsi="宋体" w:cs="Tahoma"/>
                <w:color w:val="000000"/>
                <w:szCs w:val="21"/>
                <w:lang w:val="en-US" w:eastAsia="zh-CN"/>
              </w:rPr>
              <w:t>负责人</w:t>
            </w:r>
            <w:r>
              <w:rPr>
                <w:rFonts w:hint="eastAsia" w:ascii="宋体" w:hAnsi="宋体" w:cs="Tahoma"/>
                <w:color w:val="000000"/>
                <w:szCs w:val="21"/>
              </w:rPr>
              <w:t>，基本理解其本职工作内容</w:t>
            </w:r>
            <w:r>
              <w:rPr>
                <w:rFonts w:hint="eastAsia" w:ascii="宋体" w:hAnsi="宋体" w:cs="Tahoma"/>
                <w:color w:val="000000"/>
                <w:szCs w:val="21"/>
                <w:lang w:eastAsia="zh-CN"/>
              </w:rPr>
              <w:t>。</w:t>
            </w:r>
          </w:p>
        </w:tc>
        <w:tc>
          <w:tcPr>
            <w:tcW w:w="157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ascii="宋体" w:hAnsi="宋体" w:cs="宋体"/>
                <w:b/>
                <w:bCs/>
                <w:sz w:val="21"/>
                <w:szCs w:val="21"/>
              </w:rPr>
              <w:t>环境因素</w:t>
            </w:r>
          </w:p>
        </w:tc>
        <w:tc>
          <w:tcPr>
            <w:tcW w:w="960" w:type="dxa"/>
            <w:vAlign w:val="top"/>
          </w:tcPr>
          <w:p>
            <w:r>
              <w:rPr>
                <w:rFonts w:hint="eastAsia" w:ascii="宋体" w:hAnsi="宋体" w:cs="宋体"/>
                <w:b/>
                <w:bCs/>
                <w:sz w:val="21"/>
                <w:szCs w:val="21"/>
                <w:lang w:val="en-US" w:eastAsia="zh-CN"/>
              </w:rPr>
              <w:t>E:</w:t>
            </w:r>
            <w:r>
              <w:rPr>
                <w:rFonts w:hint="eastAsia" w:ascii="宋体" w:hAnsi="宋体" w:cs="宋体"/>
                <w:b/>
                <w:bCs/>
                <w:sz w:val="21"/>
                <w:szCs w:val="21"/>
              </w:rPr>
              <w:t>6.1.2</w:t>
            </w:r>
          </w:p>
        </w:tc>
        <w:tc>
          <w:tcPr>
            <w:tcW w:w="10017" w:type="dxa"/>
            <w:vAlign w:val="top"/>
          </w:tcPr>
          <w:p>
            <w:pPr>
              <w:numPr>
                <w:ilvl w:val="0"/>
                <w:numId w:val="3"/>
              </w:numPr>
              <w:spacing w:line="400" w:lineRule="exact"/>
              <w:rPr>
                <w:rFonts w:hint="eastAsia" w:ascii="宋体" w:hAnsi="宋体" w:eastAsia="宋体" w:cs="Times New Roman"/>
                <w:szCs w:val="21"/>
              </w:rPr>
            </w:pPr>
            <w:r>
              <w:rPr>
                <w:rFonts w:hint="eastAsia" w:ascii="宋体" w:hAnsi="宋体" w:eastAsia="宋体" w:cs="Times New Roman"/>
                <w:szCs w:val="21"/>
              </w:rPr>
              <w:t>编制了《环境因素识别与评价控制程序》，明确了职责、</w:t>
            </w:r>
            <w:r>
              <w:rPr>
                <w:rFonts w:hint="eastAsia" w:ascii="宋体" w:hAnsi="宋体" w:eastAsia="宋体" w:cs="Times New Roman"/>
                <w:szCs w:val="21"/>
                <w:lang w:val="en-US" w:eastAsia="zh-CN"/>
              </w:rPr>
              <w:t>环境因素识别</w:t>
            </w:r>
            <w:r>
              <w:rPr>
                <w:rFonts w:hint="eastAsia" w:ascii="宋体" w:hAnsi="宋体" w:eastAsia="宋体" w:cs="Times New Roman"/>
                <w:szCs w:val="21"/>
              </w:rPr>
              <w:t>及评价方法、程序等。基本符合标准要求。文件适宜。</w:t>
            </w:r>
          </w:p>
          <w:p>
            <w:pPr>
              <w:numPr>
                <w:ilvl w:val="0"/>
                <w:numId w:val="3"/>
              </w:numPr>
              <w:spacing w:line="400" w:lineRule="exact"/>
              <w:rPr>
                <w:rFonts w:hint="eastAsia" w:ascii="宋体" w:hAnsi="宋体" w:eastAsia="宋体" w:cs="Times New Roman"/>
                <w:szCs w:val="21"/>
              </w:rPr>
            </w:pPr>
            <w:r>
              <w:rPr>
                <w:rFonts w:hint="eastAsia" w:ascii="宋体" w:hAnsi="宋体" w:eastAsia="宋体" w:cs="Times New Roman"/>
                <w:szCs w:val="21"/>
              </w:rPr>
              <w:t>查见</w:t>
            </w:r>
            <w:r>
              <w:rPr>
                <w:rFonts w:hint="eastAsia" w:ascii="宋体" w:hAnsi="宋体" w:eastAsia="宋体" w:cs="Times New Roman"/>
                <w:szCs w:val="21"/>
                <w:lang w:val="en-US" w:eastAsia="zh-CN"/>
              </w:rPr>
              <w:t>部门</w:t>
            </w:r>
            <w:r>
              <w:rPr>
                <w:rFonts w:hint="eastAsia" w:ascii="宋体" w:hAnsi="宋体" w:eastAsia="宋体" w:cs="Times New Roman"/>
                <w:szCs w:val="21"/>
              </w:rPr>
              <w:t>《环境因素</w:t>
            </w:r>
            <w:r>
              <w:rPr>
                <w:rFonts w:hint="eastAsia" w:ascii="宋体" w:hAnsi="宋体" w:cs="Times New Roman"/>
                <w:szCs w:val="21"/>
                <w:lang w:val="en-US" w:eastAsia="zh-CN"/>
              </w:rPr>
              <w:t>及评定表</w:t>
            </w:r>
            <w:r>
              <w:rPr>
                <w:rFonts w:hint="eastAsia" w:ascii="宋体" w:hAnsi="宋体" w:eastAsia="宋体" w:cs="Times New Roman"/>
                <w:szCs w:val="21"/>
              </w:rPr>
              <w:t>》，</w:t>
            </w:r>
            <w:r>
              <w:rPr>
                <w:rFonts w:hint="eastAsia" w:ascii="宋体" w:hAnsi="宋体"/>
                <w:szCs w:val="21"/>
              </w:rPr>
              <w:t>编制、审核、批准齐全；</w:t>
            </w:r>
            <w:r>
              <w:rPr>
                <w:rFonts w:hint="eastAsia" w:ascii="宋体" w:hAnsi="宋体" w:eastAsia="宋体" w:cs="Times New Roman"/>
                <w:szCs w:val="21"/>
              </w:rPr>
              <w:t>识别环境因素若干项。包括了日常办公活动所涉及的水、电消耗，</w:t>
            </w:r>
            <w:r>
              <w:rPr>
                <w:rFonts w:hint="eastAsia" w:ascii="宋体" w:hAnsi="宋体" w:cs="Times New Roman"/>
                <w:szCs w:val="21"/>
                <w:lang w:val="en-US" w:eastAsia="zh-CN"/>
              </w:rPr>
              <w:t>固废</w:t>
            </w:r>
            <w:r>
              <w:rPr>
                <w:rFonts w:hint="eastAsia" w:ascii="宋体" w:hAnsi="宋体" w:eastAsia="宋体" w:cs="Times New Roman"/>
                <w:szCs w:val="21"/>
              </w:rPr>
              <w:t>管理等，采用判断法与评分法进行了评价。</w:t>
            </w:r>
          </w:p>
          <w:p>
            <w:pPr>
              <w:numPr>
                <w:ilvl w:val="0"/>
                <w:numId w:val="3"/>
              </w:numPr>
              <w:spacing w:line="400" w:lineRule="exact"/>
              <w:rPr>
                <w:rFonts w:hint="eastAsia" w:ascii="宋体" w:hAnsi="宋体"/>
                <w:szCs w:val="21"/>
              </w:rPr>
            </w:pPr>
            <w:r>
              <w:rPr>
                <w:rFonts w:hint="eastAsia" w:ascii="宋体" w:hAnsi="宋体"/>
                <w:szCs w:val="21"/>
              </w:rPr>
              <w:t>抽环境因素：</w:t>
            </w:r>
          </w:p>
          <w:p>
            <w:pPr>
              <w:numPr>
                <w:ilvl w:val="0"/>
                <w:numId w:val="0"/>
              </w:numPr>
              <w:spacing w:line="400" w:lineRule="exact"/>
              <w:ind w:leftChars="0" w:firstLine="630" w:firstLineChars="300"/>
              <w:rPr>
                <w:rFonts w:hint="eastAsia" w:ascii="宋体" w:hAnsi="宋体"/>
                <w:szCs w:val="21"/>
              </w:rPr>
            </w:pPr>
            <w:r>
              <w:rPr>
                <w:rFonts w:hint="eastAsia" w:ascii="宋体" w:hAnsi="宋体"/>
                <w:szCs w:val="21"/>
              </w:rPr>
              <w:t>办公用纸的废弃；判断结果：</w:t>
            </w:r>
            <w:r>
              <w:rPr>
                <w:rFonts w:hint="eastAsia" w:ascii="宋体" w:hAnsi="宋体"/>
                <w:szCs w:val="21"/>
                <w:lang w:val="en-US" w:eastAsia="zh-CN"/>
              </w:rPr>
              <w:t>一般环境因素</w:t>
            </w:r>
            <w:r>
              <w:rPr>
                <w:rFonts w:hint="eastAsia" w:ascii="宋体" w:hAnsi="宋体"/>
                <w:szCs w:val="21"/>
              </w:rPr>
              <w:t>；</w:t>
            </w:r>
          </w:p>
          <w:p>
            <w:pPr>
              <w:numPr>
                <w:ilvl w:val="0"/>
                <w:numId w:val="0"/>
              </w:numPr>
              <w:spacing w:line="400" w:lineRule="exact"/>
              <w:ind w:leftChars="0" w:firstLine="630" w:firstLineChars="300"/>
              <w:rPr>
                <w:rFonts w:hint="eastAsia" w:ascii="宋体" w:hAnsi="宋体"/>
                <w:szCs w:val="21"/>
              </w:rPr>
            </w:pPr>
            <w:r>
              <w:rPr>
                <w:rFonts w:hint="eastAsia"/>
                <w:lang w:val="en-US" w:eastAsia="zh-CN"/>
              </w:rPr>
              <w:t>办公--</w:t>
            </w:r>
            <w:r>
              <w:rPr>
                <w:rFonts w:hint="eastAsia"/>
              </w:rPr>
              <w:t>硒鼓、墨盒、色带等废弃物排放</w:t>
            </w:r>
            <w:r>
              <w:rPr>
                <w:rFonts w:hint="eastAsia" w:ascii="宋体" w:hAnsi="宋体"/>
                <w:szCs w:val="21"/>
              </w:rPr>
              <w:t>；判断结果：重要</w:t>
            </w:r>
            <w:r>
              <w:rPr>
                <w:rFonts w:hint="eastAsia" w:ascii="宋体" w:hAnsi="宋体"/>
                <w:szCs w:val="21"/>
                <w:lang w:val="en-US" w:eastAsia="zh-CN"/>
              </w:rPr>
              <w:t>环境因素</w:t>
            </w:r>
            <w:r>
              <w:rPr>
                <w:rFonts w:hint="eastAsia" w:ascii="宋体" w:hAnsi="宋体"/>
                <w:szCs w:val="21"/>
              </w:rPr>
              <w:t>；</w:t>
            </w:r>
          </w:p>
          <w:p>
            <w:pPr>
              <w:pStyle w:val="2"/>
              <w:ind w:firstLine="690" w:firstLineChars="300"/>
              <w:rPr>
                <w:rFonts w:hint="eastAsia"/>
              </w:rPr>
            </w:pPr>
            <w:r>
              <w:rPr>
                <w:rFonts w:hint="eastAsia"/>
                <w:szCs w:val="21"/>
                <w:lang w:val="en-US" w:eastAsia="zh-CN"/>
              </w:rPr>
              <w:t>采购过程--</w:t>
            </w:r>
            <w:r>
              <w:rPr>
                <w:rFonts w:hint="eastAsia"/>
                <w:szCs w:val="21"/>
              </w:rPr>
              <w:t>废包装物的丢弃</w:t>
            </w:r>
            <w:r>
              <w:rPr>
                <w:rFonts w:hint="eastAsia" w:ascii="宋体" w:hAnsi="宋体"/>
                <w:szCs w:val="21"/>
              </w:rPr>
              <w:t>；判断结果：</w:t>
            </w:r>
            <w:r>
              <w:rPr>
                <w:rFonts w:hint="eastAsia" w:ascii="宋体" w:hAnsi="宋体"/>
                <w:szCs w:val="21"/>
                <w:lang w:val="en-US" w:eastAsia="zh-CN"/>
              </w:rPr>
              <w:t>一般环境因素</w:t>
            </w:r>
            <w:r>
              <w:rPr>
                <w:rFonts w:hint="eastAsia" w:ascii="宋体" w:hAnsi="宋体"/>
                <w:szCs w:val="21"/>
              </w:rPr>
              <w:t>；</w:t>
            </w:r>
          </w:p>
          <w:p>
            <w:pPr>
              <w:numPr>
                <w:ilvl w:val="0"/>
                <w:numId w:val="0"/>
              </w:numPr>
              <w:spacing w:line="400" w:lineRule="exact"/>
              <w:ind w:leftChars="0" w:firstLine="420" w:firstLineChars="200"/>
              <w:rPr>
                <w:rFonts w:hint="eastAsia" w:ascii="宋体" w:hAnsi="宋体"/>
                <w:szCs w:val="21"/>
              </w:rPr>
            </w:pPr>
            <w:r>
              <w:rPr>
                <w:rFonts w:hint="eastAsia" w:ascii="宋体" w:hAnsi="宋体"/>
                <w:szCs w:val="21"/>
              </w:rPr>
              <w:t>评价方法基本适宜，评价结果基本合理。</w:t>
            </w:r>
          </w:p>
          <w:p>
            <w:pPr>
              <w:numPr>
                <w:ilvl w:val="0"/>
                <w:numId w:val="0"/>
              </w:numPr>
              <w:spacing w:line="400" w:lineRule="exact"/>
              <w:ind w:leftChars="0" w:firstLine="420" w:firstLineChars="200"/>
              <w:rPr>
                <w:rFonts w:hint="eastAsia" w:ascii="宋体" w:hAnsi="宋体"/>
                <w:szCs w:val="21"/>
              </w:rPr>
            </w:pPr>
            <w:r>
              <w:rPr>
                <w:rFonts w:hint="eastAsia" w:ascii="宋体" w:hAnsi="宋体"/>
                <w:szCs w:val="21"/>
              </w:rPr>
              <w:t>查见《重要环境因素清单》。涉及本部门有</w:t>
            </w:r>
            <w:r>
              <w:rPr>
                <w:rFonts w:hint="eastAsia" w:ascii="宋体" w:hAnsi="宋体"/>
                <w:szCs w:val="21"/>
                <w:lang w:val="en-US" w:eastAsia="zh-CN"/>
              </w:rPr>
              <w:t>2</w:t>
            </w:r>
            <w:r>
              <w:rPr>
                <w:rFonts w:hint="eastAsia" w:ascii="宋体" w:hAnsi="宋体"/>
                <w:szCs w:val="21"/>
              </w:rPr>
              <w:t>项：</w:t>
            </w:r>
          </w:p>
          <w:p>
            <w:pPr>
              <w:numPr>
                <w:ilvl w:val="0"/>
                <w:numId w:val="0"/>
              </w:numPr>
              <w:spacing w:line="400" w:lineRule="exact"/>
              <w:ind w:leftChars="0" w:firstLine="420" w:firstLineChars="200"/>
              <w:rPr>
                <w:rFonts w:hint="eastAsia" w:ascii="宋体" w:hAnsi="宋体"/>
                <w:szCs w:val="21"/>
              </w:rPr>
            </w:pPr>
            <w:r>
              <w:rPr>
                <w:rFonts w:hint="eastAsia" w:ascii="宋体" w:hAnsi="宋体"/>
                <w:szCs w:val="21"/>
                <w:lang w:val="en-US" w:eastAsia="zh-CN"/>
              </w:rPr>
              <w:t>固</w:t>
            </w:r>
            <w:r>
              <w:rPr>
                <w:rFonts w:hint="eastAsia" w:ascii="宋体" w:hAnsi="宋体"/>
                <w:szCs w:val="21"/>
              </w:rPr>
              <w:t>废</w:t>
            </w:r>
            <w:r>
              <w:rPr>
                <w:rFonts w:hint="eastAsia" w:ascii="宋体" w:hAnsi="宋体"/>
                <w:szCs w:val="21"/>
                <w:lang w:val="en-US" w:eastAsia="zh-CN"/>
              </w:rPr>
              <w:t>的</w:t>
            </w:r>
            <w:r>
              <w:rPr>
                <w:rFonts w:hint="eastAsia" w:ascii="宋体" w:hAnsi="宋体"/>
                <w:szCs w:val="21"/>
              </w:rPr>
              <w:t>排放。即办公区墨盒、硒鼓</w:t>
            </w:r>
            <w:r>
              <w:rPr>
                <w:rFonts w:hint="eastAsia" w:ascii="宋体" w:hAnsi="宋体"/>
                <w:szCs w:val="21"/>
                <w:lang w:val="en-US" w:eastAsia="zh-CN"/>
              </w:rPr>
              <w:t>张</w:t>
            </w:r>
            <w:r>
              <w:rPr>
                <w:rFonts w:hint="eastAsia" w:ascii="宋体" w:hAnsi="宋体"/>
                <w:szCs w:val="21"/>
              </w:rPr>
              <w:t>等的废弃，环境影响：污染土壤水体，主要控制措施：《废弃物管理办法》管理方案；</w:t>
            </w:r>
          </w:p>
          <w:p>
            <w:pPr>
              <w:numPr>
                <w:ilvl w:val="0"/>
                <w:numId w:val="0"/>
              </w:numPr>
              <w:spacing w:line="400" w:lineRule="exact"/>
              <w:ind w:leftChars="0" w:firstLine="420" w:firstLineChars="200"/>
              <w:rPr>
                <w:rFonts w:hint="eastAsia" w:ascii="宋体" w:hAnsi="宋体"/>
                <w:szCs w:val="21"/>
              </w:rPr>
            </w:pPr>
            <w:r>
              <w:rPr>
                <w:rFonts w:hint="eastAsia" w:ascii="宋体" w:hAnsi="宋体"/>
                <w:szCs w:val="21"/>
              </w:rPr>
              <w:t>火灾的发生</w:t>
            </w:r>
            <w:r>
              <w:rPr>
                <w:rFonts w:hint="eastAsia" w:ascii="宋体" w:hAnsi="宋体"/>
                <w:szCs w:val="21"/>
                <w:lang w:eastAsia="zh-CN"/>
              </w:rPr>
              <w:t>；</w:t>
            </w:r>
            <w:r>
              <w:rPr>
                <w:rFonts w:hint="eastAsia" w:ascii="宋体" w:hAnsi="宋体"/>
                <w:szCs w:val="21"/>
              </w:rPr>
              <w:t>电源线路老化、漏电或其他原因导致潜在火灾的发生等</w:t>
            </w:r>
            <w:r>
              <w:rPr>
                <w:rFonts w:hint="eastAsia" w:ascii="宋体" w:hAnsi="宋体"/>
                <w:szCs w:val="21"/>
                <w:lang w:eastAsia="zh-CN"/>
              </w:rPr>
              <w:t>；</w:t>
            </w:r>
            <w:r>
              <w:rPr>
                <w:rFonts w:hint="eastAsia" w:ascii="宋体" w:hAnsi="宋体"/>
                <w:szCs w:val="21"/>
              </w:rPr>
              <w:t>主要控制措施：《火灾应急预案》</w:t>
            </w:r>
          </w:p>
          <w:p>
            <w:pPr>
              <w:numPr>
                <w:ilvl w:val="0"/>
                <w:numId w:val="0"/>
              </w:numPr>
              <w:spacing w:line="400" w:lineRule="exact"/>
              <w:ind w:leftChars="0" w:firstLine="420" w:firstLineChars="200"/>
              <w:rPr>
                <w:rFonts w:hint="eastAsia" w:ascii="宋体" w:hAnsi="宋体" w:eastAsia="宋体"/>
                <w:szCs w:val="21"/>
                <w:lang w:val="en-US" w:eastAsia="zh-CN"/>
              </w:rPr>
            </w:pPr>
            <w:r>
              <w:rPr>
                <w:rFonts w:hint="eastAsia" w:ascii="宋体" w:hAnsi="宋体"/>
                <w:szCs w:val="21"/>
              </w:rPr>
              <w:t>管理方案</w:t>
            </w:r>
            <w:r>
              <w:rPr>
                <w:rFonts w:hint="eastAsia" w:ascii="宋体" w:hAnsi="宋体"/>
                <w:szCs w:val="21"/>
                <w:lang w:val="en-US" w:eastAsia="zh-CN"/>
              </w:rPr>
              <w:t>等。</w:t>
            </w:r>
          </w:p>
          <w:p>
            <w:pPr>
              <w:pStyle w:val="12"/>
            </w:pPr>
          </w:p>
        </w:tc>
        <w:tc>
          <w:tcPr>
            <w:tcW w:w="1572"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60" w:type="dxa"/>
            <w:vAlign w:val="top"/>
          </w:tcPr>
          <w:p>
            <w:r>
              <w:rPr>
                <w:rFonts w:hint="eastAsia" w:ascii="宋体" w:hAnsi="宋体" w:cs="宋体"/>
                <w:b/>
                <w:bCs/>
                <w:sz w:val="21"/>
                <w:szCs w:val="21"/>
              </w:rPr>
              <w:t>危险源辨识和职业安全风险评价</w:t>
            </w:r>
          </w:p>
        </w:tc>
        <w:tc>
          <w:tcPr>
            <w:tcW w:w="960" w:type="dxa"/>
            <w:vAlign w:val="top"/>
          </w:tcPr>
          <w:p>
            <w:r>
              <w:rPr>
                <w:rFonts w:hint="eastAsia" w:ascii="宋体" w:hAnsi="宋体" w:cs="宋体"/>
                <w:b/>
                <w:bCs/>
                <w:sz w:val="21"/>
                <w:szCs w:val="21"/>
                <w:lang w:val="en-US" w:eastAsia="zh-CN"/>
              </w:rPr>
              <w:t>O:</w:t>
            </w:r>
            <w:r>
              <w:rPr>
                <w:rFonts w:hint="eastAsia" w:ascii="宋体" w:hAnsi="宋体" w:cs="宋体"/>
                <w:b/>
                <w:bCs/>
                <w:sz w:val="21"/>
                <w:szCs w:val="21"/>
              </w:rPr>
              <w:t>6.1.2</w:t>
            </w:r>
          </w:p>
        </w:tc>
        <w:tc>
          <w:tcPr>
            <w:tcW w:w="10017" w:type="dxa"/>
            <w:vAlign w:val="top"/>
          </w:tcPr>
          <w:p>
            <w:pPr>
              <w:numPr>
                <w:ilvl w:val="0"/>
                <w:numId w:val="3"/>
              </w:numPr>
              <w:spacing w:line="400" w:lineRule="exact"/>
              <w:rPr>
                <w:rFonts w:hint="eastAsia"/>
                <w:lang w:val="en-US" w:eastAsia="zh-CN"/>
              </w:rPr>
            </w:pPr>
            <w:r>
              <w:rPr>
                <w:rFonts w:hint="eastAsia"/>
              </w:rPr>
              <w:t>编制</w:t>
            </w:r>
            <w:r>
              <w:rPr>
                <w:rFonts w:hint="eastAsia"/>
                <w:lang w:val="en-US" w:eastAsia="zh-CN"/>
              </w:rPr>
              <w:t>了《危险源辨识及风险评估与风险控制程序》，明确了职责、危险源辨识及评价方法、程序等。基本符合标准要求。文件适宜。</w:t>
            </w:r>
          </w:p>
          <w:p>
            <w:pPr>
              <w:numPr>
                <w:ilvl w:val="0"/>
                <w:numId w:val="3"/>
              </w:numPr>
              <w:spacing w:line="400" w:lineRule="exact"/>
              <w:rPr>
                <w:rFonts w:hint="eastAsia"/>
              </w:rPr>
            </w:pPr>
            <w:r>
              <w:rPr>
                <w:rFonts w:hint="eastAsia"/>
              </w:rPr>
              <w:t>查见《职业健康安全危险源辨识与风险评价调查（汇总）表》</w:t>
            </w:r>
            <w:r>
              <w:rPr>
                <w:rFonts w:hint="eastAsia"/>
                <w:lang w:val="en-US" w:eastAsia="zh-CN"/>
              </w:rPr>
              <w:t>采购部区域</w:t>
            </w:r>
            <w:r>
              <w:rPr>
                <w:rFonts w:hint="eastAsia"/>
              </w:rPr>
              <w:t xml:space="preserve">，共识别危险源 </w:t>
            </w:r>
            <w:r>
              <w:rPr>
                <w:rFonts w:hint="eastAsia"/>
                <w:lang w:val="en-US" w:eastAsia="zh-CN"/>
              </w:rPr>
              <w:t>若干项</w:t>
            </w:r>
            <w:r>
              <w:rPr>
                <w:rFonts w:hint="eastAsia"/>
              </w:rPr>
              <w:t>。</w:t>
            </w:r>
          </w:p>
          <w:p>
            <w:pPr>
              <w:numPr>
                <w:ilvl w:val="0"/>
                <w:numId w:val="3"/>
              </w:numPr>
              <w:spacing w:line="400" w:lineRule="exact"/>
              <w:rPr>
                <w:rFonts w:hint="eastAsia"/>
              </w:rPr>
            </w:pPr>
            <w:r>
              <w:rPr>
                <w:rFonts w:hint="eastAsia"/>
              </w:rPr>
              <w:t>抽：作业活动 / 危险源/可能导致的事故/</w:t>
            </w:r>
            <w:r>
              <w:rPr>
                <w:rFonts w:hint="eastAsia"/>
                <w:lang w:val="en-US" w:eastAsia="zh-CN"/>
              </w:rPr>
              <w:t>打分法</w:t>
            </w:r>
            <w:r>
              <w:rPr>
                <w:rFonts w:hint="eastAsia"/>
              </w:rPr>
              <w:t>L E C D/</w:t>
            </w:r>
            <w:r>
              <w:rPr>
                <w:rFonts w:hint="eastAsia"/>
                <w:lang w:val="en-US" w:eastAsia="zh-CN"/>
              </w:rPr>
              <w:t>判定</w:t>
            </w:r>
          </w:p>
          <w:p>
            <w:pPr>
              <w:pStyle w:val="2"/>
              <w:rPr>
                <w:rFonts w:hint="eastAsia"/>
                <w:lang w:val="en-US" w:eastAsia="zh-CN"/>
              </w:rPr>
            </w:pPr>
            <w:r>
              <w:rPr>
                <w:rFonts w:hint="eastAsia"/>
                <w:lang w:val="en-US" w:eastAsia="zh-CN"/>
              </w:rPr>
              <w:t>办公活动：</w:t>
            </w:r>
          </w:p>
          <w:p>
            <w:pPr>
              <w:pStyle w:val="2"/>
              <w:rPr>
                <w:rFonts w:hint="default"/>
                <w:lang w:val="en-US" w:eastAsia="zh-CN"/>
              </w:rPr>
            </w:pPr>
            <w:r>
              <w:rPr>
                <w:rFonts w:hint="eastAsia"/>
                <w:lang w:val="en-US" w:eastAsia="zh-CN"/>
              </w:rPr>
              <w:t>夏天-炎热高温/人员中暑/一般危险源</w:t>
            </w:r>
          </w:p>
          <w:p>
            <w:pPr>
              <w:pStyle w:val="2"/>
              <w:rPr>
                <w:rFonts w:hint="default"/>
                <w:lang w:val="en-US" w:eastAsia="zh-CN"/>
              </w:rPr>
            </w:pPr>
            <w:r>
              <w:rPr>
                <w:rFonts w:hint="eastAsia"/>
              </w:rPr>
              <w:t>地面滑</w:t>
            </w:r>
            <w:r>
              <w:rPr>
                <w:rFonts w:hint="eastAsia"/>
                <w:lang w:val="en-US" w:eastAsia="zh-CN"/>
              </w:rPr>
              <w:t>/摔伤/一般危险源</w:t>
            </w:r>
          </w:p>
          <w:p>
            <w:pPr>
              <w:pStyle w:val="2"/>
              <w:rPr>
                <w:rFonts w:hint="eastAsia"/>
                <w:lang w:val="en-US" w:eastAsia="zh-CN"/>
              </w:rPr>
            </w:pPr>
            <w:r>
              <w:rPr>
                <w:rFonts w:hint="eastAsia"/>
                <w:lang w:val="en-US" w:eastAsia="zh-CN"/>
              </w:rPr>
              <w:t>潜在火灾--人身伤害/不可接受风险；</w:t>
            </w:r>
          </w:p>
          <w:p>
            <w:pPr>
              <w:pStyle w:val="2"/>
              <w:rPr>
                <w:rFonts w:hint="default"/>
                <w:lang w:val="en-US" w:eastAsia="zh-CN"/>
              </w:rPr>
            </w:pPr>
            <w:r>
              <w:rPr>
                <w:rFonts w:hint="eastAsia"/>
                <w:lang w:val="en-US" w:eastAsia="zh-CN"/>
              </w:rPr>
              <w:t>驾车外出--</w:t>
            </w:r>
            <w:r>
              <w:rPr>
                <w:rFonts w:hint="eastAsia"/>
              </w:rPr>
              <w:t>交通事故</w:t>
            </w:r>
            <w:r>
              <w:rPr>
                <w:rFonts w:hint="eastAsia"/>
                <w:lang w:val="en-US" w:eastAsia="zh-CN"/>
              </w:rPr>
              <w:t>--人身伤害/不可接受风险；</w:t>
            </w:r>
          </w:p>
          <w:p>
            <w:pPr>
              <w:numPr>
                <w:ilvl w:val="0"/>
                <w:numId w:val="0"/>
              </w:numPr>
              <w:spacing w:line="400" w:lineRule="exact"/>
              <w:ind w:leftChars="0" w:firstLine="420" w:firstLineChars="200"/>
              <w:rPr>
                <w:rFonts w:hint="default"/>
                <w:lang w:val="en-US" w:eastAsia="zh-CN"/>
              </w:rPr>
            </w:pPr>
            <w:r>
              <w:rPr>
                <w:rFonts w:hint="eastAsia"/>
              </w:rPr>
              <w:t>评价方法基本适宜，评价结果基本合理。</w:t>
            </w:r>
          </w:p>
          <w:p>
            <w:pPr>
              <w:numPr>
                <w:ilvl w:val="0"/>
                <w:numId w:val="3"/>
              </w:numPr>
              <w:spacing w:line="400" w:lineRule="exact"/>
              <w:rPr>
                <w:rFonts w:hint="eastAsia"/>
                <w:lang w:val="en-US" w:eastAsia="zh-CN"/>
              </w:rPr>
            </w:pPr>
            <w:r>
              <w:rPr>
                <w:rFonts w:hint="eastAsia"/>
                <w:lang w:val="en-US" w:eastAsia="zh-CN"/>
              </w:rPr>
              <w:t>查见《不可接受风险清单》，部门涉及2个；抽不可接受风险：潜在火灾。控制方法：消防管理，制度、火灾应急预案。</w:t>
            </w:r>
          </w:p>
          <w:p>
            <w:pPr>
              <w:pStyle w:val="2"/>
              <w:rPr>
                <w:rFonts w:hint="eastAsia"/>
                <w:lang w:val="en-US" w:eastAsia="zh-CN"/>
              </w:rPr>
            </w:pPr>
            <w:r>
              <w:rPr>
                <w:rFonts w:hint="eastAsia"/>
                <w:lang w:val="en-US" w:eastAsia="zh-CN"/>
              </w:rPr>
              <w:t>1、线路老化、开关损坏、短路等电气走火，场所用火不慎，人员操作不当；潜在火灾、爆炸；人员伤亡、环境破坏；控制措施：配备灭火设备和消防栓，制定制度及培训，定期检查、定期演练；责任部门明确。</w:t>
            </w:r>
          </w:p>
          <w:p>
            <w:pPr>
              <w:pStyle w:val="2"/>
              <w:rPr>
                <w:rFonts w:hint="default"/>
                <w:lang w:val="en-US"/>
              </w:rPr>
            </w:pPr>
            <w:r>
              <w:rPr>
                <w:rFonts w:hint="eastAsia"/>
                <w:lang w:val="en-US" w:eastAsia="zh-CN"/>
              </w:rPr>
              <w:t>2、</w:t>
            </w:r>
            <w:r>
              <w:rPr>
                <w:rFonts w:hint="default"/>
                <w:lang w:val="en-US" w:eastAsia="zh-CN"/>
              </w:rPr>
              <w:t>办公、系统集成、数据中心过程</w:t>
            </w:r>
            <w:r>
              <w:rPr>
                <w:rFonts w:hint="eastAsia"/>
                <w:lang w:val="en-US" w:eastAsia="zh-CN"/>
              </w:rPr>
              <w:t>；触电伤害；人身伤害；控制措施：定期进行安全培训，定期检查设备实施线路及安全使用等。责任部门明确。</w:t>
            </w:r>
          </w:p>
          <w:p>
            <w:pPr>
              <w:pStyle w:val="2"/>
              <w:rPr>
                <w:rFonts w:hint="default" w:eastAsia="宋体"/>
                <w:lang w:val="en-US" w:eastAsia="zh-CN"/>
              </w:rPr>
            </w:pPr>
            <w:r>
              <w:rPr>
                <w:rFonts w:hint="eastAsia"/>
                <w:lang w:val="en-US" w:eastAsia="zh-CN"/>
              </w:rPr>
              <w:t>不可接受风险控制，基本受控。</w:t>
            </w:r>
          </w:p>
        </w:tc>
        <w:tc>
          <w:tcPr>
            <w:tcW w:w="1572"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top"/>
          </w:tcPr>
          <w:p>
            <w:r>
              <w:rPr>
                <w:rFonts w:hint="eastAsia" w:ascii="宋体" w:hAnsi="宋体" w:cs="宋体"/>
                <w:b/>
                <w:bCs/>
                <w:sz w:val="21"/>
                <w:szCs w:val="21"/>
              </w:rPr>
              <w:t>目标及其实现的策划</w:t>
            </w:r>
          </w:p>
        </w:tc>
        <w:tc>
          <w:tcPr>
            <w:tcW w:w="960" w:type="dxa"/>
            <w:vAlign w:val="top"/>
          </w:tcPr>
          <w:p>
            <w:pPr>
              <w:rPr>
                <w:rFonts w:hint="eastAsia"/>
                <w:lang w:val="en-US" w:eastAsia="zh-CN"/>
              </w:rPr>
            </w:pPr>
            <w:r>
              <w:rPr>
                <w:rFonts w:hint="eastAsia"/>
                <w:lang w:val="en-US" w:eastAsia="zh-CN"/>
              </w:rPr>
              <w:t>QEO:</w:t>
            </w:r>
          </w:p>
          <w:p>
            <w:r>
              <w:rPr>
                <w:rFonts w:hint="eastAsia" w:ascii="宋体" w:hAnsi="宋体" w:cs="宋体"/>
                <w:b/>
                <w:bCs/>
                <w:sz w:val="21"/>
                <w:szCs w:val="21"/>
              </w:rPr>
              <w:t>6.2</w:t>
            </w:r>
          </w:p>
        </w:tc>
        <w:tc>
          <w:tcPr>
            <w:tcW w:w="10017" w:type="dxa"/>
            <w:vAlign w:val="top"/>
          </w:tcPr>
          <w:p>
            <w:pPr>
              <w:numPr>
                <w:ilvl w:val="0"/>
                <w:numId w:val="2"/>
              </w:numPr>
              <w:spacing w:line="360" w:lineRule="auto"/>
              <w:ind w:left="420" w:leftChars="0" w:hanging="420" w:firstLineChars="0"/>
              <w:rPr>
                <w:rFonts w:hint="eastAsia"/>
                <w:lang w:val="en-US" w:eastAsia="zh-CN"/>
              </w:rPr>
            </w:pPr>
            <w:r>
              <w:rPr>
                <w:rFonts w:hint="eastAsia"/>
                <w:lang w:val="en-US" w:eastAsia="zh-CN"/>
              </w:rPr>
              <w:t xml:space="preserve">文件：《管理手册》0.8管理目标及第6.2条款 </w:t>
            </w:r>
          </w:p>
          <w:p>
            <w:pPr>
              <w:numPr>
                <w:ilvl w:val="0"/>
                <w:numId w:val="0"/>
              </w:numPr>
              <w:spacing w:line="360" w:lineRule="auto"/>
              <w:ind w:leftChars="0"/>
              <w:rPr>
                <w:rFonts w:hint="eastAsia"/>
                <w:lang w:val="en-US" w:eastAsia="zh-CN"/>
              </w:rPr>
            </w:pPr>
            <w:r>
              <w:rPr>
                <w:rFonts w:hint="eastAsia"/>
              </w:rPr>
              <w:t>明确了目标分解、考核、层次、部门、考核方式，已将公司总目标分解到各部门。</w:t>
            </w:r>
          </w:p>
          <w:p>
            <w:pPr>
              <w:numPr>
                <w:ilvl w:val="0"/>
                <w:numId w:val="2"/>
              </w:numPr>
              <w:spacing w:line="360" w:lineRule="auto"/>
              <w:ind w:left="420" w:leftChars="0" w:hanging="420" w:firstLineChars="0"/>
              <w:rPr>
                <w:rFonts w:hint="eastAsia"/>
              </w:rPr>
            </w:pPr>
            <w:r>
              <w:rPr>
                <w:rFonts w:hint="eastAsia"/>
                <w:lang w:val="en-US" w:eastAsia="zh-CN"/>
              </w:rPr>
              <w:t>抽记</w:t>
            </w:r>
            <w:r>
              <w:rPr>
                <w:rFonts w:hint="eastAsia" w:eastAsia="宋体"/>
                <w:lang w:val="en-US" w:eastAsia="zh-CN"/>
              </w:rPr>
              <w:t>录：</w:t>
            </w:r>
            <w:r>
              <w:rPr>
                <w:rFonts w:hint="eastAsia" w:eastAsia="宋体"/>
                <w:lang w:eastAsia="zh-CN"/>
              </w:rPr>
              <w:t>（</w:t>
            </w:r>
            <w:r>
              <w:rPr>
                <w:rFonts w:hint="eastAsia" w:eastAsia="宋体"/>
                <w:lang w:val="en-US" w:eastAsia="zh-CN"/>
              </w:rPr>
              <w:t>2022年</w:t>
            </w:r>
            <w:r>
              <w:rPr>
                <w:rFonts w:hint="eastAsia" w:eastAsia="宋体"/>
                <w:lang w:eastAsia="zh-CN"/>
              </w:rPr>
              <w:t>）</w:t>
            </w:r>
            <w:r>
              <w:rPr>
                <w:rFonts w:hint="eastAsia" w:eastAsia="宋体"/>
              </w:rPr>
              <w:t>目标、指标完成情况</w:t>
            </w:r>
            <w:r>
              <w:rPr>
                <w:rFonts w:hint="eastAsia"/>
                <w:lang w:eastAsia="zh-CN"/>
              </w:rPr>
              <w:t>：</w:t>
            </w:r>
          </w:p>
          <w:p>
            <w:pPr>
              <w:numPr>
                <w:ilvl w:val="0"/>
                <w:numId w:val="0"/>
              </w:numPr>
              <w:spacing w:line="360" w:lineRule="auto"/>
              <w:ind w:leftChars="0"/>
              <w:rPr>
                <w:rFonts w:hint="default"/>
                <w:lang w:val="en-US"/>
              </w:rPr>
            </w:pPr>
            <w:r>
              <w:rPr>
                <w:rFonts w:hint="eastAsia" w:ascii="宋体" w:hAnsi="宋体" w:eastAsia="宋体" w:cs="Times New Roman"/>
                <w:sz w:val="21"/>
                <w:szCs w:val="21"/>
              </w:rPr>
              <w:t>采购产品准时到货率≥98%</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2022年1-3季度完成情况：100%；</w:t>
            </w:r>
          </w:p>
          <w:p>
            <w:pPr>
              <w:numPr>
                <w:ilvl w:val="0"/>
                <w:numId w:val="0"/>
              </w:numPr>
              <w:spacing w:line="360" w:lineRule="auto"/>
              <w:ind w:leftChars="0"/>
              <w:rPr>
                <w:rFonts w:hint="eastAsia" w:ascii="宋体" w:hAnsi="宋体" w:eastAsia="宋体" w:cs="Times New Roman"/>
                <w:sz w:val="21"/>
                <w:szCs w:val="21"/>
                <w:lang w:eastAsia="zh-CN"/>
              </w:rPr>
            </w:pPr>
            <w:r>
              <w:rPr>
                <w:rFonts w:hint="eastAsia" w:ascii="宋体" w:hAnsi="宋体" w:eastAsia="宋体" w:cs="Times New Roman"/>
                <w:sz w:val="21"/>
                <w:szCs w:val="21"/>
              </w:rPr>
              <w:t>建立供方档案，对影响环境的供方施加影响≥99%</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2022年1-3季度完成情况：100%</w:t>
            </w:r>
            <w:r>
              <w:rPr>
                <w:rFonts w:hint="eastAsia" w:ascii="宋体" w:hAnsi="宋体" w:cs="Times New Roman"/>
                <w:sz w:val="21"/>
                <w:szCs w:val="21"/>
                <w:lang w:val="en-US" w:eastAsia="zh-CN"/>
              </w:rPr>
              <w:t>；</w:t>
            </w:r>
          </w:p>
          <w:p>
            <w:pPr>
              <w:pStyle w:val="2"/>
              <w:rPr>
                <w:rFonts w:hint="eastAsia" w:ascii="宋体" w:hAnsi="宋体"/>
                <w:sz w:val="21"/>
                <w:szCs w:val="21"/>
                <w:lang w:eastAsia="zh-CN"/>
              </w:rPr>
            </w:pPr>
            <w:r>
              <w:rPr>
                <w:rFonts w:hint="eastAsia"/>
                <w:sz w:val="21"/>
                <w:szCs w:val="21"/>
              </w:rPr>
              <w:t>本部门固体废弃物集中处理率</w:t>
            </w:r>
            <w:r>
              <w:rPr>
                <w:rFonts w:hint="eastAsia" w:ascii="宋体" w:hAnsi="宋体"/>
                <w:sz w:val="21"/>
                <w:szCs w:val="21"/>
              </w:rPr>
              <w:t>达</w:t>
            </w:r>
            <w:r>
              <w:rPr>
                <w:rFonts w:ascii="宋体" w:hAnsi="宋体"/>
                <w:sz w:val="21"/>
                <w:szCs w:val="21"/>
              </w:rPr>
              <w:t>100%</w:t>
            </w:r>
            <w:r>
              <w:rPr>
                <w:rFonts w:hint="eastAsia" w:ascii="宋体" w:hAnsi="宋体"/>
                <w:sz w:val="21"/>
                <w:szCs w:val="21"/>
                <w:lang w:eastAsia="zh-CN"/>
              </w:rPr>
              <w:t>；</w:t>
            </w:r>
            <w:r>
              <w:rPr>
                <w:rFonts w:hint="eastAsia" w:ascii="宋体" w:hAnsi="宋体" w:eastAsia="宋体" w:cs="Times New Roman"/>
                <w:sz w:val="21"/>
                <w:szCs w:val="21"/>
                <w:lang w:val="en-US" w:eastAsia="zh-CN"/>
              </w:rPr>
              <w:t>2022年1-3季度完成情况：100%</w:t>
            </w:r>
            <w:r>
              <w:rPr>
                <w:rFonts w:hint="eastAsia" w:ascii="宋体" w:hAnsi="宋体" w:cs="Times New Roman"/>
                <w:sz w:val="21"/>
                <w:szCs w:val="21"/>
                <w:lang w:val="en-US" w:eastAsia="zh-CN"/>
              </w:rPr>
              <w:t>；</w:t>
            </w:r>
          </w:p>
          <w:p>
            <w:pPr>
              <w:pStyle w:val="2"/>
              <w:rPr>
                <w:rFonts w:hint="eastAsia" w:ascii="宋体" w:hAnsi="宋体" w:eastAsia="宋体" w:cs="Times New Roman"/>
                <w:sz w:val="21"/>
                <w:szCs w:val="21"/>
                <w:lang w:eastAsia="zh-CN"/>
              </w:rPr>
            </w:pPr>
            <w:r>
              <w:rPr>
                <w:rFonts w:hint="eastAsia" w:ascii="宋体" w:hAnsi="宋体" w:eastAsia="宋体" w:cs="Times New Roman"/>
                <w:sz w:val="21"/>
                <w:szCs w:val="21"/>
              </w:rPr>
              <w:t>建立供方档案，对供方及运输方职业健康安全宣传率≥99%</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2022年1-3季度完成情况：100%</w:t>
            </w:r>
            <w:r>
              <w:rPr>
                <w:rFonts w:hint="eastAsia" w:ascii="宋体" w:hAnsi="宋体" w:cs="Times New Roman"/>
                <w:sz w:val="21"/>
                <w:szCs w:val="21"/>
                <w:lang w:val="en-US" w:eastAsia="zh-CN"/>
              </w:rPr>
              <w:t>；</w:t>
            </w:r>
          </w:p>
          <w:p>
            <w:pPr>
              <w:pStyle w:val="2"/>
              <w:rPr>
                <w:rFonts w:hint="eastAsia" w:ascii="宋体" w:hAnsi="宋体" w:eastAsia="宋体" w:cs="Times New Roman"/>
                <w:sz w:val="21"/>
                <w:szCs w:val="21"/>
                <w:lang w:eastAsia="zh-CN"/>
              </w:rPr>
            </w:pPr>
            <w:r>
              <w:rPr>
                <w:rFonts w:hint="eastAsia" w:ascii="宋体" w:hAnsi="宋体"/>
                <w:bCs/>
                <w:sz w:val="21"/>
                <w:szCs w:val="21"/>
              </w:rPr>
              <w:t>火灾事故发生率为0</w:t>
            </w:r>
            <w:r>
              <w:rPr>
                <w:rFonts w:hint="eastAsia" w:ascii="宋体" w:hAnsi="宋体"/>
                <w:bCs/>
                <w:sz w:val="21"/>
                <w:szCs w:val="21"/>
                <w:lang w:eastAsia="zh-CN"/>
              </w:rPr>
              <w:t>；</w:t>
            </w:r>
            <w:r>
              <w:rPr>
                <w:rFonts w:hint="eastAsia" w:ascii="宋体" w:hAnsi="宋体" w:eastAsia="宋体" w:cs="Times New Roman"/>
                <w:sz w:val="21"/>
                <w:szCs w:val="21"/>
                <w:lang w:val="en-US" w:eastAsia="zh-CN"/>
              </w:rPr>
              <w:t>2022年1-3季度完成情况：</w:t>
            </w:r>
            <w:r>
              <w:rPr>
                <w:rFonts w:hint="eastAsia" w:ascii="宋体" w:hAnsi="宋体"/>
                <w:bCs/>
                <w:sz w:val="21"/>
                <w:szCs w:val="21"/>
              </w:rPr>
              <w:t>火灾事故发生率为0</w:t>
            </w:r>
            <w:r>
              <w:rPr>
                <w:rFonts w:hint="eastAsia" w:ascii="宋体" w:hAnsi="宋体" w:cs="Times New Roman"/>
                <w:sz w:val="21"/>
                <w:szCs w:val="21"/>
                <w:lang w:val="en-US" w:eastAsia="zh-CN"/>
              </w:rPr>
              <w:t>；</w:t>
            </w:r>
          </w:p>
          <w:p>
            <w:pPr>
              <w:numPr>
                <w:ilvl w:val="0"/>
                <w:numId w:val="3"/>
              </w:numPr>
              <w:spacing w:line="400" w:lineRule="exact"/>
              <w:rPr>
                <w:rFonts w:hint="eastAsia" w:ascii="Times New Roman" w:hAnsi="Times New Roman" w:eastAsia="宋体" w:cs="Times New Roman"/>
                <w:color w:val="auto"/>
                <w:kern w:val="2"/>
                <w:sz w:val="21"/>
                <w:szCs w:val="20"/>
                <w:lang w:val="en-US" w:eastAsia="zh-CN" w:bidi="ar-SA"/>
              </w:rPr>
            </w:pPr>
            <w:r>
              <w:rPr>
                <w:rFonts w:hint="eastAsia" w:ascii="宋体" w:hAnsi="宋体"/>
                <w:szCs w:val="21"/>
                <w:lang w:val="en-US" w:eastAsia="zh-CN"/>
              </w:rPr>
              <w:t>管理目标，</w:t>
            </w:r>
            <w:r>
              <w:rPr>
                <w:rFonts w:hint="eastAsia" w:ascii="宋体" w:hAnsi="宋体"/>
                <w:szCs w:val="21"/>
              </w:rPr>
              <w:t>测量方法</w:t>
            </w:r>
            <w:r>
              <w:rPr>
                <w:rFonts w:hint="eastAsia" w:ascii="宋体" w:hAnsi="宋体"/>
                <w:szCs w:val="21"/>
                <w:lang w:val="en-US" w:eastAsia="zh-CN"/>
              </w:rPr>
              <w:t>均</w:t>
            </w:r>
            <w:r>
              <w:rPr>
                <w:rFonts w:hint="eastAsia" w:ascii="宋体" w:hAnsi="宋体"/>
                <w:szCs w:val="21"/>
              </w:rPr>
              <w:t>明确</w:t>
            </w:r>
            <w:r>
              <w:rPr>
                <w:rFonts w:hint="eastAsia" w:ascii="宋体" w:hAnsi="宋体"/>
                <w:szCs w:val="21"/>
                <w:lang w:eastAsia="zh-CN"/>
              </w:rPr>
              <w:t>，</w:t>
            </w:r>
            <w:r>
              <w:rPr>
                <w:rFonts w:hint="eastAsia" w:ascii="宋体" w:hAnsi="宋体"/>
                <w:szCs w:val="21"/>
              </w:rPr>
              <w:t>目标已完成</w:t>
            </w:r>
            <w:r>
              <w:rPr>
                <w:rFonts w:hint="eastAsia" w:ascii="宋体" w:hAnsi="宋体"/>
                <w:szCs w:val="21"/>
                <w:lang w:eastAsia="zh-CN"/>
              </w:rPr>
              <w:t>。</w:t>
            </w:r>
          </w:p>
          <w:p>
            <w:pPr>
              <w:numPr>
                <w:ilvl w:val="0"/>
                <w:numId w:val="3"/>
              </w:numPr>
              <w:spacing w:line="360" w:lineRule="auto"/>
              <w:ind w:left="420" w:leftChars="0" w:hanging="420" w:firstLineChars="0"/>
              <w:rPr>
                <w:rFonts w:hint="eastAsia" w:ascii="Times New Roman" w:hAnsi="Times New Roman" w:eastAsia="宋体" w:cs="Times New Roman"/>
                <w:color w:val="auto"/>
                <w:kern w:val="2"/>
                <w:sz w:val="21"/>
                <w:szCs w:val="20"/>
                <w:lang w:val="en-US" w:eastAsia="zh-CN" w:bidi="ar-SA"/>
              </w:rPr>
            </w:pPr>
            <w:r>
              <w:rPr>
                <w:rFonts w:hint="eastAsia" w:eastAsia="宋体" w:cs="Times New Roman"/>
                <w:color w:val="auto"/>
                <w:kern w:val="2"/>
                <w:sz w:val="21"/>
                <w:szCs w:val="20"/>
                <w:lang w:val="en-US" w:eastAsia="zh-CN" w:bidi="ar-SA"/>
              </w:rPr>
              <w:t>查见</w:t>
            </w:r>
            <w:r>
              <w:rPr>
                <w:rFonts w:hint="eastAsia" w:ascii="Times New Roman" w:hAnsi="Times New Roman" w:eastAsia="宋体" w:cs="Times New Roman"/>
                <w:color w:val="auto"/>
                <w:kern w:val="2"/>
                <w:sz w:val="21"/>
                <w:szCs w:val="20"/>
                <w:lang w:val="en-US" w:eastAsia="zh-CN" w:bidi="ar-SA"/>
              </w:rPr>
              <w:t>：《环境目标、指标、管理方案》</w:t>
            </w:r>
            <w:r>
              <w:rPr>
                <w:rFonts w:hint="eastAsia" w:cs="Times New Roman"/>
                <w:color w:val="auto"/>
                <w:kern w:val="2"/>
                <w:sz w:val="21"/>
                <w:szCs w:val="20"/>
                <w:lang w:val="en-US" w:eastAsia="zh-CN" w:bidi="ar-SA"/>
              </w:rPr>
              <w:t>2022.1.5</w:t>
            </w:r>
            <w:r>
              <w:rPr>
                <w:rFonts w:hint="eastAsia" w:ascii="Times New Roman" w:hAnsi="Times New Roman" w:eastAsia="宋体" w:cs="Times New Roman"/>
                <w:color w:val="auto"/>
                <w:kern w:val="2"/>
                <w:sz w:val="21"/>
                <w:szCs w:val="20"/>
                <w:lang w:val="en-US" w:eastAsia="zh-CN" w:bidi="ar-SA"/>
              </w:rPr>
              <w:t>内容包括目标、指标</w:t>
            </w:r>
            <w:r>
              <w:rPr>
                <w:rFonts w:hint="eastAsia" w:cs="Times New Roman"/>
                <w:color w:val="auto"/>
                <w:kern w:val="2"/>
                <w:sz w:val="21"/>
                <w:szCs w:val="20"/>
                <w:lang w:val="en-US" w:eastAsia="zh-CN" w:bidi="ar-SA"/>
              </w:rPr>
              <w:t>方法</w:t>
            </w:r>
            <w:r>
              <w:rPr>
                <w:rFonts w:hint="eastAsia" w:ascii="Times New Roman" w:hAnsi="Times New Roman" w:eastAsia="宋体" w:cs="Times New Roman"/>
                <w:color w:val="auto"/>
                <w:kern w:val="2"/>
                <w:sz w:val="21"/>
                <w:szCs w:val="20"/>
                <w:lang w:val="en-US" w:eastAsia="zh-CN" w:bidi="ar-SA"/>
              </w:rPr>
              <w:t>、完成进度、责任部门等。</w:t>
            </w:r>
          </w:p>
          <w:p>
            <w:pPr>
              <w:numPr>
                <w:ilvl w:val="0"/>
                <w:numId w:val="3"/>
              </w:numPr>
              <w:spacing w:line="360" w:lineRule="auto"/>
              <w:ind w:left="420" w:leftChars="0" w:hanging="420" w:firstLineChars="0"/>
              <w:rPr>
                <w:rFonts w:hint="default" w:ascii="Times New Roman" w:hAnsi="Times New Roman" w:eastAsia="宋体" w:cs="Times New Roman"/>
                <w:color w:val="auto"/>
                <w:kern w:val="2"/>
                <w:sz w:val="21"/>
                <w:szCs w:val="20"/>
                <w:lang w:val="en-US" w:eastAsia="zh-CN" w:bidi="ar-SA"/>
              </w:rPr>
            </w:pPr>
            <w:r>
              <w:rPr>
                <w:rFonts w:hint="eastAsia" w:cs="Times New Roman"/>
                <w:color w:val="auto"/>
                <w:kern w:val="2"/>
                <w:sz w:val="21"/>
                <w:szCs w:val="20"/>
                <w:lang w:val="en-US" w:eastAsia="zh-CN" w:bidi="ar-SA"/>
              </w:rPr>
              <w:t>见：</w:t>
            </w:r>
          </w:p>
          <w:p>
            <w:pPr>
              <w:numPr>
                <w:ilvl w:val="0"/>
                <w:numId w:val="0"/>
              </w:numPr>
              <w:spacing w:line="360" w:lineRule="auto"/>
              <w:ind w:leftChars="0"/>
              <w:rPr>
                <w:rFonts w:hint="default" w:ascii="Times New Roman" w:hAnsi="Times New Roman" w:eastAsia="宋体" w:cs="Times New Roman"/>
                <w:color w:val="auto"/>
                <w:kern w:val="2"/>
                <w:sz w:val="21"/>
                <w:szCs w:val="20"/>
                <w:lang w:val="en-US" w:eastAsia="zh-CN" w:bidi="ar-SA"/>
              </w:rPr>
            </w:pPr>
            <w:r>
              <w:drawing>
                <wp:inline distT="0" distB="0" distL="114300" distR="114300">
                  <wp:extent cx="6221730" cy="1750695"/>
                  <wp:effectExtent l="0" t="0" r="127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6221730" cy="1750695"/>
                          </a:xfrm>
                          <a:prstGeom prst="rect">
                            <a:avLst/>
                          </a:prstGeom>
                          <a:noFill/>
                          <a:ln>
                            <a:noFill/>
                          </a:ln>
                        </pic:spPr>
                      </pic:pic>
                    </a:graphicData>
                  </a:graphic>
                </wp:inline>
              </w:drawing>
            </w:r>
          </w:p>
          <w:p>
            <w:pPr>
              <w:pStyle w:val="2"/>
              <w:rPr>
                <w:rFonts w:hint="default"/>
                <w:lang w:val="en-US" w:eastAsia="zh-CN"/>
              </w:rPr>
            </w:pPr>
          </w:p>
          <w:p>
            <w:pPr>
              <w:numPr>
                <w:ilvl w:val="0"/>
                <w:numId w:val="3"/>
              </w:numPr>
              <w:spacing w:line="360" w:lineRule="auto"/>
              <w:ind w:left="420" w:leftChars="0" w:hanging="420" w:firstLineChars="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抽：《职业健康安全目标、指标、管理方案》</w:t>
            </w:r>
            <w:r>
              <w:rPr>
                <w:rFonts w:hint="eastAsia" w:cs="Times New Roman"/>
                <w:color w:val="auto"/>
                <w:kern w:val="2"/>
                <w:sz w:val="21"/>
                <w:szCs w:val="20"/>
                <w:lang w:val="en-US" w:eastAsia="zh-CN" w:bidi="ar-SA"/>
              </w:rPr>
              <w:t>2022.1.5</w:t>
            </w:r>
          </w:p>
          <w:p>
            <w:pPr>
              <w:pStyle w:val="2"/>
              <w:rPr>
                <w:rFonts w:hint="default"/>
                <w:lang w:val="en-US" w:eastAsia="zh-CN"/>
              </w:rPr>
            </w:pPr>
            <w:r>
              <w:rPr>
                <w:rFonts w:hint="eastAsia" w:cs="Times New Roman"/>
                <w:color w:val="auto"/>
                <w:kern w:val="2"/>
                <w:sz w:val="21"/>
                <w:szCs w:val="20"/>
                <w:lang w:val="en-US" w:eastAsia="zh-CN" w:bidi="ar-SA"/>
              </w:rPr>
              <w:t>见:</w:t>
            </w:r>
            <w:r>
              <w:drawing>
                <wp:inline distT="0" distB="0" distL="114300" distR="114300">
                  <wp:extent cx="6221095" cy="2322830"/>
                  <wp:effectExtent l="0" t="0" r="1905" b="12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7"/>
                          <a:stretch>
                            <a:fillRect/>
                          </a:stretch>
                        </pic:blipFill>
                        <pic:spPr>
                          <a:xfrm>
                            <a:off x="0" y="0"/>
                            <a:ext cx="6221095" cy="2322830"/>
                          </a:xfrm>
                          <a:prstGeom prst="rect">
                            <a:avLst/>
                          </a:prstGeom>
                          <a:noFill/>
                          <a:ln>
                            <a:noFill/>
                          </a:ln>
                        </pic:spPr>
                      </pic:pic>
                    </a:graphicData>
                  </a:graphic>
                </wp:inline>
              </w:drawing>
            </w:r>
          </w:p>
          <w:p>
            <w:pPr>
              <w:numPr>
                <w:ilvl w:val="0"/>
                <w:numId w:val="3"/>
              </w:numPr>
              <w:spacing w:line="360" w:lineRule="auto"/>
              <w:ind w:left="420" w:leftChars="0" w:hanging="420" w:firstLineChars="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以上方案均已按要求执行，部门负责人对各相关部门的方案执行情况进行检查，均符合要求。询问部门负责人管理方案的内容已经落实，执行情况良好。 </w:t>
            </w:r>
          </w:p>
          <w:p>
            <w:pPr>
              <w:pStyle w:val="12"/>
            </w:pPr>
          </w:p>
        </w:tc>
        <w:tc>
          <w:tcPr>
            <w:tcW w:w="1572"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sz w:val="21"/>
                <w:szCs w:val="21"/>
              </w:rPr>
              <w:t>外部提供的过程、产品和服务的控制</w:t>
            </w:r>
          </w:p>
        </w:tc>
        <w:tc>
          <w:tcPr>
            <w:tcW w:w="960" w:type="dxa"/>
            <w:vAlign w:val="top"/>
          </w:tcPr>
          <w:p>
            <w:pPr>
              <w:rPr>
                <w:rFonts w:hint="eastAsia"/>
                <w:lang w:val="en-US" w:eastAsia="zh-CN"/>
              </w:rPr>
            </w:pPr>
            <w:r>
              <w:rPr>
                <w:rFonts w:hint="eastAsia"/>
                <w:lang w:val="en-US" w:eastAsia="zh-CN"/>
              </w:rPr>
              <w:t>Q8.4</w:t>
            </w:r>
          </w:p>
          <w:p>
            <w:pPr>
              <w:pStyle w:val="2"/>
              <w:rPr>
                <w:rFonts w:hint="default"/>
                <w:lang w:val="en-US" w:eastAsia="zh-CN"/>
              </w:rPr>
            </w:pPr>
            <w:r>
              <w:rPr>
                <w:rFonts w:hint="eastAsia" w:ascii="Times New Roman" w:hAnsi="Times New Roman" w:cs="Times New Roman"/>
                <w:sz w:val="21"/>
                <w:szCs w:val="21"/>
                <w:lang w:val="en-US" w:eastAsia="zh-CN"/>
              </w:rPr>
              <w:t>EO8.1</w:t>
            </w:r>
          </w:p>
        </w:tc>
        <w:tc>
          <w:tcPr>
            <w:tcW w:w="10017" w:type="dxa"/>
            <w:vAlign w:val="top"/>
          </w:tcPr>
          <w:p>
            <w:pPr>
              <w:numPr>
                <w:ilvl w:val="0"/>
                <w:numId w:val="4"/>
              </w:numPr>
              <w:ind w:left="420" w:leftChars="0" w:hanging="420" w:firstLineChars="0"/>
              <w:rPr>
                <w:rFonts w:hint="eastAsia"/>
                <w:lang w:eastAsia="zh-CN"/>
              </w:rPr>
            </w:pPr>
            <w:r>
              <w:rPr>
                <w:rFonts w:hint="eastAsia" w:ascii="Times New Roman" w:hAnsi="Times New Roman" w:eastAsia="宋体" w:cs="Times New Roman"/>
                <w:sz w:val="21"/>
                <w:szCs w:val="21"/>
                <w:lang w:eastAsia="zh-CN"/>
              </w:rPr>
              <w:t>企业编制了《采购控制程序》，对本公司生产所需物资的采购进行控制。程序规定了由</w:t>
            </w:r>
            <w:r>
              <w:rPr>
                <w:rFonts w:hint="eastAsia" w:cs="Times New Roman"/>
                <w:sz w:val="21"/>
                <w:szCs w:val="21"/>
                <w:lang w:eastAsia="zh-CN"/>
              </w:rPr>
              <w:t>采购部</w:t>
            </w:r>
            <w:r>
              <w:rPr>
                <w:rFonts w:hint="eastAsia" w:ascii="Times New Roman" w:hAnsi="Times New Roman" w:eastAsia="宋体" w:cs="Times New Roman"/>
                <w:sz w:val="21"/>
                <w:szCs w:val="21"/>
                <w:lang w:eastAsia="zh-CN"/>
              </w:rPr>
              <w:t>对外部供方进行评价并建立《合格供方名单》，根据销售订单制定采购计划，</w:t>
            </w:r>
            <w:r>
              <w:rPr>
                <w:rFonts w:hint="eastAsia" w:cs="Times New Roman"/>
                <w:sz w:val="21"/>
                <w:szCs w:val="21"/>
                <w:lang w:val="en-US" w:eastAsia="zh-CN"/>
              </w:rPr>
              <w:t>采购部</w:t>
            </w:r>
            <w:r>
              <w:rPr>
                <w:rFonts w:hint="eastAsia" w:ascii="Times New Roman" w:hAnsi="Times New Roman" w:eastAsia="宋体" w:cs="Times New Roman"/>
                <w:sz w:val="21"/>
                <w:szCs w:val="21"/>
                <w:lang w:eastAsia="zh-CN"/>
              </w:rPr>
              <w:t>负责采购物资的进货检验和试验。</w:t>
            </w:r>
            <w:r>
              <w:rPr>
                <w:rFonts w:hint="eastAsia" w:cs="Times New Roman"/>
                <w:sz w:val="21"/>
                <w:szCs w:val="21"/>
                <w:lang w:eastAsia="zh-CN"/>
              </w:rPr>
              <w:t>采购部</w:t>
            </w:r>
            <w:r>
              <w:rPr>
                <w:rFonts w:hint="eastAsia" w:ascii="Times New Roman" w:hAnsi="Times New Roman" w:eastAsia="宋体" w:cs="Times New Roman"/>
                <w:sz w:val="21"/>
                <w:szCs w:val="21"/>
                <w:lang w:eastAsia="zh-CN"/>
              </w:rPr>
              <w:t>负责监督产品的外部供方的环境行为，负责与可能产生重要环境因素和危险源的物资外部供方签订环保和职业健康安全协议</w:t>
            </w:r>
            <w:r>
              <w:rPr>
                <w:rFonts w:hint="eastAsia" w:cs="Times New Roman"/>
                <w:sz w:val="21"/>
                <w:szCs w:val="21"/>
                <w:lang w:val="en-US" w:eastAsia="zh-CN"/>
              </w:rPr>
              <w:t>或对其供应商相关方告知</w:t>
            </w:r>
            <w:r>
              <w:rPr>
                <w:rFonts w:hint="eastAsia" w:ascii="Times New Roman" w:hAnsi="Times New Roman" w:eastAsia="宋体" w:cs="Times New Roman"/>
                <w:sz w:val="21"/>
                <w:szCs w:val="21"/>
                <w:lang w:eastAsia="zh-CN"/>
              </w:rPr>
              <w:t>。</w:t>
            </w:r>
          </w:p>
          <w:p>
            <w:pPr>
              <w:numPr>
                <w:ilvl w:val="0"/>
                <w:numId w:val="4"/>
              </w:numPr>
              <w:ind w:left="420" w:leftChars="0" w:hanging="420" w:firstLineChars="0"/>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eastAsia="zh-CN"/>
              </w:rPr>
              <w:t>查见《合格供方名单》，</w:t>
            </w:r>
            <w:r>
              <w:rPr>
                <w:rFonts w:hint="eastAsia" w:ascii="Times New Roman" w:hAnsi="Times New Roman" w:cs="Times New Roman"/>
                <w:sz w:val="21"/>
                <w:szCs w:val="21"/>
                <w:lang w:val="en-US" w:eastAsia="zh-CN"/>
              </w:rPr>
              <w:t>目前公司</w:t>
            </w:r>
            <w:r>
              <w:rPr>
                <w:rFonts w:hint="eastAsia" w:cs="Times New Roman"/>
                <w:sz w:val="21"/>
                <w:szCs w:val="21"/>
                <w:lang w:val="en-US" w:eastAsia="zh-CN"/>
              </w:rPr>
              <w:t>主要供方有6家</w:t>
            </w:r>
            <w:r>
              <w:rPr>
                <w:rFonts w:hint="eastAsia" w:ascii="Times New Roman" w:hAnsi="Times New Roman" w:cs="Times New Roman"/>
                <w:sz w:val="21"/>
                <w:szCs w:val="21"/>
                <w:lang w:val="en-US" w:eastAsia="zh-CN"/>
              </w:rPr>
              <w:t>。</w:t>
            </w:r>
          </w:p>
          <w:p>
            <w:pPr>
              <w:numPr>
                <w:ilvl w:val="0"/>
                <w:numId w:val="4"/>
              </w:numPr>
              <w:ind w:left="420" w:leftChars="0" w:hanging="420" w:firstLineChars="0"/>
              <w:rPr>
                <w:rFonts w:hint="default" w:ascii="Times New Roman" w:hAnsi="Times New Roman" w:cs="Times New Roman"/>
                <w:sz w:val="21"/>
                <w:szCs w:val="21"/>
                <w:lang w:val="en-US" w:eastAsia="zh-CN"/>
              </w:rPr>
            </w:pPr>
            <w:r>
              <w:rPr>
                <w:rFonts w:hint="eastAsia" w:cs="Times New Roman"/>
                <w:sz w:val="21"/>
                <w:szCs w:val="21"/>
                <w:lang w:eastAsia="zh-CN"/>
              </w:rPr>
              <w:t>查</w:t>
            </w:r>
            <w:r>
              <w:rPr>
                <w:rFonts w:hint="eastAsia" w:eastAsia="宋体" w:cs="Times New Roman"/>
                <w:sz w:val="21"/>
                <w:szCs w:val="21"/>
                <w:lang w:eastAsia="zh-CN"/>
              </w:rPr>
              <w:t>对</w:t>
            </w:r>
            <w:r>
              <w:rPr>
                <w:rFonts w:hint="eastAsia" w:ascii="Times New Roman" w:hAnsi="Times New Roman" w:eastAsia="宋体" w:cs="Times New Roman"/>
                <w:sz w:val="21"/>
                <w:szCs w:val="21"/>
                <w:lang w:val="en-US" w:eastAsia="zh-CN"/>
              </w:rPr>
              <w:t>供方进行了评</w:t>
            </w:r>
            <w:r>
              <w:rPr>
                <w:rFonts w:hint="eastAsia" w:ascii="Times New Roman" w:hAnsi="Times New Roman" w:cs="Times New Roman"/>
                <w:sz w:val="21"/>
                <w:szCs w:val="21"/>
                <w:lang w:val="en-US" w:eastAsia="zh-CN"/>
              </w:rPr>
              <w:t>价，提供有《供方</w:t>
            </w:r>
            <w:r>
              <w:rPr>
                <w:rFonts w:hint="eastAsia" w:cs="Times New Roman"/>
                <w:sz w:val="21"/>
                <w:szCs w:val="21"/>
                <w:lang w:val="en-US" w:eastAsia="zh-CN"/>
              </w:rPr>
              <w:t>评定记录</w:t>
            </w:r>
            <w:r>
              <w:rPr>
                <w:rFonts w:hint="eastAsia" w:ascii="Times New Roman" w:hAnsi="Times New Roman" w:cs="Times New Roman"/>
                <w:sz w:val="21"/>
                <w:szCs w:val="21"/>
                <w:lang w:val="en-US" w:eastAsia="zh-CN"/>
              </w:rPr>
              <w:t>表》;</w:t>
            </w:r>
          </w:p>
          <w:p>
            <w:pPr>
              <w:numPr>
                <w:ilvl w:val="0"/>
                <w:numId w:val="0"/>
              </w:numPr>
              <w:ind w:leftChars="0"/>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r>
              <w:rPr>
                <w:rFonts w:hint="eastAsia" w:ascii="Times New Roman" w:hAnsi="Times New Roman" w:eastAsia="宋体" w:cs="Times New Roman"/>
                <w:sz w:val="21"/>
                <w:szCs w:val="21"/>
                <w:lang w:val="en-US" w:eastAsia="zh-CN"/>
              </w:rPr>
              <w:t>抽2022年1月5日对供方世邦通信股份有限公司的调查及评价。供应产品：主营IP广播、IP对讲、IP拾音器、会议扩声、舞台灯光；评价内容包括：</w:t>
            </w:r>
            <w:r>
              <w:rPr>
                <w:rFonts w:hint="eastAsia" w:ascii="Times New Roman" w:hAnsi="Times New Roman" w:eastAsia="宋体" w:cs="Times New Roman"/>
                <w:sz w:val="21"/>
                <w:szCs w:val="21"/>
                <w:lang w:eastAsia="zh-CN"/>
              </w:rPr>
              <w:t>供应能力评价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技术能力评价、质量能力评价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使用结果及结论</w:t>
            </w:r>
            <w:r>
              <w:rPr>
                <w:rFonts w:hint="eastAsia" w:ascii="Times New Roman" w:hAnsi="Times New Roman" w:eastAsia="宋体" w:cs="Times New Roman"/>
                <w:sz w:val="21"/>
                <w:szCs w:val="21"/>
                <w:lang w:val="en-US" w:eastAsia="zh-CN"/>
              </w:rPr>
              <w:t>等；评定结论：可列入合格供方名录；</w:t>
            </w:r>
          </w:p>
          <w:p>
            <w:pPr>
              <w:numPr>
                <w:ilvl w:val="0"/>
                <w:numId w:val="0"/>
              </w:numPr>
              <w:ind w:left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——抽2022年1月5日对供方河北晟舟科技股份有限公司的调查及评价。供应产品：</w:t>
            </w:r>
            <w:r>
              <w:rPr>
                <w:rFonts w:hint="default" w:ascii="Times New Roman" w:hAnsi="Times New Roman" w:eastAsia="宋体" w:cs="Times New Roman"/>
                <w:sz w:val="21"/>
                <w:szCs w:val="21"/>
                <w:lang w:val="en-US" w:eastAsia="zh-CN"/>
              </w:rPr>
              <w:t>机柜、冷通道、精密空调、UPS及电池、配电柜、动环管理系统等</w:t>
            </w:r>
            <w:r>
              <w:rPr>
                <w:rFonts w:hint="eastAsia" w:ascii="Times New Roman" w:hAnsi="Times New Roman" w:eastAsia="宋体" w:cs="Times New Roman"/>
                <w:sz w:val="21"/>
                <w:szCs w:val="21"/>
                <w:lang w:val="en-US" w:eastAsia="zh-CN"/>
              </w:rPr>
              <w:t>；评价内容包括：</w:t>
            </w:r>
            <w:r>
              <w:rPr>
                <w:rFonts w:hint="eastAsia" w:ascii="Times New Roman" w:hAnsi="Times New Roman" w:eastAsia="宋体" w:cs="Times New Roman"/>
                <w:sz w:val="21"/>
                <w:szCs w:val="21"/>
                <w:lang w:eastAsia="zh-CN"/>
              </w:rPr>
              <w:t>供应能力评价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技术能力评价、质量能力评价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使用结果及结论</w:t>
            </w:r>
            <w:r>
              <w:rPr>
                <w:rFonts w:hint="eastAsia" w:ascii="Times New Roman" w:hAnsi="Times New Roman" w:eastAsia="宋体" w:cs="Times New Roman"/>
                <w:sz w:val="21"/>
                <w:szCs w:val="21"/>
                <w:lang w:val="en-US" w:eastAsia="zh-CN"/>
              </w:rPr>
              <w:t>等；评定结论：可列入合格供方名录；</w:t>
            </w:r>
          </w:p>
          <w:p>
            <w:pPr>
              <w:numPr>
                <w:ilvl w:val="0"/>
                <w:numId w:val="0"/>
              </w:numPr>
              <w:ind w:left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——抽2022年1月5日对供方浙江汉维通信器材有限公司的调查及评价。供应产品：光缆和网线，配件产品；评价内容包括：</w:t>
            </w:r>
            <w:r>
              <w:rPr>
                <w:rFonts w:hint="eastAsia" w:ascii="Times New Roman" w:hAnsi="Times New Roman" w:eastAsia="宋体" w:cs="Times New Roman"/>
                <w:sz w:val="21"/>
                <w:szCs w:val="21"/>
                <w:lang w:eastAsia="zh-CN"/>
              </w:rPr>
              <w:t>供应能力评价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技术能力评价、质量能力评价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使用结果及结论</w:t>
            </w:r>
            <w:r>
              <w:rPr>
                <w:rFonts w:hint="eastAsia" w:ascii="Times New Roman" w:hAnsi="Times New Roman" w:eastAsia="宋体" w:cs="Times New Roman"/>
                <w:sz w:val="21"/>
                <w:szCs w:val="21"/>
                <w:lang w:val="en-US" w:eastAsia="zh-CN"/>
              </w:rPr>
              <w:t>等；评定结论：可列入合格供方名录；</w:t>
            </w:r>
          </w:p>
          <w:p>
            <w:pPr>
              <w:numPr>
                <w:ilvl w:val="0"/>
                <w:numId w:val="0"/>
              </w:numPr>
              <w:ind w:left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——抽2022年1月5日对供方河北哈志信息技术股份有限公司的调查及评价。供应产品：机柜、KVM、数字音频矩阵、远程数字控制面板、音频设备、工作站等；评价内容包括：</w:t>
            </w:r>
            <w:r>
              <w:rPr>
                <w:rFonts w:hint="eastAsia" w:ascii="Times New Roman" w:hAnsi="Times New Roman" w:eastAsia="宋体" w:cs="Times New Roman"/>
                <w:sz w:val="21"/>
                <w:szCs w:val="21"/>
                <w:lang w:eastAsia="zh-CN"/>
              </w:rPr>
              <w:t>供应能力评价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技术能力评价、质量能力评价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使用结果及结论</w:t>
            </w:r>
            <w:r>
              <w:rPr>
                <w:rFonts w:hint="eastAsia" w:ascii="Times New Roman" w:hAnsi="Times New Roman" w:eastAsia="宋体" w:cs="Times New Roman"/>
                <w:sz w:val="21"/>
                <w:szCs w:val="21"/>
                <w:lang w:val="en-US" w:eastAsia="zh-CN"/>
              </w:rPr>
              <w:t>等；评定结论：可列入合格供方名录；</w:t>
            </w:r>
          </w:p>
          <w:p>
            <w:pPr>
              <w:numPr>
                <w:ilvl w:val="0"/>
                <w:numId w:val="0"/>
              </w:numPr>
              <w:ind w:left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——抽2022年1月5日对供方北京中勘迈普科技有限公司的调查及评价。供应产品：数据采集/航空拍摄/3d建模/数字孪生；评价内容包括：</w:t>
            </w:r>
            <w:r>
              <w:rPr>
                <w:rFonts w:hint="eastAsia" w:ascii="Times New Roman" w:hAnsi="Times New Roman" w:eastAsia="宋体" w:cs="Times New Roman"/>
                <w:sz w:val="21"/>
                <w:szCs w:val="21"/>
                <w:lang w:eastAsia="zh-CN"/>
              </w:rPr>
              <w:t>供应能力评价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技术能力评价、质量能力评价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使用结果及结论</w:t>
            </w:r>
            <w:r>
              <w:rPr>
                <w:rFonts w:hint="eastAsia" w:ascii="Times New Roman" w:hAnsi="Times New Roman" w:eastAsia="宋体" w:cs="Times New Roman"/>
                <w:sz w:val="21"/>
                <w:szCs w:val="21"/>
                <w:lang w:val="en-US" w:eastAsia="zh-CN"/>
              </w:rPr>
              <w:t>等；评定结论：可列入合格供方名录；</w:t>
            </w:r>
          </w:p>
          <w:p>
            <w:pPr>
              <w:numPr>
                <w:ilvl w:val="0"/>
                <w:numId w:val="0"/>
              </w:numPr>
              <w:ind w:left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——抽2022年1月5日对供方北京沃得沃机电安装有限公司的调查及评价。供应产品：高压配电柜/免维护铅酸蓄电池/不间断电源UPS/环境监控系统、空调等；评价内容包括：</w:t>
            </w:r>
            <w:r>
              <w:rPr>
                <w:rFonts w:hint="eastAsia" w:ascii="Times New Roman" w:hAnsi="Times New Roman" w:eastAsia="宋体" w:cs="Times New Roman"/>
                <w:sz w:val="21"/>
                <w:szCs w:val="21"/>
                <w:lang w:eastAsia="zh-CN"/>
              </w:rPr>
              <w:t>供应能力评价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技术能力评价、质量能力评价</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使用结果及结论</w:t>
            </w:r>
            <w:r>
              <w:rPr>
                <w:rFonts w:hint="eastAsia" w:ascii="Times New Roman" w:hAnsi="Times New Roman" w:eastAsia="宋体" w:cs="Times New Roman"/>
                <w:sz w:val="21"/>
                <w:szCs w:val="21"/>
                <w:lang w:val="en-US" w:eastAsia="zh-CN"/>
              </w:rPr>
              <w:t>等；评定结论：可列入合格供方名录；</w:t>
            </w:r>
          </w:p>
          <w:p>
            <w:pPr>
              <w:numPr>
                <w:ilvl w:val="0"/>
                <w:numId w:val="0"/>
              </w:numPr>
              <w:ind w:leftChars="0"/>
              <w:rPr>
                <w:rFonts w:hint="eastAsia" w:ascii="Times New Roman" w:hAnsi="Times New Roman" w:eastAsia="宋体" w:cs="Times New Roman"/>
                <w:sz w:val="21"/>
                <w:szCs w:val="21"/>
                <w:lang w:val="en-US" w:eastAsia="zh-CN"/>
              </w:rPr>
            </w:pPr>
          </w:p>
          <w:p>
            <w:pPr>
              <w:numPr>
                <w:ilvl w:val="0"/>
                <w:numId w:val="4"/>
              </w:numPr>
              <w:ind w:left="420" w:leftChars="0" w:hanging="420" w:firstLineChars="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公司对供方均进行了环境安全告知，见《施加影响相关方一览表》《相关方施加影响告知书》。</w:t>
            </w:r>
          </w:p>
          <w:p>
            <w:pPr>
              <w:pStyle w:val="2"/>
              <w:numPr>
                <w:ilvl w:val="0"/>
                <w:numId w:val="4"/>
              </w:numPr>
              <w:ind w:left="420" w:leftChars="0" w:hanging="420" w:firstLineChars="0"/>
              <w:rPr>
                <w:rFonts w:hint="default"/>
                <w:lang w:val="en-US" w:eastAsia="zh-CN"/>
              </w:rPr>
            </w:pPr>
            <w:r>
              <w:rPr>
                <w:rFonts w:hint="eastAsia" w:ascii="Times New Roman" w:hAnsi="Times New Roman" w:cs="Times New Roman"/>
                <w:sz w:val="21"/>
                <w:szCs w:val="21"/>
                <w:lang w:val="en-US" w:eastAsia="zh-CN"/>
              </w:rPr>
              <w:t>公司网络设备目前使用移动公司，网络运行正常，符合要求。</w:t>
            </w:r>
          </w:p>
          <w:p>
            <w:pPr>
              <w:numPr>
                <w:ilvl w:val="0"/>
                <w:numId w:val="5"/>
              </w:numPr>
              <w:spacing w:line="360" w:lineRule="auto"/>
              <w:rPr>
                <w:rFonts w:hint="eastAsia" w:ascii="Tahoma" w:hAnsi="宋体" w:cs="Tahoma"/>
                <w:color w:val="000000"/>
                <w:szCs w:val="21"/>
              </w:rPr>
            </w:pPr>
            <w:r>
              <w:rPr>
                <w:rFonts w:hint="eastAsia" w:ascii="Tahoma" w:hAnsi="宋体" w:cs="Tahoma"/>
                <w:color w:val="000000"/>
                <w:szCs w:val="21"/>
              </w:rPr>
              <w:t>询问：对人员无特殊资格要求。</w:t>
            </w:r>
          </w:p>
          <w:p>
            <w:pPr>
              <w:numPr>
                <w:ilvl w:val="0"/>
                <w:numId w:val="5"/>
              </w:numPr>
              <w:spacing w:line="360" w:lineRule="auto"/>
              <w:rPr>
                <w:rFonts w:hint="eastAsia" w:ascii="Tahoma" w:hAnsi="宋体" w:cs="Tahoma"/>
                <w:color w:val="000000"/>
                <w:sz w:val="21"/>
                <w:szCs w:val="21"/>
              </w:rPr>
            </w:pPr>
            <w:r>
              <w:rPr>
                <w:rFonts w:hint="eastAsia" w:ascii="Tahoma" w:hAnsi="宋体" w:cs="Tahoma"/>
                <w:color w:val="000000"/>
                <w:szCs w:val="21"/>
              </w:rPr>
              <w:t>采购产品的验证</w:t>
            </w:r>
            <w:r>
              <w:rPr>
                <w:rFonts w:hint="eastAsia" w:ascii="Tahoma" w:hAnsi="宋体" w:cs="Tahoma"/>
                <w:color w:val="000000"/>
                <w:szCs w:val="21"/>
                <w:lang w:eastAsia="zh-CN"/>
              </w:rPr>
              <w:t>：</w:t>
            </w:r>
            <w:r>
              <w:rPr>
                <w:rFonts w:hint="eastAsia" w:ascii="Tahoma" w:hAnsi="宋体" w:cs="Tahoma"/>
                <w:color w:val="000000"/>
                <w:sz w:val="21"/>
                <w:szCs w:val="21"/>
              </w:rPr>
              <w:t>询问：采购产品验证按规定</w:t>
            </w:r>
            <w:r>
              <w:rPr>
                <w:rFonts w:hint="eastAsia" w:ascii="宋体" w:hAnsi="宋体" w:cs="Tahoma"/>
                <w:color w:val="000000"/>
                <w:sz w:val="21"/>
                <w:szCs w:val="21"/>
              </w:rPr>
              <w:t>要求</w:t>
            </w:r>
            <w:r>
              <w:rPr>
                <w:rFonts w:hint="eastAsia" w:ascii="宋体" w:hAnsi="宋体"/>
                <w:color w:val="000000"/>
                <w:sz w:val="21"/>
                <w:szCs w:val="21"/>
              </w:rPr>
              <w:t>供方</w:t>
            </w:r>
            <w:r>
              <w:rPr>
                <w:rFonts w:hint="eastAsia" w:ascii="Tahoma" w:hAnsi="宋体" w:cs="Tahoma"/>
                <w:color w:val="000000"/>
                <w:sz w:val="21"/>
                <w:szCs w:val="21"/>
              </w:rPr>
              <w:t>合格证、数量与采购单相一致，到货在供方出货单上签字验证.</w:t>
            </w:r>
          </w:p>
          <w:p>
            <w:pPr>
              <w:pStyle w:val="3"/>
              <w:numPr>
                <w:ilvl w:val="0"/>
                <w:numId w:val="5"/>
              </w:numPr>
              <w:spacing w:line="360" w:lineRule="auto"/>
              <w:ind w:left="630"/>
              <w:jc w:val="left"/>
              <w:rPr>
                <w:rFonts w:hint="eastAsia" w:ascii="Tahoma" w:hAnsi="Tahoma" w:eastAsia="宋体" w:cs="Tahoma"/>
                <w:kern w:val="2"/>
                <w:sz w:val="21"/>
                <w:szCs w:val="21"/>
                <w:lang w:val="en-US" w:eastAsia="zh-CN" w:bidi="ar-SA"/>
              </w:rPr>
            </w:pPr>
            <w:r>
              <w:rPr>
                <w:rFonts w:hint="eastAsia" w:ascii="Tahoma" w:hAnsi="宋体" w:cs="Tahoma"/>
                <w:color w:val="000000"/>
                <w:sz w:val="21"/>
                <w:szCs w:val="21"/>
              </w:rPr>
              <w:t>查见</w:t>
            </w:r>
            <w:r>
              <w:rPr>
                <w:rFonts w:hint="eastAsia" w:ascii="Tahoma" w:hAnsi="宋体" w:cs="Tahoma"/>
                <w:color w:val="000000"/>
                <w:sz w:val="21"/>
                <w:szCs w:val="21"/>
                <w:lang w:val="en-US" w:eastAsia="zh-CN"/>
              </w:rPr>
              <w:t>采购</w:t>
            </w:r>
            <w:r>
              <w:rPr>
                <w:rFonts w:hint="eastAsia" w:ascii="Tahoma" w:hAnsi="Tahoma" w:eastAsia="宋体" w:cs="Tahoma"/>
                <w:kern w:val="2"/>
                <w:sz w:val="21"/>
                <w:szCs w:val="21"/>
                <w:lang w:val="en-US" w:eastAsia="zh-CN" w:bidi="ar-SA"/>
              </w:rPr>
              <w:t>物资产品： 冷通道模块等，验收内容：产品、外观包装、规格、数量等，验收合格；验收人：</w:t>
            </w:r>
            <w:r>
              <w:rPr>
                <w:rFonts w:hint="eastAsia"/>
                <w:color w:val="auto"/>
                <w:sz w:val="24"/>
                <w:szCs w:val="24"/>
                <w:lang w:val="en-US" w:eastAsia="zh-CN"/>
              </w:rPr>
              <w:t>李</w:t>
            </w:r>
            <w:r>
              <w:rPr>
                <w:rFonts w:hint="eastAsia" w:ascii="Tahoma" w:hAnsi="Tahoma" w:eastAsia="宋体" w:cs="Tahoma"/>
                <w:kern w:val="2"/>
                <w:sz w:val="21"/>
                <w:szCs w:val="21"/>
                <w:lang w:val="en-US" w:eastAsia="zh-CN" w:bidi="ar-SA"/>
              </w:rPr>
              <w:t>某，验收日期：2022.</w:t>
            </w:r>
            <w:r>
              <w:rPr>
                <w:rFonts w:hint="eastAsia" w:ascii="Tahoma" w:hAnsi="Tahoma" w:cs="Tahoma"/>
                <w:kern w:val="2"/>
                <w:sz w:val="21"/>
                <w:szCs w:val="21"/>
                <w:lang w:val="en-US" w:eastAsia="zh-CN" w:bidi="ar-SA"/>
              </w:rPr>
              <w:t>8.20</w:t>
            </w:r>
          </w:p>
          <w:p>
            <w:pPr>
              <w:pStyle w:val="3"/>
              <w:numPr>
                <w:ilvl w:val="0"/>
                <w:numId w:val="5"/>
              </w:numPr>
              <w:spacing w:line="360" w:lineRule="auto"/>
              <w:ind w:left="630"/>
              <w:jc w:val="left"/>
              <w:rPr>
                <w:rFonts w:hint="eastAsia" w:ascii="Tahoma" w:hAnsi="Tahoma" w:eastAsia="宋体" w:cs="Tahoma"/>
                <w:kern w:val="2"/>
                <w:sz w:val="21"/>
                <w:szCs w:val="21"/>
                <w:lang w:val="en-US" w:eastAsia="zh-CN" w:bidi="ar-SA"/>
              </w:rPr>
            </w:pPr>
            <w:r>
              <w:rPr>
                <w:rFonts w:hint="eastAsia" w:ascii="Tahoma" w:hAnsi="Tahoma" w:eastAsia="宋体" w:cs="Tahoma"/>
                <w:kern w:val="2"/>
                <w:sz w:val="21"/>
                <w:szCs w:val="21"/>
                <w:lang w:val="en-US" w:eastAsia="zh-CN" w:bidi="ar-SA"/>
              </w:rPr>
              <w:t>查见采购物资产品：精密空调</w:t>
            </w:r>
            <w:r>
              <w:rPr>
                <w:rFonts w:hint="default" w:ascii="Tahoma" w:hAnsi="Tahoma" w:eastAsia="宋体" w:cs="Tahoma"/>
                <w:kern w:val="2"/>
                <w:sz w:val="21"/>
                <w:szCs w:val="21"/>
                <w:lang w:val="en-US" w:eastAsia="zh-CN" w:bidi="ar-SA"/>
              </w:rPr>
              <w:t>等</w:t>
            </w:r>
            <w:r>
              <w:rPr>
                <w:rFonts w:hint="eastAsia" w:ascii="Tahoma" w:hAnsi="Tahoma" w:eastAsia="宋体" w:cs="Tahoma"/>
                <w:kern w:val="2"/>
                <w:sz w:val="21"/>
                <w:szCs w:val="21"/>
                <w:lang w:val="en-US" w:eastAsia="zh-CN" w:bidi="ar-SA"/>
              </w:rPr>
              <w:t>，验收内容：产品、外观包装、规格、数量等，验收合格；验收人：</w:t>
            </w:r>
            <w:r>
              <w:rPr>
                <w:rFonts w:hint="eastAsia"/>
                <w:color w:val="auto"/>
                <w:sz w:val="24"/>
                <w:szCs w:val="24"/>
                <w:lang w:val="en-US" w:eastAsia="zh-CN"/>
              </w:rPr>
              <w:t>李</w:t>
            </w:r>
            <w:r>
              <w:rPr>
                <w:rFonts w:hint="eastAsia" w:ascii="Tahoma" w:hAnsi="Tahoma" w:eastAsia="宋体" w:cs="Tahoma"/>
                <w:kern w:val="2"/>
                <w:sz w:val="21"/>
                <w:szCs w:val="21"/>
                <w:lang w:val="en-US" w:eastAsia="zh-CN" w:bidi="ar-SA"/>
              </w:rPr>
              <w:t>某，验收日期：2022</w:t>
            </w:r>
            <w:r>
              <w:rPr>
                <w:rFonts w:hint="eastAsia" w:ascii="Tahoma" w:hAnsi="Tahoma" w:cs="Tahoma"/>
                <w:kern w:val="2"/>
                <w:sz w:val="21"/>
                <w:szCs w:val="21"/>
                <w:lang w:val="en-US" w:eastAsia="zh-CN" w:bidi="ar-SA"/>
              </w:rPr>
              <w:t>.8.22</w:t>
            </w:r>
          </w:p>
          <w:p>
            <w:pPr>
              <w:pStyle w:val="3"/>
              <w:numPr>
                <w:ilvl w:val="0"/>
                <w:numId w:val="5"/>
              </w:numPr>
              <w:spacing w:line="360" w:lineRule="auto"/>
              <w:ind w:left="630"/>
              <w:jc w:val="left"/>
              <w:rPr>
                <w:rFonts w:hint="eastAsia" w:ascii="Tahoma" w:hAnsi="Tahoma" w:eastAsia="宋体" w:cs="Tahoma"/>
                <w:kern w:val="2"/>
                <w:sz w:val="21"/>
                <w:szCs w:val="21"/>
                <w:lang w:val="en-US" w:eastAsia="zh-CN" w:bidi="ar-SA"/>
              </w:rPr>
            </w:pPr>
            <w:r>
              <w:rPr>
                <w:rFonts w:hint="eastAsia" w:ascii="Tahoma" w:hAnsi="Tahoma" w:eastAsia="宋体" w:cs="Tahoma"/>
                <w:kern w:val="2"/>
                <w:sz w:val="21"/>
                <w:szCs w:val="21"/>
                <w:lang w:val="en-US" w:eastAsia="zh-CN" w:bidi="ar-SA"/>
              </w:rPr>
              <w:t>查见采购物资产品：动环系统</w:t>
            </w:r>
            <w:r>
              <w:rPr>
                <w:rFonts w:hint="default" w:ascii="Tahoma" w:hAnsi="Tahoma" w:eastAsia="宋体" w:cs="Tahoma"/>
                <w:kern w:val="2"/>
                <w:sz w:val="21"/>
                <w:szCs w:val="21"/>
                <w:lang w:val="en-US" w:eastAsia="zh-CN" w:bidi="ar-SA"/>
              </w:rPr>
              <w:t>等</w:t>
            </w:r>
            <w:r>
              <w:rPr>
                <w:rFonts w:hint="eastAsia" w:ascii="Tahoma" w:hAnsi="Tahoma" w:eastAsia="宋体" w:cs="Tahoma"/>
                <w:kern w:val="2"/>
                <w:sz w:val="21"/>
                <w:szCs w:val="21"/>
                <w:lang w:val="en-US" w:eastAsia="zh-CN" w:bidi="ar-SA"/>
              </w:rPr>
              <w:t>，验收内容：产品、外观包装、规格、数量等，验收合格；验收人：</w:t>
            </w:r>
            <w:r>
              <w:rPr>
                <w:rFonts w:hint="eastAsia"/>
                <w:color w:val="auto"/>
                <w:sz w:val="24"/>
                <w:szCs w:val="24"/>
                <w:lang w:val="en-US" w:eastAsia="zh-CN"/>
              </w:rPr>
              <w:t>李</w:t>
            </w:r>
            <w:r>
              <w:rPr>
                <w:rFonts w:hint="eastAsia" w:ascii="Tahoma" w:hAnsi="Tahoma" w:eastAsia="宋体" w:cs="Tahoma"/>
                <w:kern w:val="2"/>
                <w:sz w:val="21"/>
                <w:szCs w:val="21"/>
                <w:lang w:val="en-US" w:eastAsia="zh-CN" w:bidi="ar-SA"/>
              </w:rPr>
              <w:t>某，验收日期：2022.09.10</w:t>
            </w:r>
          </w:p>
          <w:p>
            <w:pPr>
              <w:widowControl/>
              <w:numPr>
                <w:ilvl w:val="0"/>
                <w:numId w:val="6"/>
              </w:numPr>
              <w:jc w:val="left"/>
              <w:rPr>
                <w:rFonts w:hint="eastAsia"/>
                <w:szCs w:val="21"/>
              </w:rPr>
            </w:pPr>
            <w:r>
              <w:rPr>
                <w:rFonts w:hint="eastAsia"/>
                <w:szCs w:val="21"/>
              </w:rPr>
              <w:t>公司采购的产品主要对数量、产品包装、来料合格证、原材料质量证明书、原材料合格报告单等来验证产品质量；</w:t>
            </w:r>
          </w:p>
          <w:p>
            <w:pPr>
              <w:numPr>
                <w:ilvl w:val="0"/>
                <w:numId w:val="6"/>
              </w:numPr>
              <w:spacing w:line="400" w:lineRule="exact"/>
              <w:rPr>
                <w:rFonts w:hint="eastAsia" w:ascii="Tahoma" w:hAnsi="Tahoma" w:cs="Tahoma"/>
                <w:szCs w:val="21"/>
              </w:rPr>
            </w:pPr>
            <w:r>
              <w:rPr>
                <w:rFonts w:hint="eastAsia" w:ascii="Tahoma" w:hAnsi="Tahoma" w:cs="Tahoma"/>
                <w:szCs w:val="21"/>
              </w:rPr>
              <w:t>公司确保了供方提供的原材料质量，不会对顾客交付合格产品和服务的能力产生不利影响。组织确保外部提供的过程保持在其质量管理体系的控制之中；规定对外部供方的控制及其输出结果的控制。考虑了供方提供的原材料满足顾客要求和法律法规要求。供方自身控制的有效性；对供方进行了评价；确定必要的验证或其他活动，确保外部提供的过程，产品和服务满足要求。</w:t>
            </w:r>
          </w:p>
          <w:p>
            <w:pPr>
              <w:numPr>
                <w:ilvl w:val="0"/>
                <w:numId w:val="6"/>
              </w:numPr>
              <w:spacing w:line="400" w:lineRule="exact"/>
              <w:rPr>
                <w:rFonts w:hint="eastAsia" w:ascii="Tahoma" w:hAnsi="Tahoma" w:cs="Tahoma"/>
                <w:szCs w:val="21"/>
              </w:rPr>
            </w:pPr>
            <w:r>
              <w:rPr>
                <w:rFonts w:hint="eastAsia" w:ascii="Tahoma" w:hAnsi="Tahoma" w:cs="Tahoma"/>
                <w:szCs w:val="21"/>
              </w:rPr>
              <w:t>组织对外部提供的过程、产品和服务控制的类型和程度取决于外部供方提供的过程、产品或服务对组织产品或服务符合要求可能造成的影响，组织应确定要对外部实施的具体控制要求。这些控制旨在确保产品或服务提供按计划进行并符合要求，确保外部提供的过程、产品和服务不会对组织稳定地向顾客提供合格的产品和服务的能力产生不利影响。</w:t>
            </w:r>
          </w:p>
          <w:p>
            <w:pPr>
              <w:numPr>
                <w:ilvl w:val="0"/>
                <w:numId w:val="6"/>
              </w:numPr>
              <w:spacing w:line="400" w:lineRule="exact"/>
              <w:rPr>
                <w:rFonts w:hint="eastAsia" w:ascii="Tahoma" w:hAnsi="Tahoma" w:eastAsia="宋体" w:cs="Tahoma"/>
                <w:kern w:val="2"/>
                <w:sz w:val="21"/>
                <w:szCs w:val="21"/>
                <w:lang w:val="en-US" w:eastAsia="zh-CN" w:bidi="ar-SA"/>
              </w:rPr>
            </w:pPr>
            <w:r>
              <w:rPr>
                <w:rFonts w:hint="eastAsia" w:ascii="Tahoma" w:hAnsi="Tahoma" w:cs="Tahoma"/>
                <w:szCs w:val="21"/>
              </w:rPr>
              <w:t>主要材料供方和辅料供方采用走访企业以及收收集供方资质、业绩、质量等来评价，一年一次度供方进行评审，一年一次复评</w:t>
            </w:r>
            <w:r>
              <w:rPr>
                <w:rFonts w:hint="eastAsia" w:ascii="Tahoma" w:hAnsi="Tahoma" w:cs="Tahoma"/>
                <w:szCs w:val="21"/>
                <w:lang w:eastAsia="zh-CN"/>
              </w:rPr>
              <w:t>。</w:t>
            </w:r>
          </w:p>
          <w:p>
            <w:pPr>
              <w:numPr>
                <w:ilvl w:val="0"/>
                <w:numId w:val="6"/>
              </w:numPr>
              <w:ind w:left="420" w:leftChars="0" w:hanging="420" w:firstLineChars="0"/>
              <w:rPr>
                <w:rFonts w:hint="eastAsia" w:ascii="Tahoma" w:hAnsi="Tahoma" w:eastAsia="宋体" w:cs="Tahoma"/>
                <w:kern w:val="2"/>
                <w:sz w:val="21"/>
                <w:szCs w:val="21"/>
                <w:lang w:val="en-US" w:eastAsia="zh-CN" w:bidi="ar-SA"/>
              </w:rPr>
            </w:pPr>
            <w:r>
              <w:rPr>
                <w:rFonts w:hint="eastAsia" w:ascii="Tahoma" w:hAnsi="Tahoma" w:eastAsia="宋体" w:cs="Tahoma"/>
                <w:kern w:val="2"/>
                <w:sz w:val="21"/>
                <w:szCs w:val="21"/>
                <w:lang w:val="en-US" w:eastAsia="zh-CN" w:bidi="ar-SA"/>
              </w:rPr>
              <w:t>编制了《安全管理制度》《消防管理制度》《危险废物分类管理制度》《危险废物转移管理制度》《节水、节电管理办法》等各项管理制度。</w:t>
            </w:r>
          </w:p>
          <w:p>
            <w:pPr>
              <w:numPr>
                <w:ilvl w:val="0"/>
                <w:numId w:val="6"/>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通过远程视频和文件查看运行控制情况：</w:t>
            </w:r>
          </w:p>
          <w:p>
            <w:pPr>
              <w:rPr>
                <w:rFonts w:hint="eastAsia" w:ascii="Times New Roman" w:hAnsi="Times New Roman" w:eastAsia="宋体" w:cs="Times New Roman"/>
                <w:sz w:val="21"/>
                <w:szCs w:val="21"/>
                <w:lang w:eastAsia="zh-CN"/>
              </w:rPr>
            </w:pPr>
            <w:r>
              <w:rPr>
                <w:rFonts w:hint="eastAsia" w:cs="Times New Roman"/>
                <w:sz w:val="21"/>
                <w:szCs w:val="21"/>
                <w:lang w:val="en-US" w:eastAsia="zh-CN"/>
              </w:rPr>
              <w:t>1、</w:t>
            </w:r>
            <w:r>
              <w:rPr>
                <w:rFonts w:hint="eastAsia" w:ascii="Times New Roman" w:hAnsi="Times New Roman" w:eastAsia="宋体" w:cs="Times New Roman"/>
                <w:sz w:val="21"/>
                <w:szCs w:val="21"/>
              </w:rPr>
              <w:t>工作时间平均每天不超过8小时，公司为员工</w:t>
            </w:r>
            <w:r>
              <w:rPr>
                <w:rFonts w:hint="eastAsia" w:ascii="Times New Roman" w:hAnsi="Times New Roman" w:eastAsia="宋体" w:cs="Times New Roman"/>
                <w:sz w:val="21"/>
                <w:szCs w:val="21"/>
                <w:lang w:eastAsia="zh-CN"/>
              </w:rPr>
              <w:t>缴纳了保险。</w:t>
            </w:r>
          </w:p>
          <w:p>
            <w:pPr>
              <w:pStyle w:val="17"/>
              <w:ind w:left="0" w:leftChars="0" w:firstLine="0" w:firstLineChars="0"/>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lang w:eastAsia="zh-CN"/>
              </w:rPr>
              <w:t>废水排放：主要是清洁和生活污水，用于</w:t>
            </w:r>
            <w:r>
              <w:rPr>
                <w:rFonts w:hint="eastAsia" w:ascii="宋体" w:hAnsi="宋体" w:cs="宋体"/>
                <w:sz w:val="21"/>
                <w:szCs w:val="21"/>
                <w:lang w:val="en-US" w:eastAsia="zh-CN"/>
              </w:rPr>
              <w:t>办公区</w:t>
            </w:r>
            <w:r>
              <w:rPr>
                <w:rFonts w:hint="eastAsia" w:ascii="宋体" w:hAnsi="宋体" w:eastAsia="宋体" w:cs="宋体"/>
                <w:sz w:val="21"/>
                <w:szCs w:val="21"/>
                <w:lang w:eastAsia="zh-CN"/>
              </w:rPr>
              <w:t>清洁</w:t>
            </w:r>
            <w:r>
              <w:rPr>
                <w:rFonts w:hint="eastAsia" w:ascii="宋体" w:hAnsi="宋体" w:cs="宋体"/>
                <w:sz w:val="21"/>
                <w:szCs w:val="21"/>
                <w:lang w:eastAsia="zh-CN"/>
              </w:rPr>
              <w:t>抑尘洒扫</w:t>
            </w:r>
            <w:r>
              <w:rPr>
                <w:rFonts w:hint="eastAsia" w:ascii="宋体" w:hAnsi="宋体" w:eastAsia="宋体" w:cs="宋体"/>
                <w:sz w:val="21"/>
                <w:szCs w:val="21"/>
                <w:lang w:eastAsia="zh-CN"/>
              </w:rPr>
              <w:t>，无外排；</w:t>
            </w:r>
          </w:p>
          <w:p>
            <w:pPr>
              <w:pStyle w:val="17"/>
              <w:ind w:left="0" w:leftChars="0" w:firstLine="0" w:firstLineChars="0"/>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lang w:eastAsia="zh-CN"/>
              </w:rPr>
              <w:t>水电消耗：</w:t>
            </w:r>
            <w:r>
              <w:rPr>
                <w:rFonts w:hint="eastAsia" w:ascii="Times New Roman" w:hAnsi="Times New Roman" w:eastAsia="宋体" w:cs="Times New Roman"/>
                <w:sz w:val="21"/>
                <w:szCs w:val="21"/>
                <w:lang w:eastAsia="zh-CN"/>
              </w:rPr>
              <w:t>执行《节水、节电管理办法》</w:t>
            </w:r>
            <w:r>
              <w:rPr>
                <w:rFonts w:hint="eastAsia" w:cs="Times New Roman"/>
                <w:sz w:val="21"/>
                <w:szCs w:val="21"/>
                <w:lang w:eastAsia="zh-CN"/>
              </w:rPr>
              <w:t>，</w:t>
            </w:r>
            <w:r>
              <w:rPr>
                <w:rFonts w:hint="eastAsia" w:ascii="宋体" w:hAnsi="宋体" w:eastAsia="宋体" w:cs="宋体"/>
                <w:sz w:val="21"/>
                <w:szCs w:val="21"/>
                <w:lang w:eastAsia="zh-CN"/>
              </w:rPr>
              <w:t>日常办公注意节水节电，不浪费；</w:t>
            </w:r>
          </w:p>
          <w:p>
            <w:pP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触电控制：办公区均使用安全电器，灯具离地距离符合要求，</w:t>
            </w:r>
            <w:r>
              <w:rPr>
                <w:rFonts w:hint="eastAsia" w:ascii="宋体" w:hAnsi="宋体" w:eastAsia="宋体" w:cs="宋体"/>
                <w:sz w:val="21"/>
                <w:szCs w:val="21"/>
                <w:lang w:eastAsia="zh-CN"/>
              </w:rPr>
              <w:t>定期</w:t>
            </w:r>
            <w:r>
              <w:rPr>
                <w:rFonts w:hint="eastAsia" w:ascii="宋体" w:hAnsi="宋体" w:eastAsia="宋体" w:cs="宋体"/>
                <w:sz w:val="21"/>
                <w:szCs w:val="21"/>
              </w:rPr>
              <w:t>检查线路、灯具、电器等的安全性能，</w:t>
            </w:r>
            <w:r>
              <w:rPr>
                <w:rFonts w:hint="eastAsia" w:ascii="宋体" w:hAnsi="宋体" w:cs="宋体"/>
                <w:sz w:val="21"/>
                <w:szCs w:val="21"/>
                <w:lang w:val="en-US" w:eastAsia="zh-CN"/>
              </w:rPr>
              <w:t>负责人</w:t>
            </w:r>
            <w:r>
              <w:rPr>
                <w:rFonts w:hint="eastAsia" w:ascii="宋体" w:hAnsi="宋体" w:cs="宋体"/>
                <w:sz w:val="21"/>
                <w:szCs w:val="21"/>
                <w:lang w:eastAsia="zh-CN"/>
              </w:rPr>
              <w:t>介绍，</w:t>
            </w:r>
            <w:r>
              <w:rPr>
                <w:rFonts w:hint="eastAsia" w:ascii="宋体" w:hAnsi="宋体" w:eastAsia="宋体" w:cs="宋体"/>
                <w:sz w:val="21"/>
                <w:szCs w:val="21"/>
              </w:rPr>
              <w:t>经常对员工进行安全用电知识宣贯，确保安全用电，无触电事故发生。</w:t>
            </w:r>
          </w:p>
          <w:p>
            <w:pPr>
              <w:numPr>
                <w:ilvl w:val="0"/>
                <w:numId w:val="0"/>
              </w:numPr>
              <w:rPr>
                <w:rFonts w:hint="eastAsia" w:ascii="Times New Roman" w:hAnsi="Times New Roman" w:eastAsia="宋体" w:cs="Times New Roman"/>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火灾控制：</w:t>
            </w:r>
            <w:r>
              <w:rPr>
                <w:rFonts w:hint="eastAsia" w:ascii="宋体" w:hAnsi="宋体" w:cs="宋体"/>
                <w:sz w:val="21"/>
                <w:szCs w:val="21"/>
                <w:lang w:eastAsia="zh-CN"/>
              </w:rPr>
              <w:t>办公区域</w:t>
            </w:r>
            <w:r>
              <w:rPr>
                <w:rFonts w:hint="eastAsia" w:ascii="宋体" w:hAnsi="宋体" w:eastAsia="宋体" w:cs="宋体"/>
                <w:sz w:val="21"/>
                <w:szCs w:val="21"/>
              </w:rPr>
              <w:t>配备了灭火器，</w:t>
            </w:r>
            <w:r>
              <w:rPr>
                <w:rFonts w:hint="eastAsia" w:ascii="宋体" w:hAnsi="宋体" w:cs="宋体"/>
                <w:sz w:val="21"/>
                <w:szCs w:val="21"/>
                <w:lang w:eastAsia="zh-CN"/>
              </w:rPr>
              <w:t>视频查看</w:t>
            </w:r>
            <w:r>
              <w:rPr>
                <w:rFonts w:hint="eastAsia" w:ascii="宋体" w:hAnsi="宋体" w:eastAsia="宋体" w:cs="宋体"/>
                <w:sz w:val="21"/>
                <w:szCs w:val="21"/>
              </w:rPr>
              <w:t>均在有效压力范围内。</w:t>
            </w:r>
            <w:r>
              <w:rPr>
                <w:rFonts w:hint="eastAsia" w:ascii="Times New Roman" w:hAnsi="Times New Roman" w:eastAsia="宋体" w:cs="Times New Roman"/>
                <w:sz w:val="21"/>
                <w:szCs w:val="21"/>
                <w:lang w:eastAsia="zh-CN"/>
              </w:rPr>
              <w:t>提供了《</w:t>
            </w:r>
            <w:r>
              <w:rPr>
                <w:rFonts w:hint="eastAsia" w:ascii="Times New Roman" w:hAnsi="Times New Roman" w:eastAsia="宋体" w:cs="Times New Roman"/>
                <w:sz w:val="21"/>
                <w:szCs w:val="21"/>
              </w:rPr>
              <w:t>消防安全检查记录表</w:t>
            </w:r>
            <w:r>
              <w:rPr>
                <w:rFonts w:hint="eastAsia" w:ascii="Times New Roman" w:hAnsi="Times New Roman" w:eastAsia="宋体" w:cs="Times New Roman"/>
                <w:sz w:val="21"/>
                <w:szCs w:val="21"/>
                <w:lang w:eastAsia="zh-CN"/>
              </w:rPr>
              <w:t>》</w:t>
            </w:r>
            <w:r>
              <w:rPr>
                <w:rFonts w:hint="eastAsia" w:cs="Times New Roman"/>
                <w:sz w:val="21"/>
                <w:szCs w:val="21"/>
                <w:lang w:eastAsia="zh-CN"/>
              </w:rPr>
              <w:t>，每季度检查一次，检查人：</w:t>
            </w:r>
            <w:r>
              <w:rPr>
                <w:rFonts w:hint="eastAsia" w:cs="Times New Roman"/>
                <w:sz w:val="21"/>
                <w:szCs w:val="21"/>
                <w:lang w:val="en-US" w:eastAsia="zh-CN"/>
              </w:rPr>
              <w:t>孙某</w:t>
            </w:r>
            <w:r>
              <w:rPr>
                <w:rFonts w:hint="eastAsia" w:ascii="Times New Roman" w:hAnsi="Times New Roman" w:eastAsia="宋体" w:cs="Times New Roman"/>
                <w:sz w:val="21"/>
                <w:szCs w:val="21"/>
              </w:rPr>
              <w:t>。</w:t>
            </w:r>
          </w:p>
          <w:p>
            <w:pPr>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eastAsia="zh-CN"/>
              </w:rPr>
              <w:t>废气排放：办公</w:t>
            </w:r>
            <w:r>
              <w:rPr>
                <w:rFonts w:hint="eastAsia" w:ascii="宋体" w:hAnsi="宋体" w:eastAsia="宋体" w:cs="宋体"/>
                <w:sz w:val="21"/>
                <w:szCs w:val="21"/>
              </w:rPr>
              <w:t xml:space="preserve">过程不产生粉尘排放。 </w:t>
            </w:r>
          </w:p>
          <w:p>
            <w:pPr>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办公过程产生的固废（如纸张、外包装等）按</w:t>
            </w:r>
            <w:r>
              <w:rPr>
                <w:rFonts w:hint="eastAsia" w:ascii="宋体" w:hAnsi="宋体" w:cs="宋体"/>
                <w:sz w:val="21"/>
                <w:szCs w:val="21"/>
                <w:lang w:val="en-US" w:eastAsia="zh-CN"/>
              </w:rPr>
              <w:t>采购部</w:t>
            </w:r>
            <w:r>
              <w:rPr>
                <w:rFonts w:hint="eastAsia" w:ascii="宋体" w:hAnsi="宋体" w:eastAsia="宋体" w:cs="宋体"/>
                <w:sz w:val="21"/>
                <w:szCs w:val="21"/>
              </w:rPr>
              <w:t>要求放到指定地点，现场无混放现象；生活办公垃圾按照规定放置指定区域</w:t>
            </w:r>
            <w:r>
              <w:rPr>
                <w:rFonts w:hint="eastAsia" w:ascii="宋体" w:hAnsi="宋体" w:cs="宋体"/>
                <w:sz w:val="21"/>
                <w:szCs w:val="21"/>
                <w:lang w:eastAsia="zh-CN"/>
              </w:rPr>
              <w:t>，交由</w:t>
            </w:r>
            <w:r>
              <w:rPr>
                <w:rFonts w:hint="eastAsia" w:ascii="宋体" w:hAnsi="宋体" w:cs="宋体"/>
                <w:sz w:val="21"/>
                <w:szCs w:val="21"/>
                <w:lang w:val="en-US" w:eastAsia="zh-CN"/>
              </w:rPr>
              <w:t>物业、</w:t>
            </w:r>
            <w:r>
              <w:rPr>
                <w:rFonts w:hint="eastAsia" w:ascii="宋体" w:hAnsi="宋体" w:cs="宋体"/>
                <w:sz w:val="21"/>
                <w:szCs w:val="21"/>
                <w:lang w:eastAsia="zh-CN"/>
              </w:rPr>
              <w:t>环卫统一处理</w:t>
            </w:r>
            <w:r>
              <w:rPr>
                <w:rFonts w:hint="eastAsia" w:ascii="宋体" w:hAnsi="宋体" w:eastAsia="宋体" w:cs="宋体"/>
                <w:sz w:val="21"/>
                <w:szCs w:val="21"/>
              </w:rPr>
              <w:t>。废弃的防疫物质有专用垃圾桶。提供了</w:t>
            </w:r>
            <w:r>
              <w:rPr>
                <w:rFonts w:hint="eastAsia" w:ascii="宋体" w:hAnsi="宋体" w:eastAsia="宋体" w:cs="宋体"/>
                <w:sz w:val="21"/>
                <w:szCs w:val="21"/>
                <w:lang w:eastAsia="zh-CN"/>
              </w:rPr>
              <w:t>《</w:t>
            </w:r>
            <w:r>
              <w:rPr>
                <w:rFonts w:hint="eastAsia" w:ascii="宋体" w:hAnsi="宋体" w:eastAsia="宋体" w:cs="宋体"/>
                <w:sz w:val="21"/>
                <w:szCs w:val="21"/>
              </w:rPr>
              <w:t>废弃物</w:t>
            </w:r>
            <w:r>
              <w:rPr>
                <w:rFonts w:hint="eastAsia" w:ascii="宋体" w:hAnsi="宋体" w:eastAsia="宋体" w:cs="宋体"/>
                <w:sz w:val="21"/>
                <w:szCs w:val="21"/>
                <w:lang w:eastAsia="zh-CN"/>
              </w:rPr>
              <w:t>分类</w:t>
            </w:r>
            <w:r>
              <w:rPr>
                <w:rFonts w:hint="eastAsia" w:ascii="宋体" w:hAnsi="宋体" w:eastAsia="宋体" w:cs="宋体"/>
                <w:sz w:val="21"/>
                <w:szCs w:val="21"/>
              </w:rPr>
              <w:t>处置记录》，打印纸、包装、纸箱等进行了变卖，办公室废弃灯管</w:t>
            </w:r>
            <w:r>
              <w:rPr>
                <w:rFonts w:hint="eastAsia" w:ascii="宋体" w:hAnsi="宋体" w:cs="宋体"/>
                <w:sz w:val="21"/>
                <w:szCs w:val="21"/>
                <w:lang w:eastAsia="zh-CN"/>
              </w:rPr>
              <w:t>、</w:t>
            </w:r>
            <w:r>
              <w:rPr>
                <w:rFonts w:hint="eastAsia" w:ascii="宋体" w:hAnsi="宋体" w:cs="宋体"/>
                <w:sz w:val="21"/>
                <w:szCs w:val="21"/>
                <w:lang w:val="en-US" w:eastAsia="zh-CN"/>
              </w:rPr>
              <w:t>墨盒</w:t>
            </w:r>
            <w:r>
              <w:rPr>
                <w:rFonts w:hint="eastAsia" w:ascii="宋体" w:hAnsi="宋体" w:eastAsia="宋体" w:cs="宋体"/>
                <w:sz w:val="21"/>
                <w:szCs w:val="21"/>
              </w:rPr>
              <w:t>等交由厂家回收。</w:t>
            </w:r>
          </w:p>
          <w:p>
            <w:pPr>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汽车尾气：使用高标号燃油降低汽车尾气有害气体的排放，定期对车辆进行检定，避免事故、尾气达标排放等。</w:t>
            </w:r>
          </w:p>
          <w:p>
            <w:pPr>
              <w:pStyle w:val="17"/>
              <w:ind w:left="0" w:leftChars="0" w:firstLine="0" w:firstLineChars="0"/>
              <w:rPr>
                <w:rFonts w:hint="eastAsia" w:ascii="宋体" w:hAnsi="宋体" w:eastAsia="宋体" w:cs="宋体"/>
                <w:lang w:val="en-US" w:eastAsia="zh-CN"/>
              </w:rPr>
            </w:pPr>
            <w:r>
              <w:rPr>
                <w:rFonts w:hint="eastAsia" w:ascii="宋体" w:hAnsi="宋体" w:eastAsia="宋体" w:cs="宋体"/>
                <w:sz w:val="21"/>
                <w:szCs w:val="21"/>
              </w:rPr>
              <w:t>交通事故控制：车辆司机均持证上岗，不酒驾、醉驾、毒驾、疲劳驾驶，目前未发生过该类伤害。</w:t>
            </w:r>
          </w:p>
          <w:p>
            <w:pPr>
              <w:numPr>
                <w:ilvl w:val="0"/>
                <w:numId w:val="0"/>
              </w:numPr>
              <w:rPr>
                <w:rFonts w:hint="default" w:ascii="宋体" w:hAnsi="宋体" w:eastAsia="宋体" w:cs="宋体"/>
                <w:b/>
                <w:bCs/>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rPr>
              <w:t>相关方施加影响：</w:t>
            </w:r>
            <w:r>
              <w:rPr>
                <w:rFonts w:hint="eastAsia" w:ascii="宋体" w:hAnsi="宋体" w:eastAsia="宋体" w:cs="宋体"/>
                <w:sz w:val="21"/>
                <w:szCs w:val="21"/>
                <w:lang w:eastAsia="zh-CN"/>
              </w:rPr>
              <w:t>对相关方</w:t>
            </w:r>
            <w:r>
              <w:rPr>
                <w:rFonts w:hint="eastAsia" w:ascii="宋体" w:hAnsi="宋体" w:cs="宋体"/>
                <w:sz w:val="21"/>
                <w:szCs w:val="21"/>
                <w:lang w:val="en-US" w:eastAsia="zh-CN"/>
              </w:rPr>
              <w:t>供方</w:t>
            </w:r>
            <w:r>
              <w:rPr>
                <w:rFonts w:hint="eastAsia" w:ascii="宋体" w:hAnsi="宋体" w:eastAsia="宋体" w:cs="宋体"/>
                <w:sz w:val="21"/>
                <w:szCs w:val="21"/>
                <w:lang w:eastAsia="zh-CN"/>
              </w:rPr>
              <w:t>施加环境、安全影响</w:t>
            </w:r>
            <w:r>
              <w:rPr>
                <w:rFonts w:hint="eastAsia" w:ascii="宋体" w:hAnsi="宋体" w:eastAsia="宋体" w:cs="宋体"/>
                <w:sz w:val="21"/>
                <w:szCs w:val="21"/>
              </w:rPr>
              <w:t>，</w:t>
            </w:r>
            <w:r>
              <w:rPr>
                <w:rFonts w:hint="eastAsia" w:ascii="宋体" w:hAnsi="宋体" w:cs="宋体"/>
                <w:sz w:val="21"/>
                <w:szCs w:val="21"/>
                <w:lang w:eastAsia="zh-CN"/>
              </w:rPr>
              <w:t>提供《施加影响相关方一览表》《相关方告知书》。</w:t>
            </w:r>
          </w:p>
          <w:p>
            <w:pPr>
              <w:numPr>
                <w:ilvl w:val="0"/>
                <w:numId w:val="0"/>
              </w:numP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10、疫情期间：</w:t>
            </w:r>
            <w:r>
              <w:rPr>
                <w:rFonts w:hint="eastAsia" w:cs="Times New Roman"/>
                <w:sz w:val="21"/>
                <w:szCs w:val="21"/>
                <w:lang w:eastAsia="zh-CN"/>
              </w:rPr>
              <w:t>劳动防护：</w:t>
            </w:r>
            <w:r>
              <w:rPr>
                <w:rFonts w:hint="eastAsia" w:ascii="Times New Roman" w:hAnsi="Times New Roman" w:eastAsia="宋体" w:cs="Times New Roman"/>
                <w:sz w:val="21"/>
                <w:szCs w:val="21"/>
                <w:lang w:eastAsia="zh-CN"/>
              </w:rPr>
              <w:t>提供了《劳保</w:t>
            </w:r>
            <w:r>
              <w:rPr>
                <w:rFonts w:hint="eastAsia" w:ascii="Times New Roman" w:hAnsi="Times New Roman" w:eastAsia="宋体" w:cs="Times New Roman"/>
                <w:sz w:val="21"/>
                <w:szCs w:val="21"/>
                <w:lang w:val="en-US" w:eastAsia="zh-CN"/>
              </w:rPr>
              <w:t>/防护用品台账</w:t>
            </w:r>
            <w:r>
              <w:rPr>
                <w:rFonts w:hint="eastAsia" w:ascii="Times New Roman" w:hAnsi="Times New Roman" w:eastAsia="宋体" w:cs="Times New Roman"/>
                <w:sz w:val="21"/>
                <w:szCs w:val="21"/>
                <w:lang w:eastAsia="zh-CN"/>
              </w:rPr>
              <w:t>》、《劳保用品发放记录》，</w:t>
            </w:r>
            <w:r>
              <w:rPr>
                <w:rFonts w:hint="eastAsia" w:ascii="Times New Roman" w:hAnsi="Times New Roman" w:eastAsia="宋体" w:cs="Times New Roman"/>
                <w:sz w:val="21"/>
                <w:szCs w:val="21"/>
              </w:rPr>
              <w:t>公司为员工提供口罩、</w:t>
            </w:r>
            <w:r>
              <w:rPr>
                <w:rFonts w:hint="eastAsia" w:cs="Times New Roman"/>
                <w:sz w:val="21"/>
                <w:szCs w:val="21"/>
                <w:lang w:eastAsia="zh-CN"/>
              </w:rPr>
              <w:t>手套</w:t>
            </w:r>
            <w:r>
              <w:rPr>
                <w:rFonts w:hint="eastAsia" w:ascii="Times New Roman" w:hAnsi="Times New Roman" w:eastAsia="宋体" w:cs="Times New Roman"/>
                <w:sz w:val="21"/>
                <w:szCs w:val="21"/>
              </w:rPr>
              <w:t>等劳动防护用品及卫生防疫物品，提供发放记录。</w:t>
            </w:r>
            <w:r>
              <w:rPr>
                <w:rFonts w:hint="eastAsia" w:ascii="Times New Roman" w:hAnsi="Times New Roman" w:eastAsia="宋体" w:cs="Times New Roman"/>
                <w:sz w:val="21"/>
                <w:szCs w:val="21"/>
                <w:lang w:eastAsia="zh-CN"/>
              </w:rPr>
              <w:t>办公室有来客登记表，每日消杀记录。</w:t>
            </w:r>
          </w:p>
          <w:p>
            <w:pPr>
              <w:pStyle w:val="3"/>
              <w:rPr>
                <w:rFonts w:hint="eastAsia" w:ascii="宋体" w:hAnsi="宋体"/>
                <w:lang w:val="en-US" w:eastAsia="zh-CN"/>
              </w:rPr>
            </w:pPr>
            <w:r>
              <w:rPr>
                <w:rFonts w:hint="eastAsia" w:ascii="Times New Roman" w:hAnsi="Times New Roman" w:eastAsia="宋体" w:cs="Times New Roman"/>
                <w:sz w:val="21"/>
                <w:szCs w:val="21"/>
              </w:rPr>
              <w:t>办公区域的环境、职业健康安全的控制基本满足要求。</w:t>
            </w:r>
          </w:p>
        </w:tc>
        <w:tc>
          <w:tcPr>
            <w:tcW w:w="1572"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160" w:type="dxa"/>
            <w:vAlign w:val="top"/>
          </w:tcPr>
          <w:p>
            <w:pPr>
              <w:rPr>
                <w:rFonts w:hint="eastAsia" w:ascii="Times New Roman" w:hAnsi="Times New Roman" w:eastAsia="宋体" w:cs="Times New Roman"/>
                <w:sz w:val="21"/>
                <w:szCs w:val="21"/>
                <w:lang w:eastAsia="zh-CN"/>
              </w:rPr>
            </w:pPr>
            <w:r>
              <w:rPr>
                <w:rFonts w:hint="eastAsia" w:ascii="宋体" w:hAnsi="宋体" w:cs="宋体"/>
                <w:sz w:val="21"/>
                <w:szCs w:val="21"/>
              </w:rPr>
              <w:t>应急准备及响应</w:t>
            </w:r>
          </w:p>
        </w:tc>
        <w:tc>
          <w:tcPr>
            <w:tcW w:w="960" w:type="dxa"/>
            <w:vAlign w:val="top"/>
          </w:tcPr>
          <w:p>
            <w:pPr>
              <w:rPr>
                <w:rFonts w:hint="eastAsia" w:ascii="Times New Roman" w:hAnsi="Times New Roman" w:eastAsia="宋体" w:cs="Times New Roman"/>
                <w:sz w:val="21"/>
                <w:szCs w:val="21"/>
                <w:lang w:val="en-US" w:eastAsia="zh-CN"/>
              </w:rPr>
            </w:pPr>
            <w:r>
              <w:rPr>
                <w:rFonts w:hint="eastAsia"/>
                <w:sz w:val="21"/>
                <w:szCs w:val="21"/>
                <w:lang w:val="en-US" w:eastAsia="zh-CN"/>
              </w:rPr>
              <w:t>EO8.2</w:t>
            </w:r>
          </w:p>
        </w:tc>
        <w:tc>
          <w:tcPr>
            <w:tcW w:w="10017" w:type="dxa"/>
            <w:vAlign w:val="top"/>
          </w:tcPr>
          <w:p>
            <w:pPr>
              <w:numPr>
                <w:ilvl w:val="0"/>
                <w:numId w:val="6"/>
              </w:numPr>
              <w:ind w:left="420" w:leftChars="0" w:hanging="42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公司建立了《应急准备</w:t>
            </w:r>
            <w:r>
              <w:rPr>
                <w:rFonts w:hint="eastAsia" w:ascii="Times New Roman" w:hAnsi="Times New Roman" w:eastAsia="宋体" w:cs="Times New Roman"/>
                <w:sz w:val="21"/>
                <w:szCs w:val="21"/>
                <w:lang w:eastAsia="zh-CN"/>
              </w:rPr>
              <w:t>和</w:t>
            </w:r>
            <w:r>
              <w:rPr>
                <w:rFonts w:hint="eastAsia" w:ascii="Times New Roman" w:hAnsi="Times New Roman" w:eastAsia="宋体" w:cs="Times New Roman"/>
                <w:sz w:val="21"/>
                <w:szCs w:val="21"/>
              </w:rPr>
              <w:t>响应控制程序》，确定可能对环境、职业健康安全造成影响的潜在的紧急情况或事故、事件，规定响应措施，以便防止和减少可能随之引发的有害的环境影响和相关的职业健康安全不良后果。</w:t>
            </w:r>
          </w:p>
          <w:p>
            <w:pPr>
              <w:numPr>
                <w:ilvl w:val="0"/>
                <w:numId w:val="6"/>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编制了《消防演练计划表》，紧急情况有消防应急/触电预案演练等。</w:t>
            </w:r>
          </w:p>
          <w:p>
            <w:pPr>
              <w:numPr>
                <w:ilvl w:val="0"/>
                <w:numId w:val="6"/>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编制了《火灾应急处理预案》、《触电事故应急救援预案》</w:t>
            </w:r>
            <w:r>
              <w:rPr>
                <w:rFonts w:hint="eastAsia" w:cs="Times New Roman"/>
                <w:sz w:val="21"/>
                <w:szCs w:val="21"/>
                <w:lang w:eastAsia="zh-CN"/>
              </w:rPr>
              <w:t>。</w:t>
            </w:r>
            <w:r>
              <w:rPr>
                <w:rFonts w:hint="eastAsia" w:ascii="Times New Roman" w:hAnsi="Times New Roman" w:eastAsia="宋体" w:cs="Times New Roman"/>
                <w:sz w:val="21"/>
                <w:szCs w:val="21"/>
                <w:lang w:eastAsia="zh-CN"/>
              </w:rPr>
              <w:t>公司在策划应急响应时，应考虑有关相关方的需求，如应急服务机构、相邻组织或居民等。</w:t>
            </w:r>
          </w:p>
          <w:p>
            <w:pPr>
              <w:numPr>
                <w:ilvl w:val="0"/>
                <w:numId w:val="6"/>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——2022年5月24日下午，</w:t>
            </w:r>
            <w:r>
              <w:rPr>
                <w:rFonts w:hint="eastAsia" w:ascii="Times New Roman" w:hAnsi="Times New Roman" w:eastAsia="宋体" w:cs="Times New Roman"/>
                <w:sz w:val="21"/>
                <w:szCs w:val="21"/>
                <w:lang w:val="en-US" w:eastAsia="zh-CN"/>
              </w:rPr>
              <w:t>部门参加了公司</w:t>
            </w:r>
            <w:r>
              <w:rPr>
                <w:rFonts w:hint="eastAsia" w:ascii="Times New Roman" w:hAnsi="Times New Roman" w:eastAsia="宋体" w:cs="Times New Roman"/>
                <w:sz w:val="21"/>
                <w:szCs w:val="21"/>
                <w:lang w:eastAsia="zh-CN"/>
              </w:rPr>
              <w:t>举行了防火知识讲座并进行了消防演习</w:t>
            </w:r>
            <w:r>
              <w:rPr>
                <w:rFonts w:hint="eastAsia" w:ascii="Times New Roman" w:hAnsi="Times New Roman" w:eastAsia="宋体" w:cs="Times New Roman"/>
                <w:sz w:val="21"/>
                <w:szCs w:val="21"/>
                <w:lang w:val="en-US" w:eastAsia="zh-CN"/>
              </w:rPr>
              <w:t>和</w:t>
            </w:r>
            <w:r>
              <w:rPr>
                <w:rFonts w:hint="eastAsia" w:ascii="Times New Roman" w:hAnsi="Times New Roman" w:eastAsia="宋体" w:cs="Times New Roman"/>
                <w:sz w:val="21"/>
                <w:szCs w:val="21"/>
                <w:lang w:eastAsia="zh-CN"/>
              </w:rPr>
              <w:t>全体员工培训。到目前无火灾事故发生。</w:t>
            </w:r>
          </w:p>
          <w:p>
            <w:pPr>
              <w:numPr>
                <w:ilvl w:val="0"/>
                <w:numId w:val="6"/>
              </w:numPr>
              <w:ind w:left="420" w:leftChars="0" w:hanging="420" w:firstLineChars="0"/>
              <w:rPr>
                <w:rFonts w:hint="eastAsia"/>
                <w:lang w:val="en-US" w:eastAsia="zh-CN"/>
              </w:rPr>
            </w:pPr>
            <w:r>
              <w:rPr>
                <w:rFonts w:hint="eastAsia" w:ascii="Times New Roman" w:hAnsi="Times New Roman" w:eastAsia="宋体" w:cs="Times New Roman"/>
                <w:sz w:val="21"/>
                <w:szCs w:val="21"/>
                <w:lang w:eastAsia="zh-CN"/>
              </w:rPr>
              <w:t>——另查</w:t>
            </w:r>
            <w:r>
              <w:rPr>
                <w:rFonts w:hint="eastAsia" w:ascii="Times New Roman" w:hAnsi="Times New Roman" w:eastAsia="宋体" w:cs="Times New Roman"/>
                <w:sz w:val="21"/>
                <w:szCs w:val="21"/>
                <w:lang w:val="en-US" w:eastAsia="zh-CN"/>
              </w:rPr>
              <w:t>2022年3月16日</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部门人员参加了公司举行的触电演练。到目前为止无触电事故发生。</w:t>
            </w:r>
          </w:p>
        </w:tc>
        <w:tc>
          <w:tcPr>
            <w:tcW w:w="1572"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120" w:type="dxa"/>
            <w:gridSpan w:val="2"/>
            <w:vAlign w:val="top"/>
          </w:tcPr>
          <w:p>
            <w:pPr>
              <w:rPr>
                <w:rFonts w:hint="default"/>
                <w:sz w:val="21"/>
                <w:szCs w:val="21"/>
                <w:lang w:val="en-US" w:eastAsia="zh-CN"/>
              </w:rPr>
            </w:pPr>
            <w:r>
              <w:rPr>
                <w:rFonts w:hint="eastAsia"/>
                <w:sz w:val="21"/>
                <w:szCs w:val="21"/>
                <w:lang w:val="en-US" w:eastAsia="zh-CN"/>
              </w:rPr>
              <w:t>远程证据</w:t>
            </w:r>
          </w:p>
        </w:tc>
        <w:tc>
          <w:tcPr>
            <w:tcW w:w="10017" w:type="dxa"/>
            <w:vAlign w:val="top"/>
          </w:tcPr>
          <w:p>
            <w:pPr>
              <w:numPr>
                <w:ilvl w:val="0"/>
                <w:numId w:val="0"/>
              </w:numPr>
              <w:ind w:leftChars="0"/>
              <w:rPr>
                <w:rFonts w:hint="eastAsia" w:ascii="Times New Roman" w:hAnsi="Times New Roman" w:eastAsia="宋体" w:cs="Times New Roman"/>
                <w:sz w:val="21"/>
                <w:szCs w:val="21"/>
                <w:lang w:eastAsia="zh-CN"/>
              </w:rPr>
            </w:pPr>
            <w:r>
              <w:drawing>
                <wp:inline distT="0" distB="0" distL="114300" distR="114300">
                  <wp:extent cx="1892300" cy="3987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892300" cy="3987800"/>
                          </a:xfrm>
                          <a:prstGeom prst="rect">
                            <a:avLst/>
                          </a:prstGeom>
                          <a:noFill/>
                          <a:ln>
                            <a:noFill/>
                          </a:ln>
                        </pic:spPr>
                      </pic:pic>
                    </a:graphicData>
                  </a:graphic>
                </wp:inline>
              </w:drawing>
            </w:r>
            <w:r>
              <w:drawing>
                <wp:inline distT="0" distB="0" distL="114300" distR="114300">
                  <wp:extent cx="1750060" cy="3937635"/>
                  <wp:effectExtent l="0" t="0" r="254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750060" cy="3937635"/>
                          </a:xfrm>
                          <a:prstGeom prst="rect">
                            <a:avLst/>
                          </a:prstGeom>
                          <a:noFill/>
                          <a:ln>
                            <a:noFill/>
                          </a:ln>
                        </pic:spPr>
                      </pic:pic>
                    </a:graphicData>
                  </a:graphic>
                </wp:inline>
              </w:drawing>
            </w:r>
          </w:p>
        </w:tc>
        <w:tc>
          <w:tcPr>
            <w:tcW w:w="1572" w:type="dxa"/>
            <w:vAlign w:val="top"/>
          </w:tcPr>
          <w:p>
            <w:pPr>
              <w:rPr>
                <w:rFonts w:hint="eastAsia"/>
                <w:lang w:val="en-US" w:eastAsia="zh-CN"/>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B7478"/>
    <w:multiLevelType w:val="singleLevel"/>
    <w:tmpl w:val="C25B7478"/>
    <w:lvl w:ilvl="0" w:tentative="0">
      <w:start w:val="1"/>
      <w:numFmt w:val="bullet"/>
      <w:lvlText w:val=""/>
      <w:lvlJc w:val="left"/>
      <w:pPr>
        <w:ind w:left="420" w:hanging="420"/>
      </w:pPr>
      <w:rPr>
        <w:rFonts w:hint="default" w:ascii="Wingdings" w:hAnsi="Wingdings"/>
      </w:rPr>
    </w:lvl>
  </w:abstractNum>
  <w:abstractNum w:abstractNumId="1">
    <w:nsid w:val="F5596CAD"/>
    <w:multiLevelType w:val="singleLevel"/>
    <w:tmpl w:val="F5596CAD"/>
    <w:lvl w:ilvl="0" w:tentative="0">
      <w:start w:val="1"/>
      <w:numFmt w:val="bullet"/>
      <w:lvlText w:val=""/>
      <w:lvlJc w:val="left"/>
      <w:pPr>
        <w:ind w:left="420" w:hanging="420"/>
      </w:pPr>
      <w:rPr>
        <w:rFonts w:hint="default" w:ascii="Wingdings" w:hAnsi="Wingdings"/>
      </w:rPr>
    </w:lvl>
  </w:abstractNum>
  <w:abstractNum w:abstractNumId="2">
    <w:nsid w:val="4F866819"/>
    <w:multiLevelType w:val="singleLevel"/>
    <w:tmpl w:val="4F866819"/>
    <w:lvl w:ilvl="0" w:tentative="0">
      <w:start w:val="1"/>
      <w:numFmt w:val="bullet"/>
      <w:lvlText w:val=""/>
      <w:lvlJc w:val="left"/>
      <w:pPr>
        <w:ind w:left="420" w:hanging="420"/>
      </w:pPr>
      <w:rPr>
        <w:rFonts w:hint="default" w:ascii="Wingdings" w:hAnsi="Wingdings"/>
      </w:rPr>
    </w:lvl>
  </w:abstractNum>
  <w:abstractNum w:abstractNumId="3">
    <w:nsid w:val="57FF110C"/>
    <w:multiLevelType w:val="singleLevel"/>
    <w:tmpl w:val="57FF110C"/>
    <w:lvl w:ilvl="0" w:tentative="0">
      <w:start w:val="1"/>
      <w:numFmt w:val="bullet"/>
      <w:lvlText w:val=""/>
      <w:lvlJc w:val="left"/>
      <w:pPr>
        <w:ind w:left="420" w:hanging="420"/>
      </w:pPr>
      <w:rPr>
        <w:rFonts w:hint="default" w:ascii="Wingdings" w:hAnsi="Wingdings"/>
      </w:rPr>
    </w:lvl>
  </w:abstractNum>
  <w:abstractNum w:abstractNumId="4">
    <w:nsid w:val="58AE4ADC"/>
    <w:multiLevelType w:val="singleLevel"/>
    <w:tmpl w:val="58AE4ADC"/>
    <w:lvl w:ilvl="0" w:tentative="0">
      <w:start w:val="1"/>
      <w:numFmt w:val="bullet"/>
      <w:lvlText w:val=""/>
      <w:lvlJc w:val="left"/>
      <w:pPr>
        <w:ind w:left="420" w:hanging="420"/>
      </w:pPr>
      <w:rPr>
        <w:rFonts w:hint="default" w:ascii="Wingdings" w:hAnsi="Wingdings"/>
      </w:rPr>
    </w:lvl>
  </w:abstractNum>
  <w:abstractNum w:abstractNumId="5">
    <w:nsid w:val="59C889C7"/>
    <w:multiLevelType w:val="singleLevel"/>
    <w:tmpl w:val="59C889C7"/>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000000"/>
    <w:rsid w:val="06EA4EB7"/>
    <w:rsid w:val="091B59B2"/>
    <w:rsid w:val="09FA06AD"/>
    <w:rsid w:val="0A75672A"/>
    <w:rsid w:val="0ABF65E6"/>
    <w:rsid w:val="0C372639"/>
    <w:rsid w:val="101E043B"/>
    <w:rsid w:val="1054591C"/>
    <w:rsid w:val="16E318AE"/>
    <w:rsid w:val="181B0BD3"/>
    <w:rsid w:val="192E6F8B"/>
    <w:rsid w:val="1A5835C2"/>
    <w:rsid w:val="20AA0572"/>
    <w:rsid w:val="28D126FB"/>
    <w:rsid w:val="2DD726B4"/>
    <w:rsid w:val="2FD10E0A"/>
    <w:rsid w:val="3304486A"/>
    <w:rsid w:val="33675A5F"/>
    <w:rsid w:val="3A0763C6"/>
    <w:rsid w:val="3B561D9F"/>
    <w:rsid w:val="43D72F0D"/>
    <w:rsid w:val="4426708E"/>
    <w:rsid w:val="45790DF5"/>
    <w:rsid w:val="457E20AD"/>
    <w:rsid w:val="468C2771"/>
    <w:rsid w:val="479F1BF5"/>
    <w:rsid w:val="4A26767A"/>
    <w:rsid w:val="50D45678"/>
    <w:rsid w:val="53A76B9D"/>
    <w:rsid w:val="55C22896"/>
    <w:rsid w:val="55E359B2"/>
    <w:rsid w:val="56627D10"/>
    <w:rsid w:val="5AB23B0F"/>
    <w:rsid w:val="60545385"/>
    <w:rsid w:val="652237BE"/>
    <w:rsid w:val="68DB66A7"/>
    <w:rsid w:val="696F0CF8"/>
    <w:rsid w:val="6B6A7CB4"/>
    <w:rsid w:val="6BA276CB"/>
    <w:rsid w:val="6E3E5F3E"/>
    <w:rsid w:val="6FD72027"/>
    <w:rsid w:val="749D7B1B"/>
    <w:rsid w:val="75681007"/>
    <w:rsid w:val="78733574"/>
    <w:rsid w:val="79E23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Plain Text"/>
    <w:basedOn w:val="1"/>
    <w:qFormat/>
    <w:uiPriority w:val="0"/>
    <w:rPr>
      <w:rFonts w:ascii="宋体" w:hAnsi="Courier New"/>
      <w:sz w:val="32"/>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正文 首行缩进:  2 字符"/>
    <w:basedOn w:val="1"/>
    <w:qFormat/>
    <w:uiPriority w:val="0"/>
    <w:pPr>
      <w:ind w:firstLine="200" w:firstLineChars="200"/>
    </w:pPr>
    <w:rPr>
      <w:rFonts w:cs="宋体"/>
      <w:sz w:val="24"/>
      <w:szCs w:val="20"/>
    </w:rPr>
  </w:style>
  <w:style w:type="paragraph" w:customStyle="1" w:styleId="18">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4339</Words>
  <Characters>4576</Characters>
  <Lines>1</Lines>
  <Paragraphs>1</Paragraphs>
  <TotalTime>0</TotalTime>
  <ScaleCrop>false</ScaleCrop>
  <LinksUpToDate>false</LinksUpToDate>
  <CharactersWithSpaces>4603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2022-12-26T08:35:33Z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