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主管领导：樊继好</w:t>
            </w:r>
            <w:r>
              <w:rPr>
                <w:rFonts w:hint="eastAsia"/>
                <w:sz w:val="24"/>
                <w:szCs w:val="24"/>
                <w:lang w:val="en-US" w:eastAsia="zh-CN"/>
              </w:rPr>
              <w:t xml:space="preserve">   </w:t>
            </w:r>
            <w:r>
              <w:rPr>
                <w:rFonts w:hint="eastAsia"/>
                <w:sz w:val="24"/>
                <w:szCs w:val="24"/>
              </w:rPr>
              <w:t>陪同人员：张海龙</w:t>
            </w:r>
            <w:r>
              <w:rPr>
                <w:rFonts w:hint="eastAsia"/>
                <w:sz w:val="24"/>
                <w:szCs w:val="24"/>
                <w:lang w:val="en-US" w:eastAsia="zh-CN"/>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明利红、</w:t>
            </w:r>
            <w:r>
              <w:rPr>
                <w:rFonts w:hint="eastAsia"/>
                <w:sz w:val="24"/>
                <w:szCs w:val="24"/>
                <w:lang w:val="de-DE" w:eastAsia="zh-CN"/>
              </w:rPr>
              <w:t>杨冰</w:t>
            </w:r>
            <w:r>
              <w:rPr>
                <w:rFonts w:hint="eastAsia"/>
                <w:sz w:val="24"/>
                <w:szCs w:val="24"/>
                <w:lang w:val="en-US" w:eastAsia="zh-CN"/>
              </w:rPr>
              <w:t xml:space="preserve">   </w:t>
            </w:r>
            <w:r>
              <w:rPr>
                <w:rFonts w:hint="eastAsia"/>
                <w:sz w:val="24"/>
                <w:szCs w:val="24"/>
              </w:rPr>
              <w:t>审核时间：</w:t>
            </w:r>
            <w:bookmarkStart w:id="0" w:name="审核日期"/>
            <w:r>
              <w:t>2022年1</w:t>
            </w:r>
            <w:r>
              <w:rPr>
                <w:rFonts w:hint="eastAsia"/>
                <w:lang w:val="en-US" w:eastAsia="zh-CN"/>
              </w:rPr>
              <w:t>2</w:t>
            </w:r>
            <w:r>
              <w:t>月</w:t>
            </w:r>
            <w:r>
              <w:rPr>
                <w:rFonts w:hint="eastAsia"/>
                <w:lang w:val="en-US" w:eastAsia="zh-CN"/>
              </w:rPr>
              <w:t>25</w:t>
            </w:r>
            <w:r>
              <w:t xml:space="preserve">日 </w:t>
            </w:r>
            <w:bookmarkEnd w:id="0"/>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tabs>
                <w:tab w:val="left" w:pos="709"/>
              </w:tabs>
              <w:ind w:right="57"/>
              <w:jc w:val="left"/>
              <w:rPr>
                <w:rFonts w:ascii="宋体" w:hAnsi="宋体"/>
                <w:sz w:val="21"/>
                <w:szCs w:val="21"/>
              </w:rPr>
            </w:pPr>
            <w:r>
              <w:rPr>
                <w:rFonts w:hint="eastAsia" w:ascii="宋体" w:hAnsi="宋体"/>
                <w:sz w:val="21"/>
                <w:szCs w:val="21"/>
              </w:rPr>
              <w:t>QMS：4.1,4.2,4.3,4.4,</w:t>
            </w:r>
            <w:r>
              <w:rPr>
                <w:rFonts w:ascii="宋体" w:hAnsi="宋体"/>
                <w:sz w:val="21"/>
                <w:szCs w:val="21"/>
              </w:rPr>
              <w:t>5.1</w:t>
            </w:r>
            <w:r>
              <w:rPr>
                <w:rFonts w:hint="eastAsia" w:ascii="宋体" w:hAnsi="宋体"/>
                <w:sz w:val="21"/>
                <w:szCs w:val="21"/>
              </w:rPr>
              <w:t>,</w:t>
            </w:r>
            <w:r>
              <w:rPr>
                <w:rFonts w:ascii="宋体" w:hAnsi="宋体"/>
                <w:sz w:val="21"/>
                <w:szCs w:val="21"/>
              </w:rPr>
              <w:t>5.2</w:t>
            </w:r>
            <w:r>
              <w:rPr>
                <w:rFonts w:hint="eastAsia" w:ascii="宋体" w:hAnsi="宋体"/>
                <w:sz w:val="21"/>
                <w:szCs w:val="21"/>
              </w:rPr>
              <w:t xml:space="preserve">, </w:t>
            </w:r>
            <w:r>
              <w:rPr>
                <w:rFonts w:ascii="宋体" w:hAnsi="宋体"/>
                <w:sz w:val="21"/>
                <w:szCs w:val="21"/>
              </w:rPr>
              <w:t>5.3</w:t>
            </w:r>
            <w:r>
              <w:rPr>
                <w:rFonts w:hint="eastAsia" w:ascii="宋体" w:hAnsi="宋体"/>
                <w:sz w:val="21"/>
                <w:szCs w:val="21"/>
              </w:rPr>
              <w:t>,6.1，6.2.</w:t>
            </w:r>
            <w:r>
              <w:rPr>
                <w:rFonts w:ascii="宋体" w:hAnsi="宋体"/>
                <w:sz w:val="21"/>
                <w:szCs w:val="21"/>
              </w:rPr>
              <w:t>6.3</w:t>
            </w:r>
            <w:r>
              <w:rPr>
                <w:rFonts w:hint="eastAsia" w:ascii="宋体" w:hAnsi="宋体"/>
                <w:sz w:val="21"/>
                <w:szCs w:val="21"/>
              </w:rPr>
              <w:t>,7.1.1,7.4, 9.3,10.1,10.3,</w:t>
            </w:r>
          </w:p>
          <w:p>
            <w:pPr>
              <w:tabs>
                <w:tab w:val="left" w:pos="709"/>
              </w:tabs>
              <w:ind w:right="57"/>
              <w:jc w:val="left"/>
              <w:rPr>
                <w:rFonts w:ascii="宋体" w:hAnsi="宋体"/>
                <w:sz w:val="21"/>
                <w:szCs w:val="21"/>
              </w:rPr>
            </w:pPr>
            <w:r>
              <w:rPr>
                <w:rFonts w:hint="eastAsia" w:ascii="宋体" w:hAnsi="宋体"/>
                <w:sz w:val="21"/>
                <w:szCs w:val="21"/>
              </w:rPr>
              <w:t>EMS：4.1,4.2 ,4.3,4.4, 5.1, 5.2, 5.3,6.1 ,6.2,7.1,7.4,9.3,10.1,10.3,</w:t>
            </w:r>
          </w:p>
          <w:p>
            <w:pPr>
              <w:pStyle w:val="11"/>
            </w:pPr>
            <w:r>
              <w:rPr>
                <w:rFonts w:hint="eastAsia" w:ascii="宋体" w:hAnsi="宋体"/>
                <w:sz w:val="21"/>
                <w:szCs w:val="21"/>
              </w:rPr>
              <w:t>OHS：4.1, 4.2, 4.3, 4.4, 5.1, 5.2 ,5.3 ,6.1, 6.2, 7.1 ,7.4, 9.3, 10.1,10.3,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120" w:type="dxa"/>
            <w:gridSpan w:val="2"/>
            <w:vAlign w:val="top"/>
          </w:tcPr>
          <w:p>
            <w:pPr>
              <w:rPr>
                <w:highlight w:val="none"/>
              </w:rPr>
            </w:pPr>
            <w:r>
              <w:rPr>
                <w:rFonts w:hint="eastAsia"/>
                <w:highlight w:val="none"/>
                <w:lang w:val="en-US" w:eastAsia="zh-CN"/>
              </w:rPr>
              <w:t>远程审核采用的方式</w:t>
            </w:r>
          </w:p>
        </w:tc>
        <w:tc>
          <w:tcPr>
            <w:tcW w:w="10004" w:type="dxa"/>
            <w:vAlign w:val="top"/>
          </w:tcPr>
          <w:p>
            <w:pPr>
              <w:pStyle w:val="2"/>
              <w:jc w:val="left"/>
              <w:rPr>
                <w:rFonts w:hint="eastAsia"/>
                <w:highlight w:val="none"/>
                <w:lang w:val="en-US" w:eastAsia="zh-CN"/>
              </w:rPr>
            </w:pPr>
            <w:r>
              <w:rPr>
                <w:rFonts w:hint="eastAsia"/>
                <w:highlight w:val="none"/>
                <w:lang w:val="en-US" w:eastAsia="zh-CN"/>
              </w:rPr>
              <w:t>网络微信群、微信视频、腾讯会议、电话等方式。</w:t>
            </w:r>
          </w:p>
          <w:p>
            <w:pPr>
              <w:pStyle w:val="2"/>
              <w:jc w:val="left"/>
              <w:rPr>
                <w:rFonts w:hint="eastAsia"/>
                <w:highlight w:val="none"/>
                <w:lang w:val="en-US" w:eastAsia="zh-CN"/>
              </w:rPr>
            </w:pPr>
            <w:r>
              <w:rPr>
                <w:rFonts w:hint="eastAsia"/>
                <w:highlight w:val="none"/>
                <w:lang w:val="en-US" w:eastAsia="zh-CN"/>
              </w:rPr>
              <w:t>微信群：唐山万源云科技三体系审核群</w:t>
            </w:r>
          </w:p>
          <w:p>
            <w:pPr>
              <w:pStyle w:val="2"/>
              <w:jc w:val="left"/>
              <w:rPr>
                <w:rFonts w:hint="default"/>
                <w:highlight w:val="none"/>
                <w:lang w:val="en-US" w:eastAsia="zh-CN"/>
              </w:rPr>
            </w:pPr>
            <w:r>
              <w:rPr>
                <w:rFonts w:hint="eastAsia"/>
                <w:highlight w:val="none"/>
                <w:lang w:val="en-US" w:eastAsia="zh-CN"/>
              </w:rPr>
              <w:t>腾讯会议号：544544564</w:t>
            </w:r>
          </w:p>
        </w:tc>
        <w:tc>
          <w:tcPr>
            <w:tcW w:w="1585" w:type="dxa"/>
            <w:vAlign w:val="top"/>
          </w:tcPr>
          <w:p>
            <w:pPr>
              <w:rPr>
                <w:highlight w:val="none"/>
              </w:rPr>
            </w:pPr>
            <w:r>
              <w:rPr>
                <w:rFonts w:hint="eastAsia"/>
                <w:highlight w:val="none"/>
                <w:lang w:val="en-US" w:eastAsia="zh-CN"/>
              </w:rPr>
              <w:t>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rPr>
            </w:pPr>
            <w:r>
              <w:rPr>
                <w:rFonts w:hint="eastAsia"/>
                <w:lang w:val="en-US" w:eastAsia="zh-CN"/>
              </w:rPr>
              <w:t>范围的确认、资质的确认、法律法规执行情况、质量抽查及顾客投诉情况、</w:t>
            </w:r>
            <w:r>
              <w:rPr>
                <w:rFonts w:hint="eastAsia"/>
              </w:rPr>
              <w:t>环境安全投诉，</w:t>
            </w:r>
            <w:r>
              <w:rPr>
                <w:rFonts w:hint="eastAsia"/>
                <w:lang w:val="en-US" w:eastAsia="zh-CN"/>
              </w:rPr>
              <w:t>一阶段不符合验证；</w:t>
            </w:r>
          </w:p>
        </w:tc>
        <w:tc>
          <w:tcPr>
            <w:tcW w:w="960" w:type="dxa"/>
            <w:vAlign w:val="top"/>
          </w:tcPr>
          <w:p>
            <w:pPr>
              <w:pStyle w:val="2"/>
              <w:rPr>
                <w:rFonts w:hint="eastAsia"/>
                <w:lang w:val="en-US" w:eastAsia="zh-CN"/>
              </w:rPr>
            </w:pPr>
            <w:r>
              <w:rPr>
                <w:rFonts w:hint="eastAsia"/>
                <w:lang w:val="en-US" w:eastAsia="zh-CN"/>
              </w:rPr>
              <w:t>QEO</w:t>
            </w:r>
          </w:p>
          <w:p>
            <w:pPr>
              <w:pStyle w:val="2"/>
              <w:rPr>
                <w:rFonts w:hint="default"/>
                <w:lang w:val="en-US" w:eastAsia="zh-CN"/>
              </w:rPr>
            </w:pPr>
            <w:r>
              <w:rPr>
                <w:rFonts w:hint="eastAsia"/>
                <w:lang w:val="en-US" w:eastAsia="zh-CN"/>
              </w:rPr>
              <w:t>4.3、</w:t>
            </w:r>
          </w:p>
          <w:p>
            <w:pPr>
              <w:pStyle w:val="2"/>
              <w:rPr>
                <w:rFonts w:hint="default"/>
                <w:lang w:val="en-US" w:eastAsia="zh-CN"/>
              </w:rPr>
            </w:pPr>
            <w:r>
              <w:rPr>
                <w:rFonts w:hint="eastAsia"/>
                <w:lang w:val="en-US" w:eastAsia="zh-CN"/>
              </w:rPr>
              <w:t>5.3</w:t>
            </w:r>
          </w:p>
        </w:tc>
        <w:tc>
          <w:tcPr>
            <w:tcW w:w="10004" w:type="dxa"/>
            <w:vAlign w:val="top"/>
          </w:tcPr>
          <w:p>
            <w:pPr>
              <w:spacing w:line="400" w:lineRule="exact"/>
              <w:ind w:firstLine="480"/>
              <w:rPr>
                <w:rFonts w:hint="eastAsia"/>
                <w:sz w:val="24"/>
                <w:szCs w:val="24"/>
                <w:lang w:val="en-US" w:eastAsia="zh-CN"/>
              </w:rPr>
            </w:pPr>
            <w:r>
              <w:rPr>
                <w:rFonts w:hint="eastAsia"/>
                <w:sz w:val="24"/>
                <w:szCs w:val="24"/>
                <w:lang w:val="en-US" w:eastAsia="zh-CN"/>
              </w:rPr>
              <w:t>远程视频与总经理确认信息如下：</w:t>
            </w:r>
          </w:p>
          <w:p>
            <w:pPr>
              <w:spacing w:line="400" w:lineRule="exact"/>
              <w:ind w:firstLine="480"/>
              <w:rPr>
                <w:rFonts w:hint="eastAsia" w:ascii="宋体" w:hAnsi="宋体"/>
                <w:color w:val="auto"/>
                <w:kern w:val="2"/>
                <w:sz w:val="21"/>
                <w:szCs w:val="22"/>
                <w:lang w:val="en-US" w:eastAsia="zh-CN" w:bidi="ar-SA"/>
              </w:rPr>
            </w:pPr>
            <w:r>
              <w:rPr>
                <w:rFonts w:hint="eastAsia"/>
                <w:sz w:val="24"/>
                <w:szCs w:val="24"/>
              </w:rPr>
              <w:t>1</w:t>
            </w:r>
            <w:r>
              <w:rPr>
                <w:rFonts w:hint="eastAsia" w:ascii="宋体" w:hAnsi="宋体"/>
                <w:color w:val="auto"/>
                <w:kern w:val="2"/>
                <w:sz w:val="21"/>
                <w:szCs w:val="22"/>
                <w:lang w:val="en-US" w:eastAsia="zh-CN" w:bidi="ar-SA"/>
              </w:rPr>
              <w:t>、验证如下信息：</w:t>
            </w:r>
          </w:p>
          <w:p>
            <w:pPr>
              <w:spacing w:line="400" w:lineRule="exact"/>
              <w:ind w:firstLine="480"/>
              <w:rPr>
                <w:rFonts w:hint="eastAsia" w:ascii="宋体" w:hAnsi="宋体"/>
                <w:color w:val="auto"/>
                <w:kern w:val="2"/>
                <w:sz w:val="21"/>
                <w:szCs w:val="22"/>
                <w:lang w:val="en-US" w:eastAsia="zh-CN" w:bidi="ar-SA"/>
              </w:rPr>
            </w:pPr>
            <w:r>
              <w:rPr>
                <w:rFonts w:hint="eastAsia" w:ascii="宋体" w:hAnsi="宋体"/>
                <w:color w:val="auto"/>
                <w:kern w:val="2"/>
                <w:sz w:val="21"/>
                <w:szCs w:val="22"/>
                <w:lang w:val="en-US" w:eastAsia="zh-CN" w:bidi="ar-SA"/>
              </w:rPr>
              <w:t>a.企业准确名称：</w:t>
            </w:r>
            <w:bookmarkStart w:id="1" w:name="组织名称"/>
            <w:r>
              <w:rPr>
                <w:sz w:val="21"/>
                <w:szCs w:val="21"/>
              </w:rPr>
              <w:t>航天万源云数据河北有限公司</w:t>
            </w:r>
            <w:bookmarkEnd w:id="1"/>
          </w:p>
          <w:p>
            <w:pPr>
              <w:spacing w:line="400" w:lineRule="exact"/>
              <w:ind w:firstLine="480"/>
              <w:rPr>
                <w:rFonts w:hint="eastAsia" w:ascii="宋体" w:hAnsi="宋体"/>
                <w:color w:val="auto"/>
                <w:kern w:val="2"/>
                <w:sz w:val="21"/>
                <w:szCs w:val="22"/>
                <w:lang w:val="en-US" w:eastAsia="zh-CN" w:bidi="ar-SA"/>
              </w:rPr>
            </w:pPr>
            <w:r>
              <w:rPr>
                <w:rFonts w:hint="eastAsia" w:ascii="宋体" w:hAnsi="宋体"/>
                <w:color w:val="auto"/>
                <w:kern w:val="2"/>
                <w:sz w:val="21"/>
                <w:szCs w:val="22"/>
                <w:lang w:val="en-US" w:eastAsia="zh-CN" w:bidi="ar-SA"/>
              </w:rPr>
              <w:t>b.组织的营业执照；有效；见复印件</w:t>
            </w:r>
          </w:p>
          <w:p>
            <w:pPr>
              <w:spacing w:line="400" w:lineRule="exact"/>
              <w:ind w:firstLine="480"/>
              <w:rPr>
                <w:rFonts w:hint="eastAsia" w:ascii="Times New Roman" w:hAnsi="Times New Roman" w:eastAsia="宋体" w:cs="Times New Roman"/>
                <w:sz w:val="21"/>
                <w:szCs w:val="21"/>
                <w:lang w:val="en-US" w:eastAsia="zh-CN"/>
              </w:rPr>
            </w:pPr>
            <w:r>
              <w:rPr>
                <w:rFonts w:hint="eastAsia" w:ascii="宋体" w:hAnsi="宋体"/>
                <w:color w:val="auto"/>
                <w:kern w:val="2"/>
                <w:sz w:val="21"/>
                <w:szCs w:val="22"/>
                <w:lang w:val="en-US" w:eastAsia="zh-CN" w:bidi="ar-SA"/>
              </w:rPr>
              <w:t>C.公司注册地</w:t>
            </w:r>
            <w:r>
              <w:rPr>
                <w:rFonts w:hint="eastAsia" w:ascii="Times New Roman" w:hAnsi="Times New Roman" w:eastAsia="宋体" w:cs="Times New Roman"/>
                <w:sz w:val="21"/>
                <w:szCs w:val="21"/>
                <w:lang w:val="en-US" w:eastAsia="zh-CN"/>
              </w:rPr>
              <w:t>址：</w:t>
            </w:r>
            <w:bookmarkStart w:id="2" w:name="注册地址"/>
            <w:r>
              <w:rPr>
                <w:rFonts w:asciiTheme="minorEastAsia" w:hAnsiTheme="minorEastAsia" w:eastAsiaTheme="minorEastAsia"/>
                <w:sz w:val="20"/>
              </w:rPr>
              <w:t>河北丰南经济开发区高新园铁西路19号</w:t>
            </w:r>
            <w:bookmarkEnd w:id="2"/>
          </w:p>
          <w:p>
            <w:pPr>
              <w:spacing w:line="400" w:lineRule="exact"/>
              <w:ind w:firstLine="480"/>
              <w:rPr>
                <w:rFonts w:asciiTheme="minorEastAsia" w:hAnsiTheme="minorEastAsia" w:eastAsiaTheme="minorEastAsia"/>
                <w:sz w:val="20"/>
              </w:rPr>
            </w:pPr>
            <w:r>
              <w:rPr>
                <w:rFonts w:hint="eastAsia" w:ascii="Times New Roman" w:hAnsi="Times New Roman" w:eastAsia="宋体" w:cs="Times New Roman"/>
                <w:sz w:val="21"/>
                <w:szCs w:val="21"/>
                <w:lang w:val="en-US" w:eastAsia="zh-CN"/>
              </w:rPr>
              <w:t xml:space="preserve">  公司经营地址：</w:t>
            </w:r>
            <w:r>
              <w:rPr>
                <w:rFonts w:asciiTheme="minorEastAsia" w:hAnsiTheme="minorEastAsia" w:eastAsiaTheme="minorEastAsia"/>
                <w:sz w:val="20"/>
              </w:rPr>
              <w:t>河北丰南经济开发区高新园铁西路19号</w:t>
            </w:r>
          </w:p>
          <w:p>
            <w:pPr>
              <w:spacing w:line="400" w:lineRule="exact"/>
              <w:ind w:firstLine="480"/>
              <w:rPr>
                <w:rFonts w:hint="eastAsia" w:ascii="Times New Roman" w:hAnsi="Times New Roman" w:eastAsia="宋体" w:cs="Times New Roman"/>
                <w:sz w:val="21"/>
                <w:szCs w:val="21"/>
                <w:lang w:val="en-US" w:eastAsia="zh-CN"/>
              </w:rPr>
            </w:pPr>
            <w:r>
              <w:rPr>
                <w:rFonts w:hint="eastAsia" w:ascii="宋体" w:hAnsi="宋体"/>
                <w:color w:val="auto"/>
                <w:kern w:val="2"/>
                <w:sz w:val="21"/>
                <w:szCs w:val="22"/>
                <w:lang w:val="en-US" w:eastAsia="zh-CN" w:bidi="ar-SA"/>
              </w:rPr>
              <w:t>e.组织申请管</w:t>
            </w:r>
            <w:r>
              <w:rPr>
                <w:rFonts w:hint="eastAsia" w:ascii="Times New Roman" w:hAnsi="Times New Roman" w:eastAsia="宋体" w:cs="Times New Roman"/>
                <w:sz w:val="21"/>
                <w:szCs w:val="21"/>
                <w:lang w:val="en-US" w:eastAsia="zh-CN"/>
              </w:rPr>
              <w:t>理体系认证的范围：</w:t>
            </w:r>
          </w:p>
          <w:p>
            <w:pPr>
              <w:ind w:firstLine="400" w:firstLineChars="200"/>
              <w:rPr>
                <w:sz w:val="20"/>
              </w:rPr>
            </w:pPr>
            <w:bookmarkStart w:id="3" w:name="审核范围"/>
            <w:r>
              <w:rPr>
                <w:sz w:val="20"/>
              </w:rPr>
              <w:t>Q：软件开发、计算机系统集成、许可范围内第一类增值电信业务中的互联网数据中心业务</w:t>
            </w:r>
          </w:p>
          <w:p>
            <w:pPr>
              <w:ind w:firstLine="400" w:firstLineChars="200"/>
              <w:rPr>
                <w:sz w:val="20"/>
              </w:rPr>
            </w:pPr>
            <w:r>
              <w:rPr>
                <w:sz w:val="20"/>
              </w:rPr>
              <w:t>E：软件开发、计算机系统集成、许可范围内第一类增值电信业务中的互联网数据中心业务所涉及场所的相关环境管理活动</w:t>
            </w:r>
          </w:p>
          <w:p>
            <w:pPr>
              <w:spacing w:line="400" w:lineRule="exact"/>
              <w:ind w:firstLine="480"/>
              <w:rPr>
                <w:sz w:val="20"/>
              </w:rPr>
            </w:pPr>
            <w:r>
              <w:rPr>
                <w:sz w:val="20"/>
              </w:rPr>
              <w:t>O：软件开发、计算机系统集成、许可范围内第一类增值电信业务中的互联网数据中心业务所涉及场所的相关职业健康安全管理活动</w:t>
            </w:r>
            <w:bookmarkEnd w:id="3"/>
          </w:p>
          <w:p>
            <w:pPr>
              <w:ind w:firstLine="420" w:firstLineChars="200"/>
              <w:rPr>
                <w:sz w:val="20"/>
              </w:rPr>
            </w:pPr>
            <w:r>
              <w:rPr>
                <w:rFonts w:hint="eastAsia" w:ascii="Times New Roman" w:hAnsi="Times New Roman" w:eastAsia="宋体" w:cs="Times New Roman"/>
                <w:sz w:val="21"/>
                <w:szCs w:val="21"/>
                <w:lang w:val="en-US" w:eastAsia="zh-CN"/>
              </w:rPr>
              <w:t>f.组织的主要产品：</w:t>
            </w:r>
            <w:r>
              <w:rPr>
                <w:sz w:val="20"/>
              </w:rPr>
              <w:t>软件开发、计算机系统集成、许可范围内第一类增值电信业务中的互联网数据中心业务</w:t>
            </w:r>
          </w:p>
          <w:p>
            <w:pPr>
              <w:spacing w:line="400" w:lineRule="exact"/>
              <w:ind w:firstLine="48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等。注：见执照。</w:t>
            </w:r>
          </w:p>
          <w:p>
            <w:pPr>
              <w:numPr>
                <w:ilvl w:val="0"/>
                <w:numId w:val="1"/>
              </w:numPr>
              <w:spacing w:line="400" w:lineRule="exact"/>
              <w:ind w:firstLine="480"/>
              <w:rPr>
                <w:rFonts w:hint="eastAsia"/>
                <w:lang w:val="en-US" w:eastAsia="zh-CN"/>
              </w:rPr>
            </w:pPr>
            <w:r>
              <w:rPr>
                <w:rFonts w:hint="eastAsia" w:ascii="Times New Roman" w:hAnsi="Times New Roman" w:eastAsia="宋体" w:cs="Times New Roman"/>
                <w:sz w:val="21"/>
                <w:szCs w:val="21"/>
                <w:lang w:val="en-US" w:eastAsia="zh-CN"/>
              </w:rPr>
              <w:t>组织建立组织机构</w:t>
            </w:r>
            <w:r>
              <w:rPr>
                <w:rFonts w:hint="eastAsia" w:ascii="宋体" w:hAnsi="宋体"/>
                <w:color w:val="auto"/>
                <w:kern w:val="2"/>
                <w:sz w:val="21"/>
                <w:szCs w:val="22"/>
                <w:lang w:val="en-US" w:eastAsia="zh-CN" w:bidi="ar-SA"/>
              </w:rPr>
              <w:t>分为：管理层、综合办公室、市场</w:t>
            </w:r>
            <w:r>
              <w:rPr>
                <w:rFonts w:hint="eastAsia" w:ascii="宋体" w:hAnsi="宋体" w:eastAsia="宋体" w:cs="Times New Roman"/>
                <w:color w:val="auto"/>
                <w:kern w:val="2"/>
                <w:sz w:val="21"/>
                <w:szCs w:val="22"/>
                <w:lang w:val="en-US" w:eastAsia="zh-CN" w:bidi="ar-SA"/>
              </w:rPr>
              <w:t>部、</w:t>
            </w:r>
            <w:r>
              <w:rPr>
                <w:rFonts w:hint="eastAsia" w:ascii="宋体" w:hAnsi="宋体" w:cs="Times New Roman"/>
                <w:color w:val="auto"/>
                <w:kern w:val="2"/>
                <w:sz w:val="21"/>
                <w:szCs w:val="22"/>
                <w:lang w:val="en-US" w:eastAsia="zh-CN" w:bidi="ar-SA"/>
              </w:rPr>
              <w:t>采购部、技术研发</w:t>
            </w:r>
            <w:r>
              <w:rPr>
                <w:rFonts w:hint="eastAsia" w:ascii="宋体" w:hAnsi="宋体" w:eastAsia="宋体" w:cs="Times New Roman"/>
                <w:color w:val="auto"/>
                <w:kern w:val="2"/>
                <w:sz w:val="21"/>
                <w:szCs w:val="22"/>
                <w:lang w:val="en-US" w:eastAsia="zh-CN" w:bidi="ar-SA"/>
              </w:rPr>
              <w:t>部、</w:t>
            </w:r>
            <w:r>
              <w:rPr>
                <w:rFonts w:hint="eastAsia" w:ascii="宋体" w:hAnsi="宋体" w:cs="Times New Roman"/>
                <w:color w:val="auto"/>
                <w:kern w:val="2"/>
                <w:sz w:val="21"/>
                <w:szCs w:val="22"/>
                <w:lang w:val="en-US" w:eastAsia="zh-CN" w:bidi="ar-SA"/>
              </w:rPr>
              <w:t>财务</w:t>
            </w:r>
            <w:r>
              <w:rPr>
                <w:rFonts w:hint="eastAsia" w:ascii="宋体" w:hAnsi="宋体"/>
                <w:color w:val="auto"/>
                <w:kern w:val="2"/>
                <w:sz w:val="21"/>
                <w:szCs w:val="22"/>
                <w:lang w:val="en-US" w:eastAsia="zh-CN" w:bidi="ar-SA"/>
              </w:rPr>
              <w:t>部。</w:t>
            </w:r>
          </w:p>
          <w:p>
            <w:pPr>
              <w:spacing w:line="400" w:lineRule="exact"/>
              <w:ind w:firstLine="480"/>
              <w:rPr>
                <w:rFonts w:hint="eastAsia" w:ascii="宋体" w:hAnsi="宋体"/>
                <w:color w:val="auto"/>
                <w:kern w:val="2"/>
                <w:sz w:val="21"/>
                <w:szCs w:val="22"/>
                <w:lang w:val="en-US" w:eastAsia="zh-CN" w:bidi="ar-SA"/>
              </w:rPr>
            </w:pPr>
            <w:r>
              <w:rPr>
                <w:rFonts w:hint="eastAsia" w:ascii="宋体" w:hAnsi="宋体"/>
                <w:color w:val="auto"/>
                <w:kern w:val="2"/>
                <w:sz w:val="21"/>
                <w:szCs w:val="22"/>
                <w:lang w:val="en-US" w:eastAsia="zh-CN" w:bidi="ar-SA"/>
              </w:rPr>
              <w:t>3、组织对质量、环境、职业健康安全管理过程能提供资金、人员、基础设施、工作环境、信息等必要的资源，以确保支持这些过程的控制;</w:t>
            </w:r>
          </w:p>
          <w:p>
            <w:pPr>
              <w:spacing w:line="400" w:lineRule="exact"/>
              <w:ind w:firstLine="480"/>
              <w:rPr>
                <w:rFonts w:hint="eastAsia" w:ascii="宋体" w:hAnsi="宋体"/>
                <w:color w:val="auto"/>
                <w:kern w:val="2"/>
                <w:sz w:val="21"/>
                <w:szCs w:val="22"/>
                <w:lang w:val="en-US" w:eastAsia="zh-CN" w:bidi="ar-SA"/>
              </w:rPr>
            </w:pPr>
            <w:r>
              <w:rPr>
                <w:rFonts w:hint="eastAsia" w:ascii="宋体" w:hAnsi="宋体"/>
                <w:color w:val="auto"/>
                <w:kern w:val="2"/>
                <w:sz w:val="21"/>
                <w:szCs w:val="22"/>
                <w:lang w:val="en-US" w:eastAsia="zh-CN" w:bidi="ar-SA"/>
              </w:rPr>
              <w:t>5. 组织对质量、环境、职业健康安全管理体系开展管理例会、每年的内部审核、管理评审以及不定期的巡回检查，并持续改进。</w:t>
            </w:r>
          </w:p>
          <w:p>
            <w:pPr>
              <w:spacing w:line="400" w:lineRule="exact"/>
              <w:ind w:firstLine="480"/>
              <w:rPr>
                <w:rFonts w:hint="eastAsia" w:ascii="宋体" w:hAnsi="宋体"/>
                <w:color w:val="auto"/>
                <w:kern w:val="2"/>
                <w:sz w:val="21"/>
                <w:szCs w:val="22"/>
                <w:lang w:val="en-US" w:eastAsia="zh-CN" w:bidi="ar-SA"/>
              </w:rPr>
            </w:pPr>
            <w:r>
              <w:rPr>
                <w:rFonts w:hint="eastAsia" w:ascii="宋体" w:hAnsi="宋体"/>
                <w:color w:val="auto"/>
                <w:kern w:val="2"/>
                <w:sz w:val="21"/>
                <w:szCs w:val="22"/>
                <w:lang w:val="en-US" w:eastAsia="zh-CN" w:bidi="ar-SA"/>
              </w:rPr>
              <w:t>组织能够利用管理体系进行正常运行，满足顾客要求和适用的法律法规要求；组织产品和服务稳定；能够保持产品实现过程稳定受控；能确保产品和服务持续满足要求。</w:t>
            </w:r>
          </w:p>
          <w:p>
            <w:pPr>
              <w:spacing w:line="400" w:lineRule="exact"/>
              <w:ind w:firstLine="480"/>
              <w:rPr>
                <w:rFonts w:hint="eastAsia" w:ascii="宋体" w:hAnsi="宋体"/>
                <w:color w:val="auto"/>
                <w:kern w:val="2"/>
                <w:sz w:val="21"/>
                <w:szCs w:val="22"/>
                <w:lang w:val="en-US" w:eastAsia="zh-CN" w:bidi="ar-SA"/>
              </w:rPr>
            </w:pPr>
            <w:r>
              <w:rPr>
                <w:rFonts w:hint="eastAsia" w:ascii="宋体" w:hAnsi="宋体"/>
                <w:color w:val="auto"/>
                <w:kern w:val="2"/>
                <w:sz w:val="21"/>
                <w:szCs w:val="22"/>
                <w:lang w:val="en-US" w:eastAsia="zh-CN" w:bidi="ar-SA"/>
              </w:rPr>
              <w:t>组织通过体系的有效应用，以及体系持续改进过程的有效应用；保证符合顾客要求和适用法律法规要求，增强了顾客满意。公司能实现预期的目标，提供合格产品和服务，满足顾客需求。公司还关注了持续改进，不断改进管理水平，持续 增强实现预期结果的能力，以满足顾客不断发展变化的需求，增强顾客满意。</w:t>
            </w:r>
          </w:p>
          <w:p>
            <w:pPr>
              <w:spacing w:line="400" w:lineRule="exact"/>
              <w:rPr>
                <w:rFonts w:hint="eastAsia" w:ascii="宋体" w:hAnsi="宋体" w:cs="Times New Roman"/>
                <w:b/>
                <w:bCs/>
                <w:color w:val="auto"/>
                <w:kern w:val="2"/>
                <w:sz w:val="21"/>
                <w:szCs w:val="22"/>
                <w:lang w:val="en-US" w:eastAsia="zh-CN" w:bidi="ar-SA"/>
              </w:rPr>
            </w:pPr>
            <w:r>
              <w:rPr>
                <w:rFonts w:hint="eastAsia" w:ascii="宋体" w:hAnsi="宋体" w:cs="Times New Roman"/>
                <w:b/>
                <w:bCs/>
                <w:color w:val="auto"/>
                <w:kern w:val="2"/>
                <w:sz w:val="21"/>
                <w:szCs w:val="22"/>
                <w:lang w:val="en-US" w:eastAsia="zh-CN" w:bidi="ar-SA"/>
              </w:rPr>
              <w:t>顾客投诉和质量监督抽查情况，环境安全投诉：</w:t>
            </w:r>
          </w:p>
          <w:p>
            <w:pPr>
              <w:spacing w:line="400" w:lineRule="exact"/>
              <w:ind w:firstLine="480"/>
              <w:rPr>
                <w:rFonts w:hint="eastAsia" w:ascii="宋体" w:hAnsi="宋体"/>
                <w:color w:val="000000"/>
                <w:szCs w:val="21"/>
              </w:rPr>
            </w:pPr>
            <w:r>
              <w:rPr>
                <w:rFonts w:hint="eastAsia" w:ascii="宋体" w:hAnsi="宋体"/>
                <w:color w:val="000000"/>
                <w:szCs w:val="21"/>
                <w:lang w:val="en-US" w:eastAsia="zh-CN"/>
              </w:rPr>
              <w:t>远程视频：樊总称</w:t>
            </w:r>
            <w:r>
              <w:rPr>
                <w:rFonts w:hint="eastAsia" w:ascii="宋体" w:hAnsi="宋体"/>
                <w:color w:val="000000"/>
                <w:szCs w:val="21"/>
              </w:rPr>
              <w:t>，公司严格按相关法律法规运作，管理体系在运行中，无相关方投诉和抱怨，</w:t>
            </w:r>
            <w:r>
              <w:rPr>
                <w:rFonts w:hint="eastAsia" w:ascii="宋体" w:hAnsi="宋体"/>
                <w:color w:val="auto"/>
                <w:kern w:val="2"/>
                <w:sz w:val="21"/>
                <w:lang w:val="en-US" w:eastAsia="zh-CN" w:bidi="ar-SA"/>
              </w:rPr>
              <w:t>无重大质量事故，无重大的客户投诉情况发生；无上级部门抽查，体系正常运行!</w:t>
            </w:r>
            <w:r>
              <w:rPr>
                <w:rFonts w:hint="eastAsia" w:ascii="宋体" w:hAnsi="宋体"/>
                <w:color w:val="000000"/>
                <w:szCs w:val="21"/>
              </w:rPr>
              <w:t>公司至今没有环境污染现象发生。目前为止，没有顾客和相关方投诉，企业能够守法经营，没有发现违法违规情况，企业没有不良环境行为。</w:t>
            </w:r>
            <w:r>
              <w:rPr>
                <w:rFonts w:hint="eastAsia" w:ascii="宋体" w:hAnsi="宋体"/>
                <w:color w:val="auto"/>
                <w:kern w:val="2"/>
                <w:sz w:val="21"/>
                <w:szCs w:val="22"/>
                <w:lang w:val="en-US" w:eastAsia="zh-CN" w:bidi="ar-SA"/>
              </w:rPr>
              <w:t>公司至今没有污染现象发生，无相关方投诉，无违法情况。</w:t>
            </w:r>
            <w:r>
              <w:rPr>
                <w:rFonts w:hint="eastAsia" w:ascii="宋体" w:hAnsi="宋体"/>
                <w:color w:val="000000"/>
                <w:szCs w:val="21"/>
                <w:lang w:val="en-US" w:eastAsia="zh-CN"/>
              </w:rPr>
              <w:t>去年安全事故为0，无工伤发生</w:t>
            </w:r>
            <w:r>
              <w:rPr>
                <w:rFonts w:hint="eastAsia" w:ascii="宋体" w:hAnsi="宋体"/>
                <w:color w:val="000000"/>
                <w:szCs w:val="21"/>
              </w:rPr>
              <w:t>。</w:t>
            </w:r>
          </w:p>
          <w:p>
            <w:pPr>
              <w:pStyle w:val="2"/>
              <w:rPr>
                <w:rFonts w:hint="eastAsia" w:ascii="宋体" w:hAnsi="宋体" w:cs="Times New Roman"/>
                <w:b/>
                <w:bCs/>
                <w:color w:val="auto"/>
                <w:spacing w:val="0"/>
                <w:kern w:val="2"/>
                <w:sz w:val="21"/>
                <w:szCs w:val="22"/>
                <w:lang w:val="en-US" w:eastAsia="zh-CN" w:bidi="ar-SA"/>
              </w:rPr>
            </w:pPr>
            <w:r>
              <w:rPr>
                <w:rFonts w:hint="eastAsia" w:ascii="宋体" w:hAnsi="宋体" w:cs="Times New Roman"/>
                <w:b/>
                <w:bCs/>
                <w:color w:val="auto"/>
                <w:spacing w:val="0"/>
                <w:kern w:val="2"/>
                <w:sz w:val="21"/>
                <w:szCs w:val="22"/>
                <w:lang w:val="en-US" w:eastAsia="zh-CN" w:bidi="ar-SA"/>
              </w:rPr>
              <w:t>一阶段</w:t>
            </w:r>
            <w:r>
              <w:rPr>
                <w:rFonts w:hint="eastAsia" w:ascii="宋体" w:hAnsi="宋体" w:eastAsia="宋体" w:cs="Times New Roman"/>
                <w:b/>
                <w:bCs/>
                <w:color w:val="auto"/>
                <w:spacing w:val="0"/>
                <w:kern w:val="2"/>
                <w:sz w:val="21"/>
                <w:szCs w:val="22"/>
                <w:lang w:val="en-US" w:eastAsia="zh-CN" w:bidi="ar-SA"/>
              </w:rPr>
              <w:t>不符合问题验证</w:t>
            </w:r>
            <w:r>
              <w:rPr>
                <w:rFonts w:hint="eastAsia" w:ascii="宋体" w:hAnsi="宋体" w:cs="Times New Roman"/>
                <w:b/>
                <w:bCs/>
                <w:color w:val="auto"/>
                <w:spacing w:val="0"/>
                <w:kern w:val="2"/>
                <w:sz w:val="21"/>
                <w:szCs w:val="22"/>
                <w:lang w:val="en-US" w:eastAsia="zh-CN" w:bidi="ar-SA"/>
              </w:rPr>
              <w:t>：</w:t>
            </w:r>
          </w:p>
          <w:p>
            <w:pPr>
              <w:pStyle w:val="2"/>
              <w:ind w:firstLine="420" w:firstLineChars="200"/>
              <w:rPr>
                <w:rFonts w:hint="default" w:ascii="宋体" w:hAnsi="宋体" w:eastAsia="宋体" w:cs="Times New Roman"/>
                <w:bCs w:val="0"/>
                <w:color w:val="auto"/>
                <w:spacing w:val="0"/>
                <w:kern w:val="2"/>
                <w:sz w:val="21"/>
                <w:szCs w:val="22"/>
                <w:lang w:val="en-US" w:eastAsia="zh-CN" w:bidi="ar-SA"/>
              </w:rPr>
            </w:pPr>
            <w:r>
              <w:rPr>
                <w:rFonts w:hint="eastAsia" w:ascii="宋体" w:hAnsi="宋体" w:eastAsia="宋体" w:cs="Times New Roman"/>
                <w:bCs w:val="0"/>
                <w:color w:val="auto"/>
                <w:spacing w:val="0"/>
                <w:kern w:val="2"/>
                <w:sz w:val="21"/>
                <w:szCs w:val="22"/>
                <w:lang w:val="en-US" w:eastAsia="zh-CN" w:bidi="ar-SA"/>
              </w:rPr>
              <w:t>查：</w:t>
            </w:r>
            <w:r>
              <w:rPr>
                <w:rFonts w:hint="eastAsia" w:ascii="宋体" w:hAnsi="宋体" w:cs="Times New Roman"/>
                <w:bCs w:val="0"/>
                <w:color w:val="auto"/>
                <w:spacing w:val="0"/>
                <w:kern w:val="2"/>
                <w:sz w:val="21"/>
                <w:szCs w:val="22"/>
                <w:lang w:val="en-US" w:eastAsia="zh-CN" w:bidi="ar-SA"/>
              </w:rPr>
              <w:t>一阶段</w:t>
            </w:r>
            <w:r>
              <w:rPr>
                <w:rFonts w:hint="eastAsia" w:ascii="宋体" w:hAnsi="宋体" w:eastAsia="宋体" w:cs="Times New Roman"/>
                <w:bCs w:val="0"/>
                <w:color w:val="auto"/>
                <w:spacing w:val="0"/>
                <w:kern w:val="2"/>
                <w:sz w:val="21"/>
                <w:szCs w:val="22"/>
                <w:lang w:val="en-US" w:eastAsia="zh-CN" w:bidi="ar-SA"/>
              </w:rPr>
              <w:t>审核不符合</w:t>
            </w:r>
            <w:r>
              <w:rPr>
                <w:rFonts w:hint="eastAsia" w:ascii="宋体" w:hAnsi="宋体" w:cs="Times New Roman"/>
                <w:bCs w:val="0"/>
                <w:color w:val="auto"/>
                <w:spacing w:val="0"/>
                <w:kern w:val="2"/>
                <w:sz w:val="21"/>
                <w:szCs w:val="22"/>
                <w:lang w:val="en-US" w:eastAsia="zh-CN" w:bidi="ar-SA"/>
              </w:rPr>
              <w:t>问题</w:t>
            </w:r>
            <w:r>
              <w:rPr>
                <w:rFonts w:hint="eastAsia" w:ascii="宋体" w:hAnsi="宋体" w:eastAsia="宋体" w:cs="Times New Roman"/>
                <w:bCs w:val="0"/>
                <w:color w:val="auto"/>
                <w:spacing w:val="0"/>
                <w:kern w:val="2"/>
                <w:sz w:val="21"/>
                <w:szCs w:val="22"/>
                <w:lang w:val="en-US" w:eastAsia="zh-CN" w:bidi="ar-SA"/>
              </w:rPr>
              <w:t>公司对其原因进行了</w:t>
            </w:r>
            <w:r>
              <w:rPr>
                <w:rFonts w:hint="eastAsia" w:ascii="宋体" w:hAnsi="宋体" w:cs="Times New Roman"/>
                <w:bCs w:val="0"/>
                <w:color w:val="auto"/>
                <w:spacing w:val="0"/>
                <w:kern w:val="2"/>
                <w:sz w:val="21"/>
                <w:szCs w:val="22"/>
                <w:lang w:val="en-US" w:eastAsia="zh-CN" w:bidi="ar-SA"/>
              </w:rPr>
              <w:t>纠正，</w:t>
            </w:r>
            <w:r>
              <w:rPr>
                <w:rFonts w:hint="eastAsia" w:ascii="宋体" w:hAnsi="宋体" w:eastAsia="宋体" w:cs="Times New Roman"/>
                <w:bCs w:val="0"/>
                <w:color w:val="auto"/>
                <w:spacing w:val="0"/>
                <w:kern w:val="2"/>
                <w:sz w:val="21"/>
                <w:szCs w:val="22"/>
                <w:lang w:val="en-US" w:eastAsia="zh-CN" w:bidi="ar-SA"/>
              </w:rPr>
              <w:t>采取了纠正措施，此次二阶段审核未发现同类似的问题。经验证</w:t>
            </w:r>
            <w:r>
              <w:rPr>
                <w:rFonts w:hint="eastAsia" w:ascii="宋体" w:hAnsi="宋体" w:cs="Times New Roman"/>
                <w:bCs w:val="0"/>
                <w:color w:val="auto"/>
                <w:spacing w:val="0"/>
                <w:kern w:val="2"/>
                <w:sz w:val="21"/>
                <w:szCs w:val="22"/>
                <w:lang w:val="en-US" w:eastAsia="zh-CN" w:bidi="ar-SA"/>
              </w:rPr>
              <w:t>，</w:t>
            </w:r>
            <w:r>
              <w:rPr>
                <w:rFonts w:hint="eastAsia" w:ascii="宋体" w:hAnsi="宋体" w:eastAsia="宋体" w:cs="Times New Roman"/>
                <w:bCs w:val="0"/>
                <w:color w:val="auto"/>
                <w:spacing w:val="0"/>
                <w:kern w:val="2"/>
                <w:sz w:val="21"/>
                <w:szCs w:val="22"/>
                <w:lang w:val="en-US" w:eastAsia="zh-CN" w:bidi="ar-SA"/>
              </w:rPr>
              <w:t>采取的纠正措施实施验证有效，符合要求</w:t>
            </w:r>
            <w:r>
              <w:rPr>
                <w:rFonts w:hint="eastAsia" w:ascii="宋体" w:hAnsi="宋体" w:cs="Times New Roman"/>
                <w:bCs w:val="0"/>
                <w:color w:val="auto"/>
                <w:spacing w:val="0"/>
                <w:kern w:val="2"/>
                <w:sz w:val="21"/>
                <w:szCs w:val="22"/>
                <w:lang w:val="en-US" w:eastAsia="zh-CN" w:bidi="ar-SA"/>
              </w:rPr>
              <w:t>。</w:t>
            </w:r>
          </w:p>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r>
              <w:rPr>
                <w:rFonts w:hint="eastAsia"/>
              </w:rPr>
              <w:t>理解组织及其环境</w:t>
            </w:r>
          </w:p>
        </w:tc>
        <w:tc>
          <w:tcPr>
            <w:tcW w:w="960" w:type="dxa"/>
            <w:vAlign w:val="top"/>
          </w:tcPr>
          <w:p>
            <w:pPr>
              <w:rPr>
                <w:rFonts w:hint="eastAsia"/>
                <w:lang w:val="en-US" w:eastAsia="zh-CN"/>
              </w:rPr>
            </w:pPr>
            <w:r>
              <w:rPr>
                <w:rFonts w:hint="eastAsia"/>
                <w:lang w:val="en-US" w:eastAsia="zh-CN"/>
              </w:rPr>
              <w:t>QEO:</w:t>
            </w:r>
          </w:p>
          <w:p>
            <w:pPr>
              <w:rPr>
                <w:rFonts w:hint="eastAsia"/>
              </w:rPr>
            </w:pPr>
            <w:r>
              <w:rPr>
                <w:rFonts w:hint="eastAsia"/>
              </w:rPr>
              <w:t xml:space="preserve">4.1 </w:t>
            </w:r>
          </w:p>
          <w:p>
            <w:pPr>
              <w:pStyle w:val="2"/>
            </w:pPr>
          </w:p>
        </w:tc>
        <w:tc>
          <w:tcPr>
            <w:tcW w:w="10004" w:type="dxa"/>
          </w:tcPr>
          <w:p>
            <w:pPr>
              <w:rPr>
                <w:rFonts w:hint="eastAsia"/>
                <w:lang w:val="en-US" w:eastAsia="zh-CN"/>
              </w:rPr>
            </w:pPr>
            <w:r>
              <w:rPr>
                <w:rFonts w:hint="eastAsia"/>
                <w:lang w:val="en-US" w:eastAsia="zh-CN"/>
              </w:rPr>
              <w:t>文件：管理手册第4.1章；文件适宜。</w:t>
            </w:r>
          </w:p>
          <w:p>
            <w:pPr>
              <w:pStyle w:val="2"/>
              <w:rPr>
                <w:rFonts w:hint="default"/>
                <w:lang w:val="en-US" w:eastAsia="zh-CN"/>
              </w:rPr>
            </w:pP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与最高管理者沟通：</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组织的环境：出示：《组织环境识别表》</w:t>
            </w:r>
            <w:r>
              <w:rPr>
                <w:rFonts w:hint="eastAsia" w:cs="Times New Roman"/>
                <w:lang w:val="en-US" w:eastAsia="zh-CN"/>
              </w:rPr>
              <w:t>：</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公司外部环境：</w:t>
            </w:r>
            <w:r>
              <w:drawing>
                <wp:inline distT="0" distB="0" distL="114300" distR="114300">
                  <wp:extent cx="5129530" cy="2072005"/>
                  <wp:effectExtent l="0" t="0" r="1270" b="1079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6"/>
                          <a:stretch>
                            <a:fillRect/>
                          </a:stretch>
                        </pic:blipFill>
                        <pic:spPr>
                          <a:xfrm>
                            <a:off x="0" y="0"/>
                            <a:ext cx="5129530" cy="2072005"/>
                          </a:xfrm>
                          <a:prstGeom prst="rect">
                            <a:avLst/>
                          </a:prstGeom>
                          <a:noFill/>
                          <a:ln>
                            <a:noFill/>
                          </a:ln>
                        </pic:spPr>
                      </pic:pic>
                    </a:graphicData>
                  </a:graphic>
                </wp:inline>
              </w:drawing>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市场竞争力：公司产品质量稳定，公司团队有丰富的工作经验，但在市场中同行也多，同时也面临着同行企业的竞争压力，竞争压力大。</w:t>
            </w:r>
          </w:p>
          <w:p>
            <w:pPr>
              <w:rPr>
                <w:rFonts w:hint="eastAsia" w:ascii="宋体" w:hAnsi="宋体" w:eastAsia="宋体" w:cs="宋体"/>
                <w:szCs w:val="21"/>
                <w:lang w:val="en-US" w:eastAsia="zh-CN"/>
              </w:rPr>
            </w:pPr>
            <w:r>
              <w:rPr>
                <w:rFonts w:hint="eastAsia" w:ascii="Times New Roman" w:hAnsi="Times New Roman" w:eastAsia="宋体" w:cs="Times New Roman"/>
                <w:lang w:val="en-US" w:eastAsia="zh-CN"/>
              </w:rPr>
              <w:t>公司内部环境：1企业文化</w:t>
            </w:r>
            <w:r>
              <w:rPr>
                <w:rFonts w:ascii="宋体" w:hAnsi="宋体" w:cs="宋体"/>
                <w:szCs w:val="21"/>
              </w:rPr>
              <w:t>2</w:t>
            </w:r>
            <w:r>
              <w:rPr>
                <w:rFonts w:hint="eastAsia" w:ascii="宋体" w:hAnsi="宋体" w:cs="宋体"/>
                <w:szCs w:val="21"/>
              </w:rPr>
              <w:t>公司价值观</w:t>
            </w:r>
            <w:r>
              <w:rPr>
                <w:rFonts w:hint="eastAsia" w:ascii="宋体" w:hAnsi="宋体" w:cs="宋体"/>
                <w:szCs w:val="21"/>
                <w:lang w:val="en-US" w:eastAsia="zh-CN"/>
              </w:rPr>
              <w:t>3</w:t>
            </w:r>
            <w:r>
              <w:rPr>
                <w:rFonts w:hint="eastAsia" w:ascii="宋体" w:hAnsi="宋体" w:cs="宋体"/>
                <w:szCs w:val="21"/>
              </w:rPr>
              <w:t>知识积累</w:t>
            </w:r>
            <w:r>
              <w:rPr>
                <w:rFonts w:ascii="宋体" w:hAnsi="宋体" w:cs="宋体"/>
                <w:szCs w:val="21"/>
              </w:rPr>
              <w:t>4</w:t>
            </w:r>
            <w:r>
              <w:rPr>
                <w:rFonts w:hint="eastAsia" w:ascii="宋体" w:hAnsi="宋体" w:cs="宋体"/>
                <w:szCs w:val="21"/>
              </w:rPr>
              <w:t>绩</w:t>
            </w:r>
            <w:r>
              <w:rPr>
                <w:rFonts w:hint="eastAsia" w:ascii="宋体" w:hAnsi="宋体" w:eastAsia="宋体" w:cs="宋体"/>
                <w:szCs w:val="21"/>
              </w:rPr>
              <w:t>效5财务因素6资源因素7人力因素8运营因素</w:t>
            </w:r>
            <w:r>
              <w:rPr>
                <w:rFonts w:hint="eastAsia" w:ascii="宋体" w:hAnsi="宋体" w:eastAsia="宋体" w:cs="宋体"/>
                <w:szCs w:val="21"/>
                <w:lang w:val="en-US" w:eastAsia="zh-CN"/>
              </w:rPr>
              <w:t>等等。</w:t>
            </w:r>
          </w:p>
          <w:p>
            <w:pPr>
              <w:rPr>
                <w:rFonts w:hint="default" w:ascii="宋体" w:hAnsi="宋体" w:eastAsia="宋体" w:cs="宋体"/>
                <w:szCs w:val="21"/>
                <w:lang w:val="en-US" w:eastAsia="zh-CN"/>
              </w:rPr>
            </w:pPr>
            <w:r>
              <w:rPr>
                <w:rFonts w:hint="eastAsia" w:ascii="宋体" w:hAnsi="宋体" w:eastAsia="宋体" w:cs="宋体"/>
                <w:szCs w:val="21"/>
                <w:lang w:val="en-US" w:eastAsia="zh-CN"/>
              </w:rPr>
              <w:t>能出示公司</w:t>
            </w:r>
            <w:r>
              <w:rPr>
                <w:rFonts w:hint="eastAsia" w:ascii="宋体" w:hAnsi="宋体" w:cs="宋体"/>
                <w:szCs w:val="21"/>
                <w:lang w:val="en-US" w:eastAsia="zh-CN"/>
              </w:rPr>
              <w:t>《组织环境分析表》</w:t>
            </w:r>
            <w:r>
              <w:rPr>
                <w:rFonts w:hint="eastAsia" w:ascii="宋体" w:hAnsi="宋体" w:eastAsia="宋体" w:cs="宋体"/>
                <w:szCs w:val="21"/>
                <w:lang w:val="en-US" w:eastAsia="zh-CN"/>
              </w:rPr>
              <w:t>《</w:t>
            </w:r>
            <w:r>
              <w:rPr>
                <w:rFonts w:hint="eastAsia" w:ascii="宋体" w:hAnsi="宋体" w:eastAsia="宋体" w:cs="宋体"/>
                <w:szCs w:val="21"/>
              </w:rPr>
              <w:t>内外部环境分析报告</w:t>
            </w:r>
            <w:r>
              <w:rPr>
                <w:rFonts w:hint="eastAsia" w:ascii="宋体" w:hAnsi="宋体" w:eastAsia="宋体" w:cs="宋体"/>
                <w:szCs w:val="21"/>
                <w:lang w:val="en-US" w:eastAsia="zh-CN"/>
              </w:rPr>
              <w:t>》采用SWOT方法，对内部环境、外部环境、企业</w:t>
            </w:r>
            <w:r>
              <w:rPr>
                <w:rFonts w:hint="eastAsia"/>
                <w:color w:val="000000"/>
              </w:rPr>
              <w:t>战略选择</w:t>
            </w:r>
            <w:r>
              <w:rPr>
                <w:rFonts w:hint="eastAsia"/>
                <w:color w:val="000000"/>
                <w:lang w:val="en-US" w:eastAsia="zh-CN"/>
              </w:rPr>
              <w:t>进行了分析，适宜。</w:t>
            </w:r>
          </w:p>
          <w:p>
            <w:pPr>
              <w:pStyle w:val="2"/>
            </w:pPr>
          </w:p>
        </w:tc>
        <w:tc>
          <w:tcPr>
            <w:tcW w:w="1585" w:type="dxa"/>
          </w:tcPr>
          <w:p>
            <w:pPr>
              <w:rPr>
                <w:rFonts w:hint="eastAsia"/>
                <w:lang w:val="en-US" w:eastAsia="zh-CN"/>
              </w:rPr>
            </w:pPr>
            <w:r>
              <w:rPr>
                <w:rFonts w:hint="eastAsia"/>
                <w:lang w:eastAsia="zh-CN"/>
              </w:rPr>
              <w:t>☑</w:t>
            </w:r>
            <w:r>
              <w:rPr>
                <w:rFonts w:hint="eastAsia"/>
                <w:lang w:val="en-US" w:eastAsia="zh-CN"/>
              </w:rPr>
              <w:t>符合</w:t>
            </w:r>
          </w:p>
          <w:p>
            <w:r>
              <w:rPr>
                <w:rFonts w:hint="eastAsia"/>
                <w:lang w:eastAsia="zh-CN"/>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color w:val="auto"/>
                <w:highlight w:val="none"/>
              </w:rPr>
            </w:pPr>
            <w:r>
              <w:rPr>
                <w:rFonts w:hint="eastAsia"/>
                <w:color w:val="auto"/>
                <w:highlight w:val="none"/>
              </w:rPr>
              <w:t>理解相关方的需求和期望</w:t>
            </w:r>
          </w:p>
        </w:tc>
        <w:tc>
          <w:tcPr>
            <w:tcW w:w="960" w:type="dxa"/>
            <w:vAlign w:val="top"/>
          </w:tcPr>
          <w:p>
            <w:pPr>
              <w:rPr>
                <w:rFonts w:hint="eastAsia"/>
                <w:color w:val="auto"/>
                <w:highlight w:val="none"/>
                <w:lang w:val="en-US" w:eastAsia="zh-CN"/>
              </w:rPr>
            </w:pPr>
            <w:r>
              <w:rPr>
                <w:rFonts w:hint="eastAsia"/>
                <w:color w:val="auto"/>
                <w:highlight w:val="none"/>
                <w:lang w:val="en-US" w:eastAsia="zh-CN"/>
              </w:rPr>
              <w:t>QEO</w:t>
            </w:r>
          </w:p>
          <w:p>
            <w:pPr>
              <w:rPr>
                <w:color w:val="auto"/>
                <w:highlight w:val="none"/>
              </w:rPr>
            </w:pPr>
            <w:r>
              <w:rPr>
                <w:rFonts w:hint="eastAsia"/>
                <w:color w:val="auto"/>
                <w:highlight w:val="none"/>
              </w:rPr>
              <w:t xml:space="preserve">4.2 </w:t>
            </w:r>
          </w:p>
        </w:tc>
        <w:tc>
          <w:tcPr>
            <w:tcW w:w="10004" w:type="dxa"/>
          </w:tcPr>
          <w:p>
            <w:pPr>
              <w:rPr>
                <w:rFonts w:hint="eastAsia"/>
                <w:color w:val="auto"/>
                <w:highlight w:val="none"/>
                <w:lang w:val="en-US" w:eastAsia="zh-CN"/>
              </w:rPr>
            </w:pPr>
            <w:r>
              <w:rPr>
                <w:rFonts w:hint="eastAsia"/>
                <w:color w:val="auto"/>
                <w:highlight w:val="none"/>
                <w:lang w:val="en-US" w:eastAsia="zh-CN"/>
              </w:rPr>
              <w:t>见：管理手册第4.2章</w:t>
            </w:r>
          </w:p>
          <w:p>
            <w:pPr>
              <w:jc w:val="center"/>
              <w:rPr>
                <w:rFonts w:hint="eastAsia" w:ascii="Times New Roman" w:hAnsi="Times New Roman" w:cs="Times New Roman"/>
                <w:color w:val="auto"/>
                <w:highlight w:val="none"/>
                <w:lang w:val="en-US" w:eastAsia="zh-CN"/>
              </w:rPr>
            </w:pPr>
            <w:r>
              <w:rPr>
                <w:rFonts w:hint="eastAsia"/>
                <w:color w:val="auto"/>
                <w:highlight w:val="none"/>
                <w:lang w:val="en-US" w:eastAsia="zh-CN"/>
              </w:rPr>
              <w:t>与公司总经理樊总远程视频沟通交流；</w:t>
            </w:r>
            <w:r>
              <w:rPr>
                <w:rFonts w:hint="eastAsia"/>
                <w:vertAlign w:val="baseline"/>
                <w:lang w:val="en-US" w:eastAsia="zh-CN"/>
              </w:rPr>
              <w:t>樊总称：</w:t>
            </w:r>
            <w:r>
              <w:rPr>
                <w:rFonts w:hint="eastAsia"/>
                <w:color w:val="auto"/>
                <w:highlight w:val="none"/>
                <w:lang w:val="en-US" w:eastAsia="zh-CN"/>
              </w:rPr>
              <w:t>公司识别、确定了与管理体系有关的相关方，了解公司的周边环境、国家、行业和法规要求，当地政府主管部门的要</w:t>
            </w:r>
            <w:r>
              <w:rPr>
                <w:rFonts w:hint="eastAsia" w:ascii="Times New Roman" w:hAnsi="Times New Roman" w:cs="Times New Roman"/>
                <w:color w:val="auto"/>
                <w:highlight w:val="none"/>
                <w:lang w:val="en-US" w:eastAsia="zh-CN"/>
              </w:rPr>
              <w:t>求等。见：《相关方的需求和期望清单》：</w:t>
            </w:r>
          </w:p>
          <w:p>
            <w:pPr>
              <w:pStyle w:val="2"/>
              <w:rPr>
                <w:rFonts w:hint="eastAsia"/>
                <w:color w:val="auto"/>
                <w:highlight w:val="none"/>
                <w:lang w:val="en-US" w:eastAsia="zh-CN"/>
              </w:rPr>
            </w:pPr>
            <w:r>
              <w:drawing>
                <wp:inline distT="0" distB="0" distL="114300" distR="114300">
                  <wp:extent cx="6214745" cy="2265680"/>
                  <wp:effectExtent l="0" t="0" r="8255" b="762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7"/>
                          <a:stretch>
                            <a:fillRect/>
                          </a:stretch>
                        </pic:blipFill>
                        <pic:spPr>
                          <a:xfrm>
                            <a:off x="0" y="0"/>
                            <a:ext cx="6214745" cy="2265680"/>
                          </a:xfrm>
                          <a:prstGeom prst="rect">
                            <a:avLst/>
                          </a:prstGeom>
                          <a:noFill/>
                          <a:ln>
                            <a:noFill/>
                          </a:ln>
                        </pic:spPr>
                      </pic:pic>
                    </a:graphicData>
                  </a:graphic>
                </wp:inline>
              </w:drawing>
            </w:r>
          </w:p>
        </w:tc>
        <w:tc>
          <w:tcPr>
            <w:tcW w:w="1585" w:type="dxa"/>
          </w:tcPr>
          <w:p>
            <w:pPr>
              <w:rPr>
                <w:rFonts w:hint="eastAsia"/>
                <w:lang w:val="en-US" w:eastAsia="zh-CN"/>
              </w:rPr>
            </w:pPr>
            <w:r>
              <w:rPr>
                <w:rFonts w:hint="eastAsia"/>
                <w:lang w:eastAsia="zh-CN"/>
              </w:rPr>
              <w:t>☑</w:t>
            </w:r>
            <w:r>
              <w:rPr>
                <w:rFonts w:hint="eastAsia"/>
                <w:lang w:val="en-US" w:eastAsia="zh-CN"/>
              </w:rPr>
              <w:t>符合</w:t>
            </w:r>
          </w:p>
          <w:p>
            <w:r>
              <w:rPr>
                <w:rFonts w:hint="eastAsia"/>
                <w:lang w:eastAsia="zh-CN"/>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60" w:type="dxa"/>
            <w:vAlign w:val="top"/>
          </w:tcPr>
          <w:p>
            <w:pPr>
              <w:rPr>
                <w:rFonts w:hint="eastAsia" w:ascii="Times New Roman" w:hAnsi="Times New Roman" w:eastAsia="宋体" w:cs="Times New Roman"/>
                <w:kern w:val="2"/>
                <w:sz w:val="21"/>
                <w:lang w:val="en-US" w:eastAsia="zh-CN" w:bidi="ar-SA"/>
              </w:rPr>
            </w:pPr>
            <w:r>
              <w:rPr>
                <w:rFonts w:hint="eastAsia"/>
                <w:lang w:eastAsia="zh-CN"/>
              </w:rPr>
              <w:t>管理体系</w:t>
            </w:r>
            <w:r>
              <w:rPr>
                <w:rFonts w:hint="eastAsia"/>
              </w:rPr>
              <w:t>及其过程</w:t>
            </w:r>
          </w:p>
        </w:tc>
        <w:tc>
          <w:tcPr>
            <w:tcW w:w="960" w:type="dxa"/>
            <w:vAlign w:val="top"/>
          </w:tcPr>
          <w:p>
            <w:pPr>
              <w:rPr>
                <w:rFonts w:hint="eastAsia"/>
                <w:lang w:val="en-US" w:eastAsia="zh-CN"/>
              </w:rPr>
            </w:pPr>
            <w:r>
              <w:rPr>
                <w:rFonts w:hint="eastAsia"/>
                <w:lang w:val="en-US" w:eastAsia="zh-CN"/>
              </w:rPr>
              <w:t>QEO:</w:t>
            </w:r>
          </w:p>
          <w:p>
            <w:pPr>
              <w:rPr>
                <w:rFonts w:hint="eastAsia" w:ascii="Times New Roman" w:hAnsi="Times New Roman" w:eastAsia="宋体" w:cs="Times New Roman"/>
                <w:kern w:val="2"/>
                <w:sz w:val="21"/>
                <w:lang w:val="en-US" w:eastAsia="zh-CN" w:bidi="ar-SA"/>
              </w:rPr>
            </w:pPr>
            <w:r>
              <w:rPr>
                <w:rFonts w:hint="eastAsia"/>
              </w:rPr>
              <w:t xml:space="preserve">4.4 </w:t>
            </w:r>
          </w:p>
        </w:tc>
        <w:tc>
          <w:tcPr>
            <w:tcW w:w="10004" w:type="dxa"/>
          </w:tcPr>
          <w:p>
            <w:pPr>
              <w:rPr>
                <w:rFonts w:hint="eastAsia"/>
                <w:lang w:val="en-US" w:eastAsia="zh-CN"/>
              </w:rPr>
            </w:pPr>
            <w:r>
              <w:rPr>
                <w:rFonts w:hint="eastAsia"/>
                <w:lang w:val="en-US" w:eastAsia="zh-CN"/>
              </w:rPr>
              <w:t>管理手册第4.1\4.2\4.4章</w:t>
            </w:r>
          </w:p>
          <w:p>
            <w:pPr>
              <w:pStyle w:val="2"/>
              <w:rPr>
                <w:rFonts w:hint="default"/>
                <w:color w:val="auto"/>
                <w:highlight w:val="none"/>
                <w:lang w:val="en-US" w:eastAsia="zh-CN"/>
              </w:rPr>
            </w:pPr>
            <w:r>
              <w:rPr>
                <w:rFonts w:hint="eastAsia"/>
                <w:color w:val="auto"/>
                <w:highlight w:val="none"/>
                <w:lang w:val="en-US" w:eastAsia="zh-CN"/>
              </w:rPr>
              <w:t>与公司总经理樊总远程视频沟通交流：</w:t>
            </w:r>
          </w:p>
          <w:p>
            <w:pPr>
              <w:keepNext w:val="0"/>
              <w:keepLines w:val="0"/>
              <w:suppressLineNumbers w:val="0"/>
              <w:spacing w:before="40" w:beforeAutospacing="0" w:after="40" w:afterAutospacing="0" w:line="240" w:lineRule="auto"/>
              <w:ind w:left="0" w:right="0" w:firstLine="420" w:firstLineChars="200"/>
              <w:rPr>
                <w:rFonts w:hint="eastAsia"/>
                <w:vertAlign w:val="baseline"/>
                <w:lang w:val="en-GB" w:eastAsia="zh-CN"/>
              </w:rPr>
            </w:pPr>
            <w:r>
              <w:rPr>
                <w:rFonts w:hint="eastAsia"/>
                <w:vertAlign w:val="baseline"/>
                <w:lang w:val="en-US" w:eastAsia="zh-CN"/>
              </w:rPr>
              <w:t>樊总称：公司对管理体系的过程进行了确认，对输入、输出、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spacing w:line="400" w:lineRule="exact"/>
              <w:ind w:firstLine="480"/>
              <w:rPr>
                <w:rFonts w:hint="eastAsia"/>
                <w:lang w:val="en-US" w:eastAsia="zh-CN"/>
              </w:rPr>
            </w:pPr>
            <w:r>
              <w:rPr>
                <w:rFonts w:hint="eastAsia" w:ascii="宋体" w:hAnsi="宋体"/>
                <w:color w:val="auto"/>
                <w:kern w:val="2"/>
                <w:sz w:val="21"/>
                <w:szCs w:val="22"/>
                <w:lang w:val="en-US" w:eastAsia="zh-CN" w:bidi="ar-SA"/>
              </w:rPr>
              <w:t>公司按照质量、环境、职业健康安全管理体系标准，建立、实施和保持文件化的管理体系并持续改进其有效性，公司确保按照下列要求策划和质量、环境、职业健康安全管理体系过程。公司对管理体系进行了策划，对其所需过程以及每个过程间接口关系进行了识别与确定（管理职责、资源管理、服务实现、测量及分析和改进等）。根据需要，按标准建立公司管理体系，识别了环境因素和服务过程，制定了管理手册（2022年1月5日实施）；制定了公司管理方针及目标指标；确定了适用的法规、法律和其它要求；并经运行后，对管理手册、程序文件及相关控制文件及记录的适宜性等进行了评审。</w:t>
            </w:r>
          </w:p>
          <w:p>
            <w:pPr>
              <w:pStyle w:val="2"/>
              <w:rPr>
                <w:rFonts w:hint="eastAsia"/>
                <w:lang w:val="en-US" w:eastAsia="zh-CN"/>
              </w:rPr>
            </w:pPr>
            <w:r>
              <w:rPr>
                <w:rFonts w:hint="eastAsia"/>
                <w:lang w:val="en-US" w:eastAsia="zh-CN"/>
              </w:rPr>
              <w:t>公司</w:t>
            </w:r>
            <w:r>
              <w:rPr>
                <w:rFonts w:hint="eastAsia"/>
                <w:lang w:val="en-GB" w:eastAsia="zh-CN"/>
              </w:rPr>
              <w:t>通过</w:t>
            </w:r>
            <w:r>
              <w:rPr>
                <w:rFonts w:hint="eastAsia"/>
                <w:lang w:val="en-US" w:eastAsia="zh-CN"/>
              </w:rPr>
              <w:t>管理</w:t>
            </w:r>
            <w:r>
              <w:rPr>
                <w:rFonts w:hint="eastAsia"/>
                <w:lang w:val="en-GB" w:eastAsia="zh-CN"/>
              </w:rPr>
              <w:t>目标的建立、实施、顾客满意的测量、内审和管理评审等方式，充分地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管理体系覆盖的过程</w:t>
            </w:r>
            <w:r>
              <w:rPr>
                <w:rFonts w:hint="eastAsia"/>
                <w:lang w:val="en-GB" w:eastAsia="zh-CN"/>
              </w:rPr>
              <w:t>和活动</w:t>
            </w:r>
            <w:r>
              <w:rPr>
                <w:rFonts w:hint="eastAsia"/>
                <w:lang w:val="en-US" w:eastAsia="zh-CN"/>
              </w:rPr>
              <w:t>。</w:t>
            </w:r>
          </w:p>
        </w:tc>
        <w:tc>
          <w:tcPr>
            <w:tcW w:w="1585" w:type="dxa"/>
          </w:tcPr>
          <w:p>
            <w:pPr>
              <w:rPr>
                <w:rFonts w:hint="eastAsia"/>
                <w:lang w:val="en-US" w:eastAsia="zh-CN"/>
              </w:rPr>
            </w:pPr>
            <w:r>
              <w:rPr>
                <w:rFonts w:hint="eastAsia"/>
                <w:lang w:eastAsia="zh-CN"/>
              </w:rPr>
              <w:t>☑</w:t>
            </w:r>
            <w:r>
              <w:rPr>
                <w:rFonts w:hint="eastAsia"/>
                <w:lang w:val="en-US" w:eastAsia="zh-CN"/>
              </w:rPr>
              <w:t>符合</w:t>
            </w:r>
          </w:p>
          <w:p>
            <w:r>
              <w:rPr>
                <w:rFonts w:hint="eastAsia"/>
                <w:lang w:eastAsia="zh-CN"/>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160" w:type="dxa"/>
            <w:vAlign w:val="top"/>
          </w:tcPr>
          <w:p>
            <w:pPr>
              <w:rPr>
                <w:rFonts w:hint="eastAsia"/>
              </w:rPr>
            </w:pPr>
            <w:r>
              <w:rPr>
                <w:rFonts w:hint="eastAsia"/>
              </w:rPr>
              <w:t>领导作用与承诺</w:t>
            </w:r>
          </w:p>
        </w:tc>
        <w:tc>
          <w:tcPr>
            <w:tcW w:w="960" w:type="dxa"/>
            <w:vAlign w:val="top"/>
          </w:tcPr>
          <w:p>
            <w:pPr>
              <w:rPr>
                <w:rFonts w:hint="eastAsia"/>
                <w:lang w:val="en-US" w:eastAsia="zh-CN"/>
              </w:rPr>
            </w:pPr>
            <w:r>
              <w:rPr>
                <w:rFonts w:hint="eastAsia"/>
                <w:lang w:val="en-US" w:eastAsia="zh-CN"/>
              </w:rPr>
              <w:t>QEO:</w:t>
            </w:r>
          </w:p>
          <w:p>
            <w:pPr>
              <w:rPr>
                <w:rFonts w:hint="eastAsia"/>
              </w:rPr>
            </w:pPr>
            <w:r>
              <w:rPr>
                <w:rFonts w:hint="eastAsia"/>
              </w:rPr>
              <w:t>5.1</w:t>
            </w:r>
          </w:p>
        </w:tc>
        <w:tc>
          <w:tcPr>
            <w:tcW w:w="10004" w:type="dxa"/>
          </w:tcPr>
          <w:p>
            <w:pPr>
              <w:rPr>
                <w:rFonts w:hint="default"/>
                <w:lang w:val="en-US" w:eastAsia="zh-CN"/>
              </w:rPr>
            </w:pPr>
            <w:r>
              <w:rPr>
                <w:rFonts w:hint="eastAsia"/>
                <w:lang w:val="en-US" w:eastAsia="zh-CN"/>
              </w:rPr>
              <w:t>文件：管理手册第5.1章；职责和权限</w:t>
            </w:r>
          </w:p>
          <w:p>
            <w:pPr>
              <w:rPr>
                <w:rFonts w:hint="eastAsia"/>
                <w:color w:val="000000"/>
                <w:szCs w:val="21"/>
                <w:lang w:val="en-US" w:eastAsia="zh-CN"/>
              </w:rPr>
            </w:pPr>
            <w:r>
              <w:rPr>
                <w:rFonts w:hint="eastAsia" w:ascii="Times New Roman" w:hAnsi="Times New Roman" w:cs="Times New Roman"/>
                <w:lang w:val="en-US" w:eastAsia="zh-CN"/>
              </w:rPr>
              <w:t>与公司总经理</w:t>
            </w:r>
            <w:r>
              <w:rPr>
                <w:rFonts w:hint="eastAsia" w:cs="Times New Roman"/>
                <w:lang w:val="en-US" w:eastAsia="zh-CN"/>
              </w:rPr>
              <w:t>樊总</w:t>
            </w:r>
            <w:r>
              <w:rPr>
                <w:rFonts w:hint="eastAsia" w:ascii="Times New Roman" w:hAnsi="Times New Roman" w:cs="Times New Roman"/>
                <w:lang w:val="en-US" w:eastAsia="zh-CN"/>
              </w:rPr>
              <w:t>远程视频沟通</w:t>
            </w:r>
            <w:r>
              <w:rPr>
                <w:rFonts w:hint="eastAsia"/>
                <w:color w:val="000000"/>
                <w:szCs w:val="21"/>
                <w:lang w:val="en-US" w:eastAsia="zh-CN"/>
              </w:rPr>
              <w:t>其领导作用与承诺：</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对管理体系的有效性承担责任；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确保制定管理体系的管理方针和管理目标，并与组织的环境和战略方向相一致；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确保管理体系要求融入组织的业务过程；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促进使用过程方法和基于风险的思维；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确保管理体系所需的资源是可用的； </w:t>
            </w:r>
            <w:r>
              <w:rPr>
                <w:rFonts w:hint="eastAsia"/>
              </w:rPr>
              <w:t>确保可获得建立、实施、保持和改进管理体系所需的资源；</w:t>
            </w:r>
            <w:r>
              <w:rPr>
                <w:rFonts w:hint="eastAsia"/>
                <w:szCs w:val="21"/>
              </w:rPr>
              <w:t xml:space="preserve"> </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沟通有效的质量、环境、职业健康安全管理和符合管理体系要求的重要性；</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确保管理体系实现其预期结果；</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促使员工积极参与、指导和支持他们为管理体系的有效性作出贡献；</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推动持续改进；</w:t>
            </w:r>
          </w:p>
          <w:p>
            <w:pPr>
              <w:rPr>
                <w:rFonts w:hint="eastAsia"/>
                <w:color w:val="000000"/>
                <w:szCs w:val="21"/>
                <w:lang w:val="en-US" w:eastAsia="zh-CN"/>
              </w:rPr>
            </w:pPr>
            <w:r>
              <w:rPr>
                <w:rFonts w:hint="eastAsia"/>
                <w:color w:val="000000"/>
                <w:szCs w:val="21"/>
                <w:lang w:val="en-US" w:eastAsia="zh-CN"/>
              </w:rPr>
              <w:sym w:font="Wingdings" w:char="00FE"/>
            </w:r>
            <w:r>
              <w:rPr>
                <w:rFonts w:hint="eastAsia"/>
                <w:color w:val="000000"/>
                <w:szCs w:val="21"/>
                <w:lang w:val="en-US" w:eastAsia="zh-CN"/>
              </w:rPr>
              <w:t>支持其他相关管理者在其职责范围内发挥领导作用。</w:t>
            </w:r>
          </w:p>
          <w:p>
            <w:pPr>
              <w:rPr>
                <w:szCs w:val="21"/>
              </w:rPr>
            </w:pPr>
            <w:r>
              <w:rPr>
                <w:rFonts w:hint="eastAsia"/>
                <w:szCs w:val="21"/>
              </w:rPr>
              <w:sym w:font="Wingdings" w:char="00FE"/>
            </w:r>
            <w:r>
              <w:rPr>
                <w:rFonts w:hint="eastAsia"/>
              </w:rPr>
              <w:t>对防止与工作相关的伤害和健康损害以及提供健康安全的工作场所和活动全面负责并承担责任</w:t>
            </w:r>
            <w:r>
              <w:rPr>
                <w:rFonts w:hint="eastAsia"/>
                <w:szCs w:val="21"/>
              </w:rPr>
              <w:t xml:space="preserve">；  </w:t>
            </w:r>
          </w:p>
          <w:p>
            <w:r>
              <w:rPr>
                <w:rFonts w:hint="eastAsia"/>
                <w:szCs w:val="21"/>
              </w:rPr>
              <w:sym w:font="Wingdings" w:char="00FE"/>
            </w:r>
            <w:r>
              <w:rPr>
                <w:rFonts w:hint="eastAsia"/>
              </w:rPr>
              <w:t>就有效的职业健康安全管理和符合职业健康安全管理体系要求的重要性进行沟通；</w:t>
            </w:r>
          </w:p>
          <w:p>
            <w:r>
              <w:rPr>
                <w:rFonts w:hint="eastAsia"/>
                <w:szCs w:val="21"/>
              </w:rPr>
              <w:sym w:font="Wingdings" w:char="00FE"/>
            </w:r>
            <w:r>
              <w:rPr>
                <w:rFonts w:hint="eastAsia"/>
              </w:rPr>
              <w:t>确保职业健康安全管理体系实现其预期结果；</w:t>
            </w:r>
          </w:p>
          <w:p>
            <w:r>
              <w:rPr>
                <w:rFonts w:hint="eastAsia"/>
                <w:szCs w:val="21"/>
              </w:rPr>
              <w:sym w:font="Wingdings" w:char="00FE"/>
            </w:r>
            <w:r>
              <w:rPr>
                <w:rFonts w:hint="eastAsia"/>
              </w:rPr>
              <w:t>在组织内建立、引导和促进支持职业健康安全管理体系预期结果的文化；</w:t>
            </w:r>
          </w:p>
          <w:p>
            <w:r>
              <w:rPr>
                <w:rFonts w:hint="eastAsia"/>
                <w:szCs w:val="21"/>
              </w:rPr>
              <w:sym w:font="Wingdings" w:char="00FE"/>
            </w:r>
            <w:r>
              <w:rPr>
                <w:rFonts w:hint="eastAsia"/>
              </w:rPr>
              <w:t>保护工作人员不因报告事件、危险源、风险和机遇而遭受报复；</w:t>
            </w:r>
          </w:p>
          <w:p>
            <w:r>
              <w:rPr>
                <w:rFonts w:hint="eastAsia"/>
                <w:szCs w:val="21"/>
              </w:rPr>
              <w:sym w:font="Wingdings" w:char="00FE"/>
            </w:r>
            <w:r>
              <w:rPr>
                <w:rFonts w:hint="eastAsia"/>
              </w:rPr>
              <w:t>确保组织建立和实施工作人员的协商和参与的过程</w:t>
            </w:r>
          </w:p>
          <w:p>
            <w:pPr>
              <w:rPr>
                <w:b/>
                <w:bCs/>
                <w:szCs w:val="21"/>
              </w:rPr>
            </w:pPr>
            <w:r>
              <w:rPr>
                <w:rFonts w:hint="eastAsia"/>
                <w:szCs w:val="21"/>
              </w:rPr>
              <w:sym w:font="Wingdings" w:char="00FE"/>
            </w:r>
            <w:r>
              <w:rPr>
                <w:rFonts w:hint="eastAsia"/>
              </w:rPr>
              <w:t>支持健康安全委员会的建立和运行。</w:t>
            </w:r>
          </w:p>
          <w:p>
            <w:pPr>
              <w:pStyle w:val="2"/>
              <w:rPr>
                <w:rFonts w:hint="eastAsia"/>
                <w:lang w:val="en-US" w:eastAsia="zh-CN"/>
              </w:rPr>
            </w:pPr>
          </w:p>
          <w:p>
            <w:pPr>
              <w:pStyle w:val="2"/>
              <w:rPr>
                <w:rFonts w:hint="eastAsia"/>
                <w:color w:val="000000"/>
                <w:szCs w:val="21"/>
                <w:u w:val="single"/>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 覆盖了标准第5.1章的全面要求。</w:t>
            </w:r>
          </w:p>
          <w:p>
            <w:pPr>
              <w:rPr>
                <w:rFonts w:hint="eastAsia"/>
              </w:rPr>
            </w:pPr>
            <w:r>
              <w:rPr>
                <w:rFonts w:hint="eastAsia"/>
              </w:rPr>
              <w:t>以顾客为关注焦点</w:t>
            </w:r>
          </w:p>
          <w:p>
            <w:pPr>
              <w:pStyle w:val="2"/>
              <w:rPr>
                <w:rFonts w:hint="eastAsia"/>
                <w:color w:val="000000"/>
                <w:szCs w:val="21"/>
                <w:u w:val="single"/>
                <w:lang w:val="en-US" w:eastAsia="zh-CN"/>
              </w:rPr>
            </w:pPr>
          </w:p>
          <w:p>
            <w:pPr>
              <w:rPr>
                <w:rFonts w:hint="eastAsia"/>
                <w:color w:val="000000"/>
                <w:szCs w:val="21"/>
                <w:lang w:val="en-US" w:eastAsia="zh-CN"/>
              </w:rPr>
            </w:pPr>
            <w:r>
              <w:rPr>
                <w:rFonts w:hint="eastAsia"/>
                <w:color w:val="000000"/>
                <w:szCs w:val="21"/>
                <w:lang w:val="en-US" w:eastAsia="zh-CN"/>
              </w:rPr>
              <w:t>最高管理者应证实其以顾客为关注焦点的领导作用和承诺：</w:t>
            </w:r>
          </w:p>
          <w:p>
            <w:pPr>
              <w:rPr>
                <w:rFonts w:hint="eastAsia"/>
                <w:color w:val="000000"/>
                <w:szCs w:val="21"/>
                <w:lang w:val="en-US" w:eastAsia="zh-CN"/>
              </w:rPr>
            </w:pPr>
            <w:r>
              <w:rPr>
                <w:rFonts w:hint="eastAsia"/>
                <w:color w:val="000000"/>
                <w:szCs w:val="21"/>
                <w:lang w:val="en-US" w:eastAsia="zh-CN"/>
              </w:rPr>
              <w:t xml:space="preserve">a）确定、理解并持续地满足顾客要求以及适用的法律法规要求； </w:t>
            </w:r>
          </w:p>
          <w:p>
            <w:pPr>
              <w:rPr>
                <w:rFonts w:hint="eastAsia"/>
                <w:color w:val="000000"/>
                <w:szCs w:val="21"/>
                <w:lang w:val="en-US" w:eastAsia="zh-CN"/>
              </w:rPr>
            </w:pPr>
            <w:r>
              <w:rPr>
                <w:rFonts w:hint="eastAsia"/>
                <w:color w:val="000000"/>
                <w:szCs w:val="21"/>
                <w:lang w:val="en-US" w:eastAsia="zh-CN"/>
              </w:rPr>
              <w:t xml:space="preserve">b）确定和应对能够影响产品和服务的符合性以及增强顾客满意能力的风险和机遇； </w:t>
            </w:r>
          </w:p>
          <w:p>
            <w:pPr>
              <w:rPr>
                <w:rFonts w:hint="eastAsia"/>
                <w:color w:val="000000"/>
                <w:szCs w:val="21"/>
                <w:lang w:val="en-US" w:eastAsia="zh-CN"/>
              </w:rPr>
            </w:pPr>
            <w:r>
              <w:rPr>
                <w:rFonts w:hint="eastAsia"/>
                <w:color w:val="000000"/>
                <w:szCs w:val="21"/>
                <w:lang w:val="en-US" w:eastAsia="zh-CN"/>
              </w:rPr>
              <w:t xml:space="preserve">c）始终致力于增强顾客满意。 </w:t>
            </w:r>
          </w:p>
          <w:p>
            <w:pPr>
              <w:rPr>
                <w:rFonts w:hint="eastAsia"/>
                <w:color w:val="000000"/>
                <w:szCs w:val="21"/>
                <w:lang w:val="en-US" w:eastAsia="zh-CN"/>
              </w:rPr>
            </w:pPr>
            <w:r>
              <w:rPr>
                <w:rFonts w:hint="eastAsia"/>
                <w:highlight w:val="none"/>
                <w:vertAlign w:val="baseline"/>
                <w:lang w:val="en-US" w:eastAsia="zh-CN"/>
              </w:rPr>
              <w:t>通过的方式——</w:t>
            </w:r>
            <w:r>
              <w:rPr>
                <w:rFonts w:hint="eastAsia"/>
                <w:shd w:val="clear"/>
                <w:lang w:val="en-US" w:eastAsia="zh-CN"/>
              </w:rPr>
              <w:t>以身作则</w:t>
            </w:r>
            <w:r>
              <w:rPr>
                <w:rFonts w:hint="eastAsia"/>
                <w:shd w:val="clear"/>
                <w:vertAlign w:val="baseline"/>
                <w:lang w:val="en-US" w:eastAsia="zh-CN"/>
              </w:rPr>
              <w:t>、建立机制、法规宣传、</w:t>
            </w:r>
            <w:r>
              <w:rPr>
                <w:rFonts w:hint="eastAsia"/>
                <w:shd w:val="clear"/>
                <w:lang w:val="en-US" w:eastAsia="zh-CN"/>
              </w:rPr>
              <w:t>风险机遇的应对</w:t>
            </w:r>
            <w:r>
              <w:rPr>
                <w:rFonts w:hint="eastAsia"/>
                <w:shd w:val="clear"/>
                <w:vertAlign w:val="baseline"/>
                <w:lang w:val="en-US" w:eastAsia="zh-CN"/>
              </w:rPr>
              <w:t>、</w:t>
            </w:r>
            <w:r>
              <w:rPr>
                <w:rFonts w:hint="eastAsia"/>
                <w:shd w:val="clear"/>
                <w:lang w:val="en-US" w:eastAsia="zh-CN"/>
              </w:rPr>
              <w:t>重视顾客反馈</w:t>
            </w:r>
            <w:r>
              <w:rPr>
                <w:rFonts w:hint="eastAsia"/>
                <w:shd w:val="clear"/>
                <w:vertAlign w:val="baseline"/>
                <w:lang w:val="en-US" w:eastAsia="zh-CN"/>
              </w:rPr>
              <w:t>、</w:t>
            </w:r>
            <w:r>
              <w:rPr>
                <w:rFonts w:hint="eastAsia"/>
                <w:shd w:val="clear"/>
                <w:lang w:val="en-US" w:eastAsia="zh-CN"/>
              </w:rPr>
              <w:t xml:space="preserve">目标考核 </w:t>
            </w:r>
            <w:r>
              <w:rPr>
                <w:rFonts w:hint="eastAsia" w:cs="Times New Roman"/>
                <w:lang w:val="en-US" w:eastAsia="zh-CN"/>
              </w:rPr>
              <w:t>等</w:t>
            </w:r>
          </w:p>
          <w:p>
            <w:pPr>
              <w:pStyle w:val="2"/>
              <w:rPr>
                <w:rFonts w:hint="eastAsia"/>
                <w:color w:val="000000"/>
                <w:szCs w:val="21"/>
                <w:u w:val="single"/>
                <w:lang w:val="en-US" w:eastAsia="zh-CN"/>
              </w:rPr>
            </w:pPr>
          </w:p>
        </w:tc>
        <w:tc>
          <w:tcPr>
            <w:tcW w:w="1585" w:type="dxa"/>
          </w:tcPr>
          <w:p>
            <w:pPr>
              <w:rPr>
                <w:rFonts w:hint="eastAsia"/>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 </w:t>
            </w:r>
            <w:r>
              <w:rPr>
                <w:rFonts w:hint="eastAsia"/>
                <w:lang w:val="en-US" w:eastAsia="zh-CN"/>
              </w:rPr>
              <w:t>符合</w:t>
            </w:r>
          </w:p>
          <w:p>
            <w:r>
              <w:rPr>
                <w:rFonts w:hint="eastAsia"/>
                <w:lang w:eastAsia="zh-CN"/>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rPr>
            </w:pPr>
            <w:r>
              <w:rPr>
                <w:rFonts w:hint="eastAsia"/>
              </w:rPr>
              <w:t>方针</w:t>
            </w:r>
          </w:p>
        </w:tc>
        <w:tc>
          <w:tcPr>
            <w:tcW w:w="960" w:type="dxa"/>
            <w:vAlign w:val="top"/>
          </w:tcPr>
          <w:p>
            <w:pPr>
              <w:rPr>
                <w:rFonts w:hint="eastAsia"/>
                <w:lang w:val="en-US" w:eastAsia="zh-CN"/>
              </w:rPr>
            </w:pPr>
            <w:r>
              <w:rPr>
                <w:rFonts w:hint="eastAsia"/>
                <w:lang w:val="en-US" w:eastAsia="zh-CN"/>
              </w:rPr>
              <w:t>QEO</w:t>
            </w:r>
          </w:p>
          <w:p>
            <w:pPr>
              <w:rPr>
                <w:rFonts w:hint="eastAsia"/>
              </w:rPr>
            </w:pPr>
            <w:r>
              <w:rPr>
                <w:rFonts w:hint="eastAsia"/>
              </w:rPr>
              <w:t>5.2</w:t>
            </w:r>
          </w:p>
        </w:tc>
        <w:tc>
          <w:tcPr>
            <w:tcW w:w="10004" w:type="dxa"/>
          </w:tcPr>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color w:val="000000"/>
                <w:szCs w:val="21"/>
                <w:lang w:val="en-US" w:eastAsia="zh-CN"/>
              </w:rPr>
              <w:t xml:space="preserve"> 文件：</w:t>
            </w:r>
            <w:r>
              <w:rPr>
                <w:rFonts w:hint="eastAsia"/>
                <w:lang w:val="en-US" w:eastAsia="zh-CN"/>
              </w:rPr>
              <w:t>管理手册第5.2章、</w:t>
            </w:r>
            <w:r>
              <w:rPr>
                <w:rFonts w:hint="eastAsia"/>
                <w:color w:val="000000"/>
                <w:szCs w:val="21"/>
                <w:lang w:val="en-US" w:eastAsia="zh-CN"/>
              </w:rPr>
              <w:sym w:font="Wingdings" w:char="00FE"/>
            </w:r>
            <w:r>
              <w:rPr>
                <w:rFonts w:hint="eastAsia"/>
                <w:lang w:val="en-US" w:eastAsia="zh-CN"/>
              </w:rPr>
              <w:t>0.2管理方针</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rPr>
              <w:t>最高管理者制定</w:t>
            </w:r>
            <w:r>
              <w:rPr>
                <w:rFonts w:hint="eastAsia"/>
                <w:vertAlign w:val="baseline"/>
                <w:lang w:val="en-US" w:eastAsia="zh-CN"/>
              </w:rPr>
              <w:t>了文件化的管理体系</w:t>
            </w:r>
            <w:r>
              <w:rPr>
                <w:rFonts w:hint="eastAsia"/>
                <w:vertAlign w:val="baseline"/>
              </w:rPr>
              <w:t>方针</w:t>
            </w:r>
            <w:r>
              <w:rPr>
                <w:rFonts w:hint="eastAsia"/>
                <w:vertAlign w:val="baseline"/>
                <w:lang w:eastAsia="zh-CN"/>
              </w:rPr>
              <w:t>：</w:t>
            </w:r>
          </w:p>
          <w:p>
            <w:pPr>
              <w:spacing w:line="400" w:lineRule="exact"/>
              <w:jc w:val="center"/>
              <w:rPr>
                <w:rFonts w:hint="eastAsia" w:ascii="宋体" w:hAnsi="宋体"/>
                <w:sz w:val="24"/>
              </w:rPr>
            </w:pPr>
            <w:r>
              <w:rPr>
                <w:rFonts w:hint="eastAsia" w:ascii="宋体" w:hAnsi="宋体"/>
                <w:sz w:val="24"/>
                <w:lang w:val="en-US" w:eastAsia="zh-CN"/>
              </w:rPr>
              <w:t>诚信服务顾客满意</w:t>
            </w:r>
            <w:r>
              <w:rPr>
                <w:rFonts w:hint="eastAsia" w:ascii="宋体" w:hAnsi="宋体"/>
                <w:sz w:val="24"/>
              </w:rPr>
              <w:t>，预防污染保护环境；</w:t>
            </w:r>
          </w:p>
          <w:p>
            <w:pPr>
              <w:spacing w:line="400" w:lineRule="exact"/>
              <w:jc w:val="center"/>
              <w:rPr>
                <w:rFonts w:hint="eastAsia" w:ascii="宋体" w:hAnsi="宋体"/>
                <w:sz w:val="24"/>
              </w:rPr>
            </w:pPr>
            <w:r>
              <w:rPr>
                <w:rFonts w:hint="eastAsia" w:ascii="宋体" w:hAnsi="宋体"/>
                <w:sz w:val="24"/>
              </w:rPr>
              <w:t>关爱员工健康安全，持续改进追求卓越。</w:t>
            </w:r>
          </w:p>
          <w:p>
            <w:pPr>
              <w:jc w:val="center"/>
              <w:rPr>
                <w:rFonts w:ascii="宋体" w:hAnsi="宋体" w:cs="宋体"/>
                <w:b/>
                <w:bCs/>
                <w:sz w:val="24"/>
              </w:rPr>
            </w:pPr>
          </w:p>
          <w:p>
            <w:pPr>
              <w:rPr>
                <w:rFonts w:hint="eastAsia"/>
                <w:vertAlign w:val="baseline"/>
                <w:lang w:val="en-US" w:eastAsia="zh-CN"/>
              </w:rPr>
            </w:pPr>
            <w:r>
              <w:rPr>
                <w:rFonts w:hint="eastAsia"/>
                <w:color w:val="000000"/>
                <w:szCs w:val="21"/>
                <w:lang w:val="en-US" w:eastAsia="zh-CN"/>
              </w:rPr>
              <w:sym w:font="Wingdings" w:char="00FE"/>
            </w:r>
            <w:r>
              <w:rPr>
                <w:rFonts w:hint="eastAsia"/>
                <w:vertAlign w:val="baseline"/>
                <w:lang w:val="en-US" w:eastAsia="zh-CN"/>
              </w:rPr>
              <w:t>适应组织的宗旨和环境并支持其战略方向</w:t>
            </w:r>
          </w:p>
          <w:p>
            <w:pPr>
              <w:rPr>
                <w:rFonts w:hint="eastAsia"/>
                <w:vertAlign w:val="baseline"/>
                <w:lang w:val="en-GB" w:eastAsia="zh-CN"/>
              </w:rPr>
            </w:pPr>
            <w:r>
              <w:rPr>
                <w:rFonts w:hint="eastAsia"/>
                <w:color w:val="000000"/>
                <w:szCs w:val="21"/>
                <w:lang w:val="en-US" w:eastAsia="zh-CN"/>
              </w:rPr>
              <w:sym w:font="Wingdings" w:char="00FE"/>
            </w:r>
            <w:r>
              <w:rPr>
                <w:rFonts w:hint="eastAsia"/>
                <w:color w:val="000000"/>
                <w:szCs w:val="21"/>
                <w:lang w:val="en-US" w:eastAsia="zh-CN"/>
              </w:rPr>
              <w:t>管理</w:t>
            </w:r>
            <w:r>
              <w:rPr>
                <w:rFonts w:hint="eastAsia"/>
                <w:vertAlign w:val="baseline"/>
                <w:lang w:val="en-GB" w:eastAsia="zh-CN"/>
              </w:rPr>
              <w:t>方针合理恰当并为相应的</w:t>
            </w:r>
            <w:r>
              <w:rPr>
                <w:rFonts w:hint="eastAsia"/>
                <w:vertAlign w:val="baseline"/>
                <w:lang w:val="en-US" w:eastAsia="zh-CN"/>
              </w:rPr>
              <w:t>管理</w:t>
            </w:r>
            <w:r>
              <w:rPr>
                <w:rFonts w:hint="eastAsia"/>
                <w:vertAlign w:val="baseline"/>
                <w:lang w:val="en-GB" w:eastAsia="zh-CN"/>
              </w:rPr>
              <w:t>目标提供了框架。</w:t>
            </w:r>
          </w:p>
          <w:p>
            <w:pPr>
              <w:rPr>
                <w:rFonts w:hint="eastAsia"/>
                <w:vertAlign w:val="baseline"/>
                <w:lang w:val="en-US" w:eastAsia="zh-CN"/>
              </w:rPr>
            </w:pPr>
            <w:r>
              <w:rPr>
                <w:rFonts w:hint="eastAsia"/>
                <w:color w:val="000000"/>
                <w:szCs w:val="21"/>
                <w:lang w:val="en-US" w:eastAsia="zh-CN"/>
              </w:rPr>
              <w:sym w:font="Wingdings" w:char="00FE"/>
            </w:r>
            <w:r>
              <w:rPr>
                <w:rFonts w:hint="eastAsia"/>
                <w:vertAlign w:val="baseline"/>
                <w:lang w:val="en-US" w:eastAsia="zh-CN"/>
              </w:rPr>
              <w:t xml:space="preserve">包括满足适用要求的承诺； </w:t>
            </w:r>
          </w:p>
          <w:p>
            <w:pPr>
              <w:rPr>
                <w:rFonts w:hint="eastAsia"/>
                <w:vertAlign w:val="baseline"/>
                <w:lang w:val="en-US" w:eastAsia="zh-CN"/>
              </w:rPr>
            </w:pPr>
            <w:r>
              <w:rPr>
                <w:rFonts w:hint="eastAsia"/>
                <w:color w:val="000000"/>
                <w:szCs w:val="21"/>
                <w:lang w:val="en-US" w:eastAsia="zh-CN"/>
              </w:rPr>
              <w:sym w:font="Wingdings" w:char="00FE"/>
            </w:r>
            <w:r>
              <w:rPr>
                <w:rFonts w:hint="eastAsia"/>
                <w:vertAlign w:val="baseline"/>
                <w:lang w:val="en-US" w:eastAsia="zh-CN"/>
              </w:rPr>
              <w:t>包括持续改进管理体系以提升绩效的承诺</w:t>
            </w:r>
          </w:p>
          <w:p>
            <w:pPr>
              <w:rPr>
                <w:rFonts w:hint="eastAsia"/>
                <w:vertAlign w:val="baseline"/>
                <w:lang w:val="en-US" w:eastAsia="zh-CN"/>
              </w:rPr>
            </w:pPr>
            <w:r>
              <w:rPr>
                <w:rFonts w:hint="eastAsia"/>
                <w:shd w:val="clear"/>
                <w:lang w:eastAsia="zh-CN"/>
              </w:rPr>
              <w:t>☑</w:t>
            </w:r>
            <w:r>
              <w:rPr>
                <w:color w:val="000000"/>
                <w:spacing w:val="0"/>
                <w:w w:val="100"/>
                <w:position w:val="0"/>
              </w:rPr>
              <w:t>适合于组织的宗旨和所处的环境</w:t>
            </w:r>
            <w:r>
              <w:rPr>
                <w:color w:val="000000"/>
                <w:spacing w:val="0"/>
                <w:w w:val="100"/>
                <w:position w:val="0"/>
                <w:lang w:val="zh-CN" w:eastAsia="zh-CN" w:bidi="zh-CN"/>
              </w:rPr>
              <w:t>.包括</w:t>
            </w:r>
            <w:r>
              <w:rPr>
                <w:color w:val="000000"/>
                <w:spacing w:val="0"/>
                <w:w w:val="100"/>
                <w:position w:val="0"/>
              </w:rPr>
              <w:t>其活动、产品和服务的性质、规模和环境影响</w:t>
            </w:r>
          </w:p>
          <w:p>
            <w:pPr>
              <w:rPr>
                <w:rFonts w:hint="eastAsia"/>
                <w:vertAlign w:val="baseline"/>
                <w:lang w:val="en-US" w:eastAsia="zh-CN"/>
              </w:rPr>
            </w:pPr>
            <w:r>
              <w:rPr>
                <w:rFonts w:hint="eastAsia"/>
                <w:shd w:val="clear"/>
                <w:lang w:eastAsia="zh-CN"/>
              </w:rPr>
              <w:t>☑</w:t>
            </w:r>
            <w:r>
              <w:rPr>
                <w:color w:val="000000"/>
                <w:spacing w:val="0"/>
                <w:w w:val="100"/>
                <w:position w:val="0"/>
              </w:rPr>
              <w:t>包括保护环境的承诺，其中包含污染预防及其他与组织所处环境有关的特定承诺</w:t>
            </w:r>
            <w:r>
              <w:rPr>
                <w:rFonts w:hint="eastAsia"/>
                <w:vertAlign w:val="baseline"/>
                <w:lang w:val="en-US" w:eastAsia="zh-CN"/>
              </w:rPr>
              <w:t xml:space="preserve">； </w:t>
            </w:r>
          </w:p>
          <w:p>
            <w:pPr>
              <w:rPr>
                <w:rFonts w:hint="eastAsia"/>
                <w:lang w:val="en-GB" w:eastAsia="zh-CN"/>
              </w:rPr>
            </w:pPr>
            <w:r>
              <w:rPr>
                <w:rFonts w:hint="eastAsia"/>
                <w:shd w:val="clear"/>
                <w:lang w:eastAsia="zh-CN"/>
              </w:rPr>
              <w:t>☑</w:t>
            </w:r>
            <w:r>
              <w:rPr>
                <w:color w:val="000000"/>
                <w:spacing w:val="0"/>
                <w:w w:val="100"/>
                <w:position w:val="0"/>
              </w:rPr>
              <w:t>包括履行其合规义务的承诺</w:t>
            </w:r>
          </w:p>
          <w:p>
            <w:r>
              <w:rPr>
                <w:rFonts w:hint="eastAsia"/>
              </w:rPr>
              <w:t>☑包括为防止与工作相关的伤害和健康损害而提供安全和健康的工作条件的承诺，并适合于组织的宗旨和规模、组织所处的环境，以及组织</w:t>
            </w:r>
            <w:r>
              <w:t>的</w:t>
            </w:r>
            <w:r>
              <w:rPr>
                <w:rFonts w:hint="eastAsia"/>
              </w:rPr>
              <w:t>职业健康安全风险和职业健康安全机遇的特性</w:t>
            </w:r>
          </w:p>
          <w:p>
            <w:r>
              <w:rPr>
                <w:rFonts w:hint="eastAsia"/>
              </w:rPr>
              <w:t>☑包括满足法律法规要求和其他要求的承诺</w:t>
            </w:r>
          </w:p>
          <w:p>
            <w:pPr>
              <w:rPr>
                <w:color w:val="000000"/>
              </w:rPr>
            </w:pPr>
            <w:r>
              <w:rPr>
                <w:rFonts w:hint="eastAsia"/>
              </w:rPr>
              <w:t>☑包括消除危险源和降低职业健康安全风险的承诺</w:t>
            </w:r>
          </w:p>
          <w:p>
            <w:pPr>
              <w:rPr>
                <w:rFonts w:hint="eastAsia"/>
                <w:shd w:val="clear"/>
                <w:lang w:eastAsia="zh-CN"/>
              </w:rPr>
            </w:pPr>
            <w:r>
              <w:rPr>
                <w:rFonts w:hint="eastAsia"/>
              </w:rPr>
              <w:t>☑包括工作人员及其代表（若有）的协商和参与的承诺</w:t>
            </w:r>
          </w:p>
          <w:p>
            <w:pPr>
              <w:rPr>
                <w:rFonts w:hint="default"/>
                <w:vertAlign w:val="baseline"/>
                <w:lang w:val="en-US" w:eastAsia="zh-CN"/>
              </w:rPr>
            </w:pPr>
            <w:r>
              <w:rPr>
                <w:rFonts w:hint="eastAsia"/>
                <w:color w:val="000000"/>
                <w:szCs w:val="21"/>
                <w:lang w:val="en-US" w:eastAsia="zh-CN"/>
              </w:rPr>
              <w:sym w:font="Wingdings" w:char="00FE"/>
            </w:r>
            <w:r>
              <w:rPr>
                <w:rFonts w:hint="eastAsia"/>
                <w:vertAlign w:val="baseline"/>
                <w:lang w:val="en-US" w:eastAsia="zh-CN"/>
              </w:rPr>
              <w:t>在组织内得到沟通、理解和应用，通过：</w:t>
            </w:r>
            <w:r>
              <w:rPr>
                <w:rFonts w:hint="eastAsia"/>
                <w:lang w:val="en-US" w:eastAsia="zh-CN"/>
              </w:rPr>
              <w:sym w:font="Wingdings" w:char="00A8"/>
            </w:r>
            <w:r>
              <w:rPr>
                <w:rFonts w:hint="eastAsia"/>
                <w:vertAlign w:val="baseline"/>
                <w:lang w:val="en-US" w:eastAsia="zh-CN"/>
              </w:rPr>
              <w:t>展板</w:t>
            </w:r>
            <w:r>
              <w:rPr>
                <w:rFonts w:hint="eastAsia"/>
                <w:lang w:val="en-US" w:eastAsia="zh-CN"/>
              </w:rPr>
              <w:t xml:space="preserve">  </w:t>
            </w:r>
            <w:r>
              <w:rPr>
                <w:rFonts w:hint="eastAsia"/>
                <w:lang w:val="en-US" w:eastAsia="zh-CN"/>
              </w:rPr>
              <w:sym w:font="Wingdings" w:char="00A8"/>
            </w:r>
            <w:r>
              <w:rPr>
                <w:rFonts w:hint="eastAsia"/>
                <w:vertAlign w:val="baseline"/>
                <w:lang w:val="en-US" w:eastAsia="zh-CN"/>
              </w:rPr>
              <w:t>标语</w:t>
            </w:r>
            <w:r>
              <w:rPr>
                <w:rFonts w:hint="eastAsia"/>
                <w:lang w:val="en-US" w:eastAsia="zh-CN"/>
              </w:rPr>
              <w:t xml:space="preserve">  </w:t>
            </w:r>
            <w:r>
              <w:rPr>
                <w:rFonts w:hint="eastAsia"/>
                <w:lang w:val="en-US" w:eastAsia="zh-CN"/>
              </w:rPr>
              <w:sym w:font="Wingdings" w:char="00FE"/>
            </w:r>
            <w:r>
              <w:rPr>
                <w:rFonts w:hint="eastAsia"/>
                <w:lang w:val="en-US" w:eastAsia="zh-CN"/>
              </w:rPr>
              <w:t xml:space="preserve">会议  </w:t>
            </w:r>
            <w:r>
              <w:rPr>
                <w:rFonts w:hint="eastAsia"/>
                <w:lang w:val="en-US" w:eastAsia="zh-CN"/>
              </w:rPr>
              <w:sym w:font="Wingdings" w:char="00FE"/>
            </w:r>
            <w:r>
              <w:rPr>
                <w:rFonts w:hint="eastAsia"/>
                <w:lang w:val="en-US" w:eastAsia="zh-CN"/>
              </w:rPr>
              <w:t xml:space="preserve">文件发放 </w:t>
            </w:r>
            <w:r>
              <w:rPr>
                <w:rFonts w:hint="eastAsia"/>
                <w:lang w:val="en-US" w:eastAsia="zh-CN"/>
              </w:rPr>
              <w:sym w:font="Wingdings" w:char="00FE"/>
            </w:r>
            <w:r>
              <w:rPr>
                <w:rFonts w:hint="eastAsia"/>
                <w:lang w:val="en-US" w:eastAsia="zh-CN"/>
              </w:rPr>
              <w:t>其他---网络等</w:t>
            </w:r>
            <w:r>
              <w:rPr>
                <w:rFonts w:hint="eastAsia"/>
                <w:vertAlign w:val="baseline"/>
                <w:lang w:val="en-US" w:eastAsia="zh-CN"/>
              </w:rPr>
              <w:t xml:space="preserve"> </w:t>
            </w:r>
          </w:p>
          <w:p>
            <w:pPr>
              <w:rPr>
                <w:rFonts w:hint="default"/>
                <w:vertAlign w:val="baseline"/>
                <w:lang w:val="en-US" w:eastAsia="zh-CN"/>
              </w:rPr>
            </w:pPr>
            <w:r>
              <w:rPr>
                <w:rFonts w:hint="eastAsia"/>
                <w:color w:val="000000"/>
                <w:szCs w:val="21"/>
                <w:lang w:val="en-US" w:eastAsia="zh-CN"/>
              </w:rPr>
              <w:sym w:font="Wingdings" w:char="00FE"/>
            </w:r>
            <w:r>
              <w:rPr>
                <w:rFonts w:hint="eastAsia"/>
                <w:vertAlign w:val="baseline"/>
                <w:lang w:val="en-US" w:eastAsia="zh-CN"/>
              </w:rPr>
              <w:t>在相关方有需要时提供。通过：</w:t>
            </w:r>
            <w:r>
              <w:rPr>
                <w:rFonts w:hint="eastAsia"/>
                <w:lang w:val="en-US" w:eastAsia="zh-CN"/>
              </w:rPr>
              <w:sym w:font="Wingdings" w:char="00A8"/>
            </w:r>
            <w:r>
              <w:rPr>
                <w:rFonts w:hint="eastAsia"/>
                <w:lang w:val="en-US" w:eastAsia="zh-CN"/>
              </w:rPr>
              <w:t xml:space="preserve">网站 </w:t>
            </w:r>
            <w:r>
              <w:rPr>
                <w:rFonts w:hint="eastAsia"/>
                <w:lang w:val="en-US" w:eastAsia="zh-CN"/>
              </w:rPr>
              <w:sym w:font="Wingdings" w:char="00A8"/>
            </w:r>
            <w:r>
              <w:rPr>
                <w:rFonts w:hint="eastAsia"/>
                <w:lang w:val="en-US" w:eastAsia="zh-CN"/>
              </w:rPr>
              <w:t xml:space="preserve">宣传册 </w:t>
            </w:r>
            <w:r>
              <w:rPr>
                <w:rFonts w:hint="eastAsia"/>
                <w:lang w:val="en-US" w:eastAsia="zh-CN"/>
              </w:rPr>
              <w:sym w:font="Wingdings" w:char="00FE"/>
            </w:r>
            <w:r>
              <w:rPr>
                <w:rFonts w:hint="eastAsia"/>
                <w:lang w:val="en-US" w:eastAsia="zh-CN"/>
              </w:rPr>
              <w:t>其他——招、投标书等</w:t>
            </w:r>
          </w:p>
          <w:p>
            <w:pPr>
              <w:pStyle w:val="2"/>
              <w:rPr>
                <w:rFonts w:hint="eastAsia"/>
                <w:lang w:val="en-US" w:eastAsia="zh-CN"/>
              </w:rPr>
            </w:pPr>
          </w:p>
        </w:tc>
        <w:tc>
          <w:tcPr>
            <w:tcW w:w="1585" w:type="dxa"/>
          </w:tcPr>
          <w:p>
            <w:pPr>
              <w:rPr>
                <w:rFonts w:hint="eastAsia"/>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 </w:t>
            </w:r>
            <w:r>
              <w:rPr>
                <w:rFonts w:hint="eastAsia"/>
                <w:lang w:val="en-US" w:eastAsia="zh-CN"/>
              </w:rPr>
              <w:t>符合</w:t>
            </w:r>
          </w:p>
          <w:p>
            <w:r>
              <w:rPr>
                <w:rFonts w:hint="eastAsia"/>
                <w:lang w:eastAsia="zh-CN"/>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rPr>
            </w:pPr>
            <w:r>
              <w:rPr>
                <w:rFonts w:hint="eastAsia"/>
              </w:rPr>
              <w:t>组织的岗位、职责和权限</w:t>
            </w:r>
          </w:p>
          <w:p>
            <w:pPr>
              <w:rPr>
                <w:rFonts w:hint="eastAsia"/>
              </w:rPr>
            </w:pPr>
          </w:p>
        </w:tc>
        <w:tc>
          <w:tcPr>
            <w:tcW w:w="960" w:type="dxa"/>
            <w:vAlign w:val="top"/>
          </w:tcPr>
          <w:p>
            <w:pPr>
              <w:rPr>
                <w:rFonts w:hint="eastAsia"/>
                <w:lang w:val="en-US" w:eastAsia="zh-CN"/>
              </w:rPr>
            </w:pPr>
            <w:r>
              <w:rPr>
                <w:rFonts w:hint="eastAsia"/>
                <w:lang w:val="en-US" w:eastAsia="zh-CN"/>
              </w:rPr>
              <w:t>QEO</w:t>
            </w:r>
          </w:p>
          <w:p>
            <w:pPr>
              <w:rPr>
                <w:rFonts w:hint="eastAsia"/>
              </w:rPr>
            </w:pPr>
            <w:r>
              <w:rPr>
                <w:rFonts w:hint="eastAsia"/>
              </w:rPr>
              <w:t>5.3</w:t>
            </w:r>
          </w:p>
        </w:tc>
        <w:tc>
          <w:tcPr>
            <w:tcW w:w="10004" w:type="dxa"/>
          </w:tcPr>
          <w:p>
            <w:pPr>
              <w:rPr>
                <w:rFonts w:hint="default"/>
                <w:lang w:val="en-US" w:eastAsia="zh-CN"/>
              </w:rPr>
            </w:pPr>
            <w:r>
              <w:rPr>
                <w:rFonts w:hint="eastAsia"/>
                <w:lang w:val="en-US" w:eastAsia="zh-CN"/>
              </w:rPr>
              <w:t>文件：管理手册第5.3章；管理手册附录11.6职责和权限；适宜。</w:t>
            </w:r>
          </w:p>
          <w:p>
            <w:pPr>
              <w:numPr>
                <w:ilvl w:val="0"/>
                <w:numId w:val="2"/>
              </w:numPr>
              <w:spacing w:line="360" w:lineRule="auto"/>
              <w:ind w:left="420" w:leftChars="0" w:hanging="420" w:firstLineChars="0"/>
              <w:rPr>
                <w:rFonts w:hint="eastAsia" w:ascii="宋体" w:hAnsi="宋体"/>
                <w:color w:val="000000"/>
                <w:szCs w:val="21"/>
              </w:rPr>
            </w:pPr>
            <w:r>
              <w:rPr>
                <w:rFonts w:hint="eastAsia"/>
              </w:rPr>
              <w:t>最高管理者确</w:t>
            </w:r>
            <w:r>
              <w:rPr>
                <w:rFonts w:hint="eastAsia"/>
                <w:lang w:val="en-US" w:eastAsia="zh-CN"/>
              </w:rPr>
              <w:t>定了</w:t>
            </w:r>
            <w:r>
              <w:rPr>
                <w:rFonts w:hint="eastAsia"/>
              </w:rPr>
              <w:t>组织</w:t>
            </w:r>
            <w:r>
              <w:rPr>
                <w:rFonts w:hint="eastAsia"/>
                <w:lang w:val="en-US" w:eastAsia="zh-CN"/>
              </w:rPr>
              <w:t>架构：</w:t>
            </w:r>
            <w:r>
              <w:rPr>
                <w:rFonts w:hint="eastAsia" w:ascii="宋体" w:hAnsi="宋体"/>
                <w:color w:val="auto"/>
                <w:kern w:val="2"/>
                <w:sz w:val="21"/>
                <w:szCs w:val="22"/>
                <w:lang w:val="en-US" w:eastAsia="zh-CN" w:bidi="ar-SA"/>
              </w:rPr>
              <w:t>管理层、综合办公室、市场</w:t>
            </w:r>
            <w:r>
              <w:rPr>
                <w:rFonts w:hint="eastAsia" w:ascii="宋体" w:hAnsi="宋体" w:eastAsia="宋体" w:cs="Times New Roman"/>
                <w:color w:val="auto"/>
                <w:kern w:val="2"/>
                <w:sz w:val="21"/>
                <w:szCs w:val="22"/>
                <w:lang w:val="en-US" w:eastAsia="zh-CN" w:bidi="ar-SA"/>
              </w:rPr>
              <w:t>部、</w:t>
            </w:r>
            <w:r>
              <w:rPr>
                <w:rFonts w:hint="eastAsia" w:ascii="宋体" w:hAnsi="宋体" w:cs="Times New Roman"/>
                <w:color w:val="auto"/>
                <w:kern w:val="2"/>
                <w:sz w:val="21"/>
                <w:szCs w:val="22"/>
                <w:lang w:val="en-US" w:eastAsia="zh-CN" w:bidi="ar-SA"/>
              </w:rPr>
              <w:t>采购部、技术研发</w:t>
            </w:r>
            <w:r>
              <w:rPr>
                <w:rFonts w:hint="eastAsia" w:ascii="宋体" w:hAnsi="宋体" w:eastAsia="宋体" w:cs="Times New Roman"/>
                <w:color w:val="auto"/>
                <w:kern w:val="2"/>
                <w:sz w:val="21"/>
                <w:szCs w:val="22"/>
                <w:lang w:val="en-US" w:eastAsia="zh-CN" w:bidi="ar-SA"/>
              </w:rPr>
              <w:t>部、</w:t>
            </w:r>
            <w:r>
              <w:rPr>
                <w:rFonts w:hint="eastAsia" w:ascii="宋体" w:hAnsi="宋体" w:cs="Times New Roman"/>
                <w:color w:val="auto"/>
                <w:kern w:val="2"/>
                <w:sz w:val="21"/>
                <w:szCs w:val="22"/>
                <w:lang w:val="en-US" w:eastAsia="zh-CN" w:bidi="ar-SA"/>
              </w:rPr>
              <w:t>财务</w:t>
            </w:r>
            <w:r>
              <w:rPr>
                <w:rFonts w:hint="eastAsia" w:ascii="宋体" w:hAnsi="宋体"/>
                <w:color w:val="auto"/>
                <w:kern w:val="2"/>
                <w:sz w:val="21"/>
                <w:szCs w:val="22"/>
                <w:lang w:val="en-US" w:eastAsia="zh-CN" w:bidi="ar-SA"/>
              </w:rPr>
              <w:t>部。</w:t>
            </w:r>
            <w:r>
              <w:rPr>
                <w:rFonts w:hint="eastAsia"/>
                <w:lang w:val="en-US" w:eastAsia="zh-CN"/>
              </w:rPr>
              <w:t>确定了各部门、管代以及</w:t>
            </w:r>
            <w:r>
              <w:rPr>
                <w:rFonts w:hint="eastAsia"/>
              </w:rPr>
              <w:t>相关岗位的职责、权限</w:t>
            </w:r>
            <w:r>
              <w:rPr>
                <w:rFonts w:hint="eastAsia"/>
                <w:lang w:eastAsia="zh-CN"/>
              </w:rPr>
              <w:t>，</w:t>
            </w:r>
            <w:r>
              <w:rPr>
                <w:rFonts w:hint="eastAsia"/>
                <w:lang w:val="en-US" w:eastAsia="zh-CN"/>
              </w:rPr>
              <w:t>并进行了全员的</w:t>
            </w:r>
            <w:r>
              <w:rPr>
                <w:rFonts w:hint="eastAsia"/>
              </w:rPr>
              <w:t>沟通和理解</w:t>
            </w:r>
            <w:r>
              <w:rPr>
                <w:rFonts w:hint="eastAsia"/>
                <w:lang w:eastAsia="zh-CN"/>
              </w:rPr>
              <w:t>；</w:t>
            </w:r>
            <w:r>
              <w:rPr>
                <w:rFonts w:hint="eastAsia" w:ascii="宋体" w:hAnsi="宋体"/>
                <w:color w:val="000000"/>
                <w:szCs w:val="21"/>
              </w:rPr>
              <w:t>管理手册中明确了各部门职责，并能在公司范围内得到有效的沟通和理解。</w:t>
            </w:r>
          </w:p>
          <w:p>
            <w:pPr>
              <w:numPr>
                <w:ilvl w:val="0"/>
                <w:numId w:val="2"/>
              </w:numPr>
              <w:spacing w:line="360" w:lineRule="auto"/>
              <w:ind w:left="420" w:leftChars="0" w:right="-55" w:rightChars="-26" w:hanging="420" w:firstLineChars="0"/>
              <w:rPr>
                <w:rFonts w:hint="eastAsia" w:ascii="宋体" w:hAnsi="宋体" w:eastAsia="宋体"/>
                <w:color w:val="000000"/>
                <w:szCs w:val="21"/>
                <w:lang w:val="en-US" w:eastAsia="zh-CN"/>
              </w:rPr>
            </w:pPr>
            <w:r>
              <w:rPr>
                <w:rFonts w:hint="eastAsia" w:ascii="宋体" w:hAnsi="宋体"/>
                <w:color w:val="000000"/>
                <w:szCs w:val="21"/>
              </w:rPr>
              <w:t>查见《任命书》，任命</w:t>
            </w:r>
            <w:r>
              <w:rPr>
                <w:rFonts w:hint="eastAsia" w:ascii="宋体" w:hAnsi="宋体"/>
                <w:color w:val="000000"/>
                <w:szCs w:val="21"/>
                <w:lang w:val="en-US" w:eastAsia="zh-CN"/>
              </w:rPr>
              <w:t>张海龙</w:t>
            </w:r>
            <w:r>
              <w:rPr>
                <w:rFonts w:hint="eastAsia" w:ascii="宋体" w:hAnsi="宋体"/>
                <w:color w:val="000000"/>
                <w:szCs w:val="21"/>
              </w:rPr>
              <w:t>为公司管理者代表，并明确职责</w:t>
            </w:r>
            <w:r>
              <w:rPr>
                <w:rFonts w:hint="eastAsia" w:ascii="宋体" w:hAnsi="宋体"/>
                <w:color w:val="000000"/>
                <w:szCs w:val="21"/>
                <w:lang w:val="en-US" w:eastAsia="zh-CN"/>
              </w:rPr>
              <w:t>和权限。</w:t>
            </w:r>
          </w:p>
          <w:p>
            <w:pPr>
              <w:numPr>
                <w:ilvl w:val="0"/>
                <w:numId w:val="2"/>
              </w:numPr>
              <w:spacing w:line="360" w:lineRule="auto"/>
              <w:ind w:left="420" w:leftChars="0" w:right="-55" w:rightChars="-26" w:hanging="420" w:firstLineChars="0"/>
              <w:rPr>
                <w:rFonts w:hint="default" w:ascii="宋体" w:hAnsi="宋体" w:eastAsia="宋体"/>
                <w:color w:val="000000"/>
                <w:szCs w:val="21"/>
                <w:lang w:val="en-US" w:eastAsia="zh-CN"/>
              </w:rPr>
            </w:pPr>
            <w:r>
              <w:rPr>
                <w:rFonts w:hint="eastAsia" w:ascii="宋体" w:hAnsi="宋体"/>
                <w:color w:val="000000"/>
                <w:szCs w:val="21"/>
              </w:rPr>
              <w:t>查见</w:t>
            </w:r>
            <w:r>
              <w:rPr>
                <w:rFonts w:hint="eastAsia" w:ascii="宋体" w:hAnsi="宋体"/>
                <w:color w:val="000000"/>
                <w:szCs w:val="21"/>
                <w:lang w:val="en-US" w:eastAsia="zh-CN"/>
              </w:rPr>
              <w:t>公司员工推荐选举马力斌</w:t>
            </w:r>
            <w:r>
              <w:rPr>
                <w:rFonts w:hint="eastAsia" w:ascii="宋体" w:hAnsi="宋体"/>
                <w:color w:val="000000"/>
                <w:szCs w:val="21"/>
                <w:lang w:eastAsia="zh-CN"/>
              </w:rPr>
              <w:t>为公司职业健康安全代表</w:t>
            </w:r>
            <w:r>
              <w:rPr>
                <w:rFonts w:hint="eastAsia" w:ascii="宋体" w:hAnsi="宋体"/>
                <w:color w:val="000000"/>
                <w:szCs w:val="21"/>
              </w:rPr>
              <w:t>，并明确职责</w:t>
            </w:r>
            <w:r>
              <w:rPr>
                <w:rFonts w:hint="eastAsia" w:ascii="宋体" w:hAnsi="宋体"/>
                <w:color w:val="000000"/>
                <w:szCs w:val="21"/>
                <w:lang w:val="en-US" w:eastAsia="zh-CN"/>
              </w:rPr>
              <w:t>和权限。</w:t>
            </w:r>
          </w:p>
          <w:p>
            <w:pPr>
              <w:numPr>
                <w:ilvl w:val="0"/>
                <w:numId w:val="2"/>
              </w:numPr>
              <w:spacing w:line="360" w:lineRule="auto"/>
              <w:ind w:left="420" w:leftChars="0" w:right="57" w:hanging="420" w:firstLineChars="0"/>
              <w:rPr>
                <w:rFonts w:hint="eastAsia" w:ascii="Tahoma" w:hAnsi="Tahoma" w:cs="Tahoma"/>
                <w:kern w:val="2"/>
                <w:sz w:val="21"/>
                <w:lang w:val="en-US" w:eastAsia="zh-CN" w:bidi="ar-SA"/>
              </w:rPr>
            </w:pPr>
            <w:r>
              <w:rPr>
                <w:rFonts w:hint="eastAsia" w:ascii="宋体" w:hAnsi="宋体"/>
                <w:color w:val="000000"/>
                <w:szCs w:val="21"/>
              </w:rPr>
              <w:t>公司有例会制，各部门汇报交流工作进度,提出问题，及时解决。</w:t>
            </w:r>
          </w:p>
          <w:p>
            <w:pPr>
              <w:pStyle w:val="2"/>
              <w:rPr>
                <w:rFonts w:hint="eastAsia"/>
                <w:lang w:val="en-US" w:eastAsia="zh-CN"/>
              </w:rPr>
            </w:pPr>
          </w:p>
        </w:tc>
        <w:tc>
          <w:tcPr>
            <w:tcW w:w="1585" w:type="dxa"/>
          </w:tcPr>
          <w:p>
            <w:pPr>
              <w:rPr>
                <w:rFonts w:hint="eastAsia"/>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 </w:t>
            </w:r>
            <w:r>
              <w:rPr>
                <w:rFonts w:hint="eastAsia"/>
                <w:lang w:val="en-US" w:eastAsia="zh-CN"/>
              </w:rPr>
              <w:t>符合</w:t>
            </w:r>
          </w:p>
          <w:p>
            <w:r>
              <w:rPr>
                <w:rFonts w:hint="eastAsia"/>
                <w:lang w:eastAsia="zh-CN"/>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color w:val="000000"/>
                <w:szCs w:val="21"/>
                <w:lang w:val="en-US" w:eastAsia="zh-CN"/>
              </w:rPr>
            </w:pPr>
            <w:r>
              <w:rPr>
                <w:rFonts w:hint="eastAsia"/>
                <w:color w:val="000000"/>
                <w:szCs w:val="21"/>
                <w:lang w:val="en-US" w:eastAsia="zh-CN"/>
              </w:rPr>
              <w:t>应对风险和机遇的措施</w:t>
            </w:r>
          </w:p>
          <w:p>
            <w:pPr>
              <w:rPr>
                <w:rFonts w:hint="eastAsia"/>
              </w:rPr>
            </w:pPr>
          </w:p>
        </w:tc>
        <w:tc>
          <w:tcPr>
            <w:tcW w:w="960" w:type="dxa"/>
            <w:vAlign w:val="top"/>
          </w:tcPr>
          <w:p>
            <w:pPr>
              <w:rPr>
                <w:rFonts w:hint="eastAsia"/>
                <w:lang w:val="en-US" w:eastAsia="zh-CN"/>
              </w:rPr>
            </w:pPr>
            <w:r>
              <w:rPr>
                <w:rFonts w:hint="eastAsia"/>
                <w:lang w:val="en-US" w:eastAsia="zh-CN"/>
              </w:rPr>
              <w:t>Q</w:t>
            </w:r>
            <w:r>
              <w:rPr>
                <w:rFonts w:hint="eastAsia"/>
                <w:color w:val="000000"/>
                <w:szCs w:val="21"/>
                <w:lang w:val="en-US" w:eastAsia="zh-CN"/>
              </w:rPr>
              <w:t>EO</w:t>
            </w:r>
            <w:r>
              <w:rPr>
                <w:rFonts w:hint="eastAsia"/>
                <w:lang w:val="en-US" w:eastAsia="zh-CN"/>
              </w:rPr>
              <w:t>6.1</w:t>
            </w:r>
          </w:p>
          <w:p>
            <w:pPr>
              <w:pStyle w:val="2"/>
              <w:rPr>
                <w:rFonts w:hint="eastAsia"/>
              </w:rPr>
            </w:pPr>
          </w:p>
        </w:tc>
        <w:tc>
          <w:tcPr>
            <w:tcW w:w="10004" w:type="dxa"/>
          </w:tcPr>
          <w:p>
            <w:pPr>
              <w:rPr>
                <w:rFonts w:hint="eastAsia"/>
                <w:highlight w:val="none"/>
                <w:lang w:val="en-US" w:eastAsia="zh-CN"/>
              </w:rPr>
            </w:pPr>
            <w:r>
              <w:rPr>
                <w:rFonts w:hint="eastAsia"/>
                <w:highlight w:val="none"/>
                <w:lang w:val="en-US" w:eastAsia="zh-CN"/>
              </w:rPr>
              <w:t>文件：管理手册第6.1条款 、公司风险管理计划2022</w:t>
            </w:r>
          </w:p>
          <w:p>
            <w:pPr>
              <w:numPr>
                <w:ilvl w:val="0"/>
                <w:numId w:val="2"/>
              </w:numPr>
              <w:ind w:left="420" w:leftChars="0" w:right="-20" w:hanging="420" w:firstLineChars="0"/>
              <w:rPr>
                <w:rFonts w:hint="eastAsia" w:ascii="宋体" w:hAnsi="宋体" w:cs="Arial"/>
                <w:kern w:val="0"/>
                <w:szCs w:val="21"/>
                <w:highlight w:val="none"/>
              </w:rPr>
            </w:pPr>
            <w:r>
              <w:rPr>
                <w:rFonts w:hint="eastAsia" w:ascii="宋体" w:hAnsi="宋体" w:cs="楷体"/>
                <w:szCs w:val="21"/>
                <w:highlight w:val="none"/>
              </w:rPr>
              <w:t>公司根据标准的要求，以过程方法和风险控制为原则，以过程为单位，对管理体系涉及的各个过程进行了相应管理风险识别和评价，覆盖的过程有</w:t>
            </w:r>
            <w:r>
              <w:rPr>
                <w:rFonts w:hint="eastAsia" w:ascii="宋体" w:hAnsi="宋体" w:cs="Arial"/>
                <w:kern w:val="0"/>
                <w:szCs w:val="21"/>
                <w:highlight w:val="none"/>
              </w:rPr>
              <w:t>有：文件管理、岗位管理、目标管理、方针管理、知识管理、变更管理、合规义务管理、设备设施及测量设备管理等，按风险发生的可能性和严重性，确定了</w:t>
            </w:r>
            <w:r>
              <w:rPr>
                <w:rFonts w:hint="eastAsia" w:ascii="宋体" w:hAnsi="宋体" w:cs="Arial"/>
                <w:kern w:val="0"/>
                <w:szCs w:val="21"/>
                <w:highlight w:val="none"/>
                <w:lang w:val="en-US" w:eastAsia="zh-CN"/>
              </w:rPr>
              <w:t>三个</w:t>
            </w:r>
            <w:r>
              <w:rPr>
                <w:rFonts w:hint="eastAsia" w:ascii="宋体" w:hAnsi="宋体" w:cs="Arial"/>
                <w:kern w:val="0"/>
                <w:szCs w:val="21"/>
                <w:highlight w:val="none"/>
              </w:rPr>
              <w:t>风险等级，</w:t>
            </w:r>
          </w:p>
          <w:p>
            <w:pPr>
              <w:numPr>
                <w:ilvl w:val="0"/>
                <w:numId w:val="2"/>
              </w:numPr>
              <w:ind w:left="420" w:leftChars="0" w:right="-20" w:hanging="420" w:firstLineChars="0"/>
              <w:rPr>
                <w:rFonts w:hint="eastAsia" w:ascii="宋体" w:hAnsi="宋体" w:cs="楷体"/>
                <w:szCs w:val="21"/>
                <w:highlight w:val="none"/>
              </w:rPr>
            </w:pPr>
            <w:r>
              <w:rPr>
                <w:rFonts w:hint="eastAsia" w:ascii="宋体" w:hAnsi="宋体" w:cs="Arial"/>
                <w:kern w:val="0"/>
                <w:szCs w:val="21"/>
                <w:highlight w:val="none"/>
              </w:rPr>
              <w:t>--本次识别和评价了</w:t>
            </w:r>
            <w:r>
              <w:rPr>
                <w:rFonts w:hint="eastAsia" w:ascii="宋体" w:hAnsi="宋体" w:cs="Arial"/>
                <w:kern w:val="0"/>
                <w:szCs w:val="21"/>
                <w:highlight w:val="none"/>
                <w:lang w:val="en-US" w:eastAsia="zh-CN"/>
              </w:rPr>
              <w:t>若干</w:t>
            </w:r>
            <w:r>
              <w:rPr>
                <w:rFonts w:hint="eastAsia" w:ascii="宋体" w:hAnsi="宋体" w:cs="Arial"/>
                <w:kern w:val="0"/>
                <w:szCs w:val="21"/>
                <w:highlight w:val="none"/>
              </w:rPr>
              <w:t>个质量</w:t>
            </w:r>
            <w:r>
              <w:rPr>
                <w:rFonts w:hint="eastAsia" w:ascii="宋体" w:hAnsi="宋体" w:cs="Arial"/>
                <w:kern w:val="0"/>
                <w:szCs w:val="21"/>
                <w:highlight w:val="none"/>
                <w:lang w:eastAsia="zh-CN"/>
              </w:rPr>
              <w:t>、</w:t>
            </w:r>
            <w:r>
              <w:rPr>
                <w:rFonts w:hint="eastAsia" w:ascii="宋体" w:hAnsi="宋体" w:cs="Arial"/>
                <w:kern w:val="0"/>
                <w:szCs w:val="21"/>
                <w:highlight w:val="none"/>
                <w:lang w:val="en-US" w:eastAsia="zh-CN"/>
              </w:rPr>
              <w:t>环境、职业健康安全</w:t>
            </w:r>
            <w:r>
              <w:rPr>
                <w:rFonts w:hint="eastAsia" w:ascii="宋体" w:hAnsi="宋体" w:cs="Arial"/>
                <w:kern w:val="0"/>
                <w:szCs w:val="21"/>
                <w:highlight w:val="none"/>
              </w:rPr>
              <w:t>风险，</w:t>
            </w:r>
            <w:r>
              <w:rPr>
                <w:rFonts w:hint="eastAsia" w:ascii="宋体" w:hAnsi="宋体" w:cs="楷体"/>
                <w:szCs w:val="21"/>
                <w:highlight w:val="none"/>
              </w:rPr>
              <w:t>基本覆盖了管理体系过程。</w:t>
            </w:r>
          </w:p>
          <w:p>
            <w:pPr>
              <w:numPr>
                <w:ilvl w:val="0"/>
                <w:numId w:val="2"/>
              </w:numPr>
              <w:spacing w:line="400" w:lineRule="exact"/>
              <w:ind w:left="420" w:leftChars="0" w:hanging="420" w:firstLineChars="0"/>
              <w:rPr>
                <w:rFonts w:hint="eastAsia" w:ascii="Tahoma" w:hAnsi="Tahoma" w:cs="Tahoma"/>
                <w:kern w:val="2"/>
                <w:sz w:val="21"/>
                <w:highlight w:val="none"/>
                <w:lang w:val="en-US" w:eastAsia="zh-CN" w:bidi="ar-SA"/>
              </w:rPr>
            </w:pPr>
            <w:r>
              <w:rPr>
                <w:rFonts w:hint="eastAsia" w:ascii="宋体" w:hAnsi="宋体" w:cs="楷体"/>
                <w:szCs w:val="21"/>
                <w:highlight w:val="none"/>
              </w:rPr>
              <w:t>--公司根据质量风险识别和评价结果，对中等以上的风险确定了相应的控制措施，控制措施有按承担、转移、规避、控制四中类型区别，制定相应的控制措施，基本适宜企业的特点。控制措施均明确了责任部门。</w:t>
            </w:r>
          </w:p>
          <w:p>
            <w:pPr>
              <w:numPr>
                <w:ilvl w:val="0"/>
                <w:numId w:val="2"/>
              </w:numPr>
              <w:spacing w:line="360" w:lineRule="auto"/>
              <w:ind w:left="420" w:leftChars="0" w:hanging="420" w:firstLineChars="0"/>
              <w:rPr>
                <w:rFonts w:hint="eastAsia" w:ascii="宋体" w:hAnsi="宋体" w:cs="Tahoma"/>
                <w:szCs w:val="21"/>
              </w:rPr>
            </w:pPr>
            <w:r>
              <w:rPr>
                <w:rFonts w:hint="eastAsia" w:ascii="宋体" w:hAnsi="宋体" w:cs="Tahoma"/>
                <w:szCs w:val="21"/>
              </w:rPr>
              <w:t>《风险管理计划》对风险</w:t>
            </w:r>
            <w:r>
              <w:rPr>
                <w:rFonts w:ascii="宋体" w:hAnsi="宋体" w:cs="Tahoma"/>
                <w:szCs w:val="21"/>
              </w:rPr>
              <w:t>和</w:t>
            </w:r>
            <w:r>
              <w:rPr>
                <w:rFonts w:hint="eastAsia" w:ascii="宋体" w:hAnsi="宋体" w:cs="Tahoma"/>
                <w:szCs w:val="21"/>
              </w:rPr>
              <w:t>机遇</w:t>
            </w:r>
            <w:r>
              <w:rPr>
                <w:rFonts w:ascii="宋体" w:hAnsi="宋体" w:cs="Tahoma"/>
                <w:szCs w:val="21"/>
              </w:rPr>
              <w:t>的</w:t>
            </w:r>
            <w:r>
              <w:rPr>
                <w:rFonts w:hint="eastAsia" w:ascii="宋体" w:hAnsi="宋体" w:cs="Tahoma"/>
                <w:szCs w:val="21"/>
              </w:rPr>
              <w:t>识别</w:t>
            </w:r>
            <w:r>
              <w:rPr>
                <w:rFonts w:ascii="宋体" w:hAnsi="宋体" w:cs="Tahoma"/>
                <w:szCs w:val="21"/>
              </w:rPr>
              <w:t>、评价方法等进行了</w:t>
            </w:r>
            <w:r>
              <w:rPr>
                <w:rFonts w:hint="eastAsia" w:ascii="宋体" w:hAnsi="宋体" w:cs="Tahoma"/>
                <w:szCs w:val="21"/>
              </w:rPr>
              <w:t>规</w:t>
            </w:r>
            <w:r>
              <w:rPr>
                <w:rFonts w:ascii="宋体" w:hAnsi="宋体" w:cs="Tahoma"/>
                <w:szCs w:val="21"/>
              </w:rPr>
              <w:t>定。</w:t>
            </w:r>
          </w:p>
          <w:p>
            <w:pPr>
              <w:numPr>
                <w:ilvl w:val="0"/>
                <w:numId w:val="2"/>
              </w:numPr>
              <w:spacing w:line="360" w:lineRule="auto"/>
              <w:ind w:left="420" w:leftChars="0" w:hanging="420" w:firstLineChars="0"/>
              <w:rPr>
                <w:rFonts w:hint="default" w:ascii="宋体" w:hAnsi="宋体" w:eastAsia="宋体" w:cs="Tahoma"/>
                <w:szCs w:val="21"/>
                <w:lang w:val="en-US" w:eastAsia="zh-CN"/>
              </w:rPr>
            </w:pPr>
            <w:r>
              <w:rPr>
                <w:rFonts w:hint="eastAsia" w:ascii="宋体" w:hAnsi="宋体" w:cs="Tahoma"/>
                <w:szCs w:val="21"/>
                <w:lang w:val="en-US" w:eastAsia="zh-CN"/>
              </w:rPr>
              <w:t>樊总称：</w:t>
            </w:r>
            <w:r>
              <w:rPr>
                <w:rFonts w:ascii="宋体" w:hAnsi="宋体" w:cs="Tahoma"/>
                <w:szCs w:val="21"/>
              </w:rPr>
              <w:t>公司</w:t>
            </w:r>
            <w:r>
              <w:rPr>
                <w:rFonts w:hint="eastAsia" w:ascii="宋体" w:hAnsi="宋体" w:cs="Tahoma"/>
                <w:szCs w:val="21"/>
              </w:rPr>
              <w:t>在</w:t>
            </w:r>
            <w:r>
              <w:rPr>
                <w:rFonts w:ascii="宋体" w:hAnsi="宋体" w:cs="Tahoma"/>
                <w:szCs w:val="21"/>
              </w:rPr>
              <w:t>考虑了内外</w:t>
            </w:r>
            <w:r>
              <w:rPr>
                <w:rFonts w:hint="eastAsia" w:ascii="宋体" w:hAnsi="宋体" w:cs="Tahoma"/>
                <w:szCs w:val="21"/>
              </w:rPr>
              <w:t>部</w:t>
            </w:r>
            <w:r>
              <w:rPr>
                <w:rFonts w:ascii="宋体" w:hAnsi="宋体" w:cs="Tahoma"/>
                <w:szCs w:val="21"/>
              </w:rPr>
              <w:t>环境及相关方需求的基础上</w:t>
            </w:r>
            <w:r>
              <w:rPr>
                <w:rFonts w:hint="eastAsia" w:ascii="宋体" w:hAnsi="宋体" w:cs="Tahoma"/>
                <w:szCs w:val="21"/>
              </w:rPr>
              <w:t>按</w:t>
            </w:r>
            <w:r>
              <w:rPr>
                <w:rFonts w:ascii="宋体" w:hAnsi="宋体" w:cs="Tahoma"/>
                <w:szCs w:val="21"/>
              </w:rPr>
              <w:t>照</w:t>
            </w:r>
            <w:r>
              <w:rPr>
                <w:rFonts w:hint="eastAsia" w:ascii="宋体" w:hAnsi="宋体" w:cs="Tahoma"/>
                <w:szCs w:val="21"/>
              </w:rPr>
              <w:t>《风险管理计划》进</w:t>
            </w:r>
            <w:r>
              <w:rPr>
                <w:rFonts w:ascii="宋体" w:hAnsi="宋体" w:cs="Tahoma"/>
                <w:szCs w:val="21"/>
              </w:rPr>
              <w:t>行了识别和评价最终确定了</w:t>
            </w:r>
            <w:r>
              <w:rPr>
                <w:rFonts w:hint="eastAsia" w:ascii="宋体" w:hAnsi="宋体" w:cs="Tahoma"/>
                <w:szCs w:val="21"/>
              </w:rPr>
              <w:t>需</w:t>
            </w:r>
            <w:r>
              <w:rPr>
                <w:rFonts w:ascii="宋体" w:hAnsi="宋体" w:cs="Tahoma"/>
                <w:szCs w:val="21"/>
              </w:rPr>
              <w:t>要应对的</w:t>
            </w:r>
            <w:r>
              <w:rPr>
                <w:rFonts w:hint="eastAsia" w:ascii="宋体" w:hAnsi="宋体" w:cs="Tahoma"/>
                <w:szCs w:val="21"/>
              </w:rPr>
              <w:t>重要</w:t>
            </w:r>
            <w:r>
              <w:rPr>
                <w:rFonts w:hint="eastAsia" w:ascii="宋体" w:hAnsi="宋体" w:eastAsia="宋体" w:cs="Tahoma"/>
                <w:szCs w:val="21"/>
                <w:lang w:val="en-US" w:eastAsia="zh-CN"/>
              </w:rPr>
              <w:t>风险和机遇并对相应的风险和机遇制定了相应的措施，并定期对控制措施执行情况进行检查。</w:t>
            </w:r>
          </w:p>
          <w:p>
            <w:pPr>
              <w:numPr>
                <w:ilvl w:val="0"/>
                <w:numId w:val="2"/>
              </w:numPr>
              <w:spacing w:line="360" w:lineRule="auto"/>
              <w:ind w:left="420" w:leftChars="0" w:hanging="420" w:firstLineChars="0"/>
              <w:rPr>
                <w:rFonts w:hint="default" w:ascii="宋体" w:hAnsi="宋体" w:eastAsia="宋体" w:cs="Tahoma"/>
                <w:szCs w:val="21"/>
                <w:lang w:val="en-US" w:eastAsia="zh-CN"/>
              </w:rPr>
            </w:pPr>
            <w:r>
              <w:rPr>
                <w:rFonts w:hint="eastAsia" w:ascii="Times New Roman" w:hAnsi="Times New Roman" w:eastAsia="宋体" w:cs="Times New Roman"/>
                <w:lang w:val="en-US" w:eastAsia="zh-CN"/>
              </w:rPr>
              <w:t>2022-1-5</w:t>
            </w:r>
            <w:r>
              <w:rPr>
                <w:rFonts w:hint="eastAsia" w:ascii="宋体" w:hAnsi="宋体" w:eastAsia="宋体" w:cs="Tahoma"/>
                <w:szCs w:val="21"/>
                <w:lang w:val="en-US" w:eastAsia="zh-CN"/>
              </w:rPr>
              <w:t>公司相关负责人对公司面临的各种内外部因素、风险与机遇、风险与机遇的相应措施进行分析。见：《风险和机遇识别与评估分析表》</w:t>
            </w:r>
            <w:r>
              <w:rPr>
                <w:rFonts w:hint="eastAsia" w:ascii="Times New Roman" w:hAnsi="Times New Roman" w:eastAsia="宋体" w:cs="Times New Roman"/>
                <w:lang w:val="en-US" w:eastAsia="zh-CN"/>
              </w:rPr>
              <w:t>2022-1-5</w:t>
            </w:r>
            <w:r>
              <w:rPr>
                <w:rFonts w:hint="eastAsia" w:ascii="宋体" w:hAnsi="宋体" w:eastAsia="宋体" w:cs="Tahoma"/>
                <w:szCs w:val="21"/>
                <w:lang w:val="en-US" w:eastAsia="zh-CN"/>
              </w:rPr>
              <w:t>；</w:t>
            </w:r>
            <w:r>
              <w:rPr>
                <w:rFonts w:hint="eastAsia" w:ascii="宋体" w:hAnsi="宋体" w:cs="Tahoma"/>
                <w:szCs w:val="21"/>
                <w:lang w:val="en-US" w:eastAsia="zh-CN"/>
              </w:rPr>
              <w:t>《</w:t>
            </w:r>
            <w:r>
              <w:rPr>
                <w:rFonts w:hint="eastAsia" w:ascii="宋体" w:hAnsi="宋体" w:cs="Tahoma"/>
                <w:szCs w:val="21"/>
              </w:rPr>
              <w:t>风险评估报告</w:t>
            </w:r>
            <w:r>
              <w:rPr>
                <w:rFonts w:hint="eastAsia" w:ascii="宋体" w:hAnsi="宋体" w:cs="Tahoma"/>
                <w:szCs w:val="21"/>
                <w:lang w:val="en-US" w:eastAsia="zh-CN"/>
              </w:rPr>
              <w:t>》2022-1-5</w:t>
            </w:r>
          </w:p>
          <w:p>
            <w:pPr>
              <w:numPr>
                <w:ilvl w:val="0"/>
                <w:numId w:val="2"/>
              </w:numPr>
              <w:spacing w:line="360" w:lineRule="auto"/>
              <w:ind w:left="420" w:leftChars="0" w:hanging="420" w:firstLineChars="0"/>
              <w:rPr>
                <w:rFonts w:hint="eastAsia" w:ascii="宋体" w:hAnsi="宋体" w:cs="Tahoma"/>
                <w:szCs w:val="21"/>
                <w:lang w:val="en-US" w:eastAsia="zh-CN"/>
              </w:rPr>
            </w:pPr>
            <w:r>
              <w:rPr>
                <w:rFonts w:hint="eastAsia" w:ascii="宋体" w:hAnsi="宋体" w:cs="Tahoma"/>
                <w:szCs w:val="21"/>
              </w:rPr>
              <w:t>含</w:t>
            </w:r>
            <w:r>
              <w:rPr>
                <w:rFonts w:hint="eastAsia" w:ascii="宋体" w:hAnsi="宋体" w:cs="Tahoma"/>
                <w:szCs w:val="21"/>
                <w:lang w:val="en-US" w:eastAsia="zh-CN"/>
              </w:rPr>
              <w:t>质量、</w:t>
            </w:r>
            <w:r>
              <w:rPr>
                <w:rFonts w:hint="eastAsia" w:ascii="宋体" w:hAnsi="宋体" w:cs="Tahoma"/>
                <w:szCs w:val="21"/>
              </w:rPr>
              <w:t>环境</w:t>
            </w:r>
            <w:r>
              <w:rPr>
                <w:rFonts w:hint="eastAsia" w:ascii="宋体" w:hAnsi="宋体" w:cs="Tahoma"/>
                <w:szCs w:val="21"/>
                <w:lang w:eastAsia="zh-CN"/>
              </w:rPr>
              <w:t>、</w:t>
            </w:r>
            <w:r>
              <w:rPr>
                <w:rFonts w:hint="eastAsia" w:ascii="宋体" w:hAnsi="宋体" w:cs="Tahoma"/>
                <w:szCs w:val="21"/>
                <w:lang w:val="en-US" w:eastAsia="zh-CN"/>
              </w:rPr>
              <w:t>职业健康安全</w:t>
            </w:r>
            <w:r>
              <w:rPr>
                <w:rFonts w:hint="eastAsia" w:ascii="宋体" w:hAnsi="宋体" w:cs="Tahoma"/>
                <w:szCs w:val="21"/>
              </w:rPr>
              <w:t>风险与机遇、市场风险与机遇、财务风险与机遇、经营风险与机遇、</w:t>
            </w:r>
            <w:r>
              <w:rPr>
                <w:rFonts w:hint="eastAsia" w:ascii="宋体" w:hAnsi="宋体" w:cs="Tahoma"/>
                <w:szCs w:val="21"/>
                <w:lang w:val="en-US" w:eastAsia="zh-CN"/>
              </w:rPr>
              <w:t>人力风险和机遇</w:t>
            </w:r>
            <w:r>
              <w:rPr>
                <w:rFonts w:hint="eastAsia" w:ascii="宋体" w:hAnsi="宋体" w:cs="Tahoma"/>
                <w:szCs w:val="21"/>
              </w:rPr>
              <w:t>等，通</w:t>
            </w:r>
            <w:r>
              <w:rPr>
                <w:rFonts w:ascii="宋体" w:hAnsi="宋体" w:cs="Tahoma"/>
                <w:szCs w:val="21"/>
              </w:rPr>
              <w:t>过对</w:t>
            </w:r>
            <w:r>
              <w:rPr>
                <w:rFonts w:hint="eastAsia" w:ascii="宋体" w:hAnsi="宋体" w:cs="Tahoma"/>
                <w:szCs w:val="21"/>
              </w:rPr>
              <w:t>其</w:t>
            </w:r>
            <w:r>
              <w:rPr>
                <w:rFonts w:ascii="宋体" w:hAnsi="宋体" w:cs="Tahoma"/>
                <w:szCs w:val="21"/>
              </w:rPr>
              <w:t>进行打分</w:t>
            </w:r>
            <w:r>
              <w:rPr>
                <w:rFonts w:hint="eastAsia" w:ascii="宋体" w:hAnsi="宋体" w:cs="Tahoma"/>
                <w:szCs w:val="21"/>
                <w:lang w:val="en-US" w:eastAsia="zh-CN"/>
              </w:rPr>
              <w:t>方式进行风险等级划分。</w:t>
            </w:r>
          </w:p>
          <w:p>
            <w:pPr>
              <w:pStyle w:val="2"/>
              <w:numPr>
                <w:ilvl w:val="0"/>
                <w:numId w:val="2"/>
              </w:numPr>
              <w:ind w:left="420" w:leftChars="0" w:hanging="420" w:firstLineChars="0"/>
              <w:rPr>
                <w:rFonts w:hint="eastAsia"/>
                <w:lang w:val="en-US" w:eastAsia="zh-CN"/>
              </w:rPr>
            </w:pPr>
            <w:r>
              <w:rPr>
                <w:rFonts w:hint="eastAsia" w:ascii="宋体" w:hAnsi="宋体" w:cs="Tahoma"/>
                <w:szCs w:val="21"/>
              </w:rPr>
              <w:t>经</w:t>
            </w:r>
            <w:r>
              <w:rPr>
                <w:rFonts w:ascii="宋体" w:hAnsi="宋体" w:cs="Tahoma"/>
                <w:szCs w:val="21"/>
              </w:rPr>
              <w:t>查</w:t>
            </w:r>
            <w:r>
              <w:rPr>
                <w:rFonts w:hint="eastAsia" w:ascii="宋体" w:hAnsi="宋体" w:cs="Tahoma"/>
                <w:szCs w:val="21"/>
              </w:rPr>
              <w:t>相</w:t>
            </w:r>
            <w:r>
              <w:rPr>
                <w:rFonts w:ascii="宋体" w:hAnsi="宋体" w:cs="Tahoma"/>
                <w:szCs w:val="21"/>
              </w:rPr>
              <w:t>应措施</w:t>
            </w:r>
            <w:r>
              <w:rPr>
                <w:rFonts w:hint="eastAsia" w:ascii="宋体" w:hAnsi="宋体" w:cs="Tahoma"/>
                <w:szCs w:val="21"/>
              </w:rPr>
              <w:t>已</w:t>
            </w:r>
            <w:r>
              <w:rPr>
                <w:rFonts w:ascii="宋体" w:hAnsi="宋体" w:cs="Tahoma"/>
                <w:szCs w:val="21"/>
              </w:rPr>
              <w:t>按要求执行，</w:t>
            </w:r>
            <w:r>
              <w:rPr>
                <w:rFonts w:hint="eastAsia" w:ascii="宋体" w:hAnsi="宋体" w:cs="Tahoma"/>
                <w:szCs w:val="21"/>
              </w:rPr>
              <w:t>正常、</w:t>
            </w:r>
            <w:r>
              <w:rPr>
                <w:rFonts w:ascii="宋体" w:hAnsi="宋体" w:cs="Tahoma"/>
                <w:szCs w:val="21"/>
              </w:rPr>
              <w:t>有效。</w:t>
            </w:r>
          </w:p>
        </w:tc>
        <w:tc>
          <w:tcPr>
            <w:tcW w:w="1585" w:type="dxa"/>
          </w:tcPr>
          <w:p>
            <w:pPr>
              <w:rPr>
                <w:rFonts w:hint="eastAsia"/>
                <w:lang w:val="en-US" w:eastAsia="zh-CN"/>
              </w:rPr>
            </w:pPr>
            <w:r>
              <w:rPr>
                <w:rFonts w:hint="eastAsia"/>
                <w:lang w:val="en-US" w:eastAsia="zh-CN"/>
              </w:rPr>
              <w:sym w:font="Wingdings" w:char="00FE"/>
            </w:r>
            <w:r>
              <w:rPr>
                <w:rFonts w:hint="eastAsia"/>
                <w:lang w:val="en-US" w:eastAsia="zh-CN"/>
              </w:rPr>
              <w:t>符合</w:t>
            </w:r>
          </w:p>
          <w:p>
            <w:r>
              <w:rPr>
                <w:rFonts w:hint="eastAsia"/>
                <w:lang w:eastAsia="zh-CN"/>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160" w:type="dxa"/>
            <w:vAlign w:val="top"/>
          </w:tcPr>
          <w:p>
            <w:pPr>
              <w:rPr>
                <w:rFonts w:hint="eastAsia"/>
                <w:color w:val="000000"/>
                <w:szCs w:val="21"/>
                <w:lang w:val="en-US" w:eastAsia="zh-CN"/>
              </w:rPr>
            </w:pPr>
            <w:r>
              <w:rPr>
                <w:rFonts w:hint="eastAsia"/>
                <w:color w:val="000000"/>
                <w:szCs w:val="21"/>
                <w:lang w:val="en-US" w:eastAsia="zh-CN"/>
              </w:rPr>
              <w:t>管理目标及其实现的策划</w:t>
            </w:r>
          </w:p>
          <w:p>
            <w:pPr>
              <w:rPr>
                <w:rFonts w:hint="eastAsia"/>
              </w:rPr>
            </w:pPr>
          </w:p>
        </w:tc>
        <w:tc>
          <w:tcPr>
            <w:tcW w:w="960" w:type="dxa"/>
            <w:vAlign w:val="top"/>
          </w:tcPr>
          <w:p>
            <w:pPr>
              <w:rPr>
                <w:rFonts w:hint="eastAsia"/>
                <w:color w:val="000000"/>
                <w:szCs w:val="21"/>
                <w:lang w:val="en-US" w:eastAsia="zh-CN"/>
              </w:rPr>
            </w:pPr>
            <w:r>
              <w:rPr>
                <w:rFonts w:hint="eastAsia"/>
                <w:color w:val="000000"/>
                <w:szCs w:val="21"/>
                <w:lang w:val="en-US" w:eastAsia="zh-CN"/>
              </w:rPr>
              <w:t>QEO</w:t>
            </w:r>
          </w:p>
          <w:p>
            <w:pPr>
              <w:rPr>
                <w:rFonts w:hint="eastAsia"/>
              </w:rPr>
            </w:pPr>
            <w:r>
              <w:rPr>
                <w:rFonts w:hint="eastAsia"/>
                <w:color w:val="000000"/>
                <w:szCs w:val="21"/>
                <w:lang w:val="en-US" w:eastAsia="zh-CN"/>
              </w:rPr>
              <w:t>6.2</w:t>
            </w:r>
          </w:p>
        </w:tc>
        <w:tc>
          <w:tcPr>
            <w:tcW w:w="10004" w:type="dxa"/>
          </w:tcPr>
          <w:p>
            <w:pPr>
              <w:numPr>
                <w:ilvl w:val="0"/>
                <w:numId w:val="2"/>
              </w:numPr>
              <w:ind w:left="420" w:leftChars="0" w:hanging="420" w:firstLineChars="0"/>
              <w:rPr>
                <w:rFonts w:hint="eastAsia"/>
                <w:lang w:val="en-US" w:eastAsia="zh-CN"/>
              </w:rPr>
            </w:pPr>
            <w:r>
              <w:rPr>
                <w:rFonts w:hint="eastAsia"/>
                <w:lang w:val="en-US" w:eastAsia="zh-CN"/>
              </w:rPr>
              <w:t>文件：管理手册第6.2</w:t>
            </w:r>
            <w:r>
              <w:rPr>
                <w:rFonts w:hint="eastAsia" w:ascii="Times New Roman" w:hAnsi="Times New Roman" w:eastAsia="宋体" w:cs="Times New Roman"/>
                <w:lang w:val="en-US" w:eastAsia="zh-CN"/>
              </w:rPr>
              <w:t>条款、</w:t>
            </w:r>
          </w:p>
          <w:p>
            <w:pPr>
              <w:keepNext w:val="0"/>
              <w:keepLines w:val="0"/>
              <w:widowControl w:val="0"/>
              <w:numPr>
                <w:ilvl w:val="0"/>
                <w:numId w:val="2"/>
              </w:numPr>
              <w:suppressLineNumbers w:val="0"/>
              <w:spacing w:before="0" w:beforeAutospacing="0" w:after="0" w:afterAutospacing="0"/>
              <w:ind w:left="420" w:leftChars="0" w:right="0" w:hanging="420" w:firstLineChars="0"/>
              <w:jc w:val="both"/>
              <w:rPr>
                <w:rFonts w:hint="eastAsia" w:ascii="Times New Roman" w:hAnsi="Times New Roman" w:eastAsia="宋体" w:cs="Times New Roman"/>
                <w:lang w:eastAsia="zh-CN"/>
              </w:rPr>
            </w:pPr>
            <w:r>
              <w:rPr>
                <w:rFonts w:hint="eastAsia"/>
              </w:rPr>
              <w:t>组织建立</w:t>
            </w:r>
            <w:r>
              <w:rPr>
                <w:rFonts w:hint="eastAsia"/>
                <w:lang w:val="en-US" w:eastAsia="zh-CN"/>
              </w:rPr>
              <w:t>了与</w:t>
            </w:r>
            <w:r>
              <w:rPr>
                <w:rFonts w:hint="eastAsia" w:ascii="Times New Roman" w:hAnsi="Times New Roman" w:eastAsia="宋体" w:cs="Times New Roman"/>
                <w:lang w:val="en-US" w:eastAsia="zh-CN"/>
              </w:rPr>
              <w:t>管理方针一致的文件化的管理</w:t>
            </w:r>
            <w:r>
              <w:rPr>
                <w:rFonts w:hint="eastAsia" w:ascii="Times New Roman" w:hAnsi="Times New Roman" w:eastAsia="宋体" w:cs="Times New Roman"/>
                <w:lang w:eastAsia="zh-CN"/>
              </w:rPr>
              <w:t>目标。为实现总</w:t>
            </w:r>
            <w:r>
              <w:rPr>
                <w:rFonts w:hint="eastAsia" w:ascii="Times New Roman" w:hAnsi="Times New Roman" w:eastAsia="宋体" w:cs="Times New Roman"/>
                <w:lang w:val="en-US" w:eastAsia="zh-CN"/>
              </w:rPr>
              <w:t>管理</w:t>
            </w:r>
            <w:r>
              <w:rPr>
                <w:rFonts w:hint="eastAsia" w:ascii="Times New Roman" w:hAnsi="Times New Roman" w:eastAsia="宋体" w:cs="Times New Roman"/>
                <w:lang w:eastAsia="zh-CN"/>
              </w:rPr>
              <w:t>目标而建立的各层级</w:t>
            </w:r>
            <w:r>
              <w:rPr>
                <w:rFonts w:hint="eastAsia" w:ascii="Times New Roman" w:hAnsi="Times New Roman" w:eastAsia="宋体" w:cs="Times New Roman"/>
                <w:lang w:val="en-US" w:eastAsia="zh-CN"/>
              </w:rPr>
              <w:t>管理</w:t>
            </w:r>
            <w:r>
              <w:rPr>
                <w:rFonts w:hint="eastAsia" w:ascii="Times New Roman" w:hAnsi="Times New Roman" w:eastAsia="宋体" w:cs="Times New Roman"/>
                <w:lang w:eastAsia="zh-CN"/>
              </w:rPr>
              <w:t>目标具体、有针对性、可测量并且可实现。</w:t>
            </w:r>
          </w:p>
          <w:p>
            <w:pPr>
              <w:keepNext w:val="0"/>
              <w:keepLines w:val="0"/>
              <w:widowControl w:val="0"/>
              <w:numPr>
                <w:ilvl w:val="0"/>
                <w:numId w:val="2"/>
              </w:numPr>
              <w:suppressLineNumbers w:val="0"/>
              <w:spacing w:before="0" w:beforeAutospacing="0" w:after="0" w:afterAutospacing="0"/>
              <w:ind w:left="420" w:leftChars="0" w:right="0" w:hanging="420" w:firstLineChars="0"/>
              <w:jc w:val="both"/>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总</w:t>
            </w:r>
            <w:r>
              <w:rPr>
                <w:rFonts w:hint="eastAsia" w:ascii="Times New Roman" w:hAnsi="Times New Roman" w:eastAsia="宋体" w:cs="Times New Roman"/>
                <w:lang w:val="en-US" w:eastAsia="zh-CN"/>
              </w:rPr>
              <w:t>管理</w:t>
            </w:r>
            <w:r>
              <w:rPr>
                <w:rFonts w:hint="eastAsia" w:ascii="Times New Roman" w:hAnsi="Times New Roman" w:eastAsia="宋体" w:cs="Times New Roman"/>
                <w:lang w:eastAsia="zh-CN"/>
              </w:rPr>
              <w:t>目标实现情况的评价，及其测量方法</w:t>
            </w:r>
            <w:r>
              <w:rPr>
                <w:rFonts w:hint="eastAsia" w:ascii="Times New Roman" w:hAnsi="Times New Roman" w:eastAsia="宋体" w:cs="Times New Roman"/>
                <w:lang w:val="en-US" w:eastAsia="zh-CN"/>
              </w:rPr>
              <w:t>明确。</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查见：</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2022年</w:t>
            </w:r>
            <w:r>
              <w:rPr>
                <w:rFonts w:hint="eastAsia" w:ascii="Times New Roman" w:hAnsi="Times New Roman" w:eastAsia="宋体" w:cs="Times New Roman"/>
                <w:lang w:eastAsia="zh-CN"/>
              </w:rPr>
              <w:t>）目标、指标完成情况监控记录；</w:t>
            </w:r>
          </w:p>
          <w:p>
            <w:pPr>
              <w:tabs>
                <w:tab w:val="left" w:pos="1800"/>
              </w:tabs>
              <w:spacing w:line="360" w:lineRule="auto"/>
              <w:rPr>
                <w:rFonts w:hint="eastAsia" w:ascii="宋体" w:hAnsi="宋体" w:cs="宋体"/>
                <w:b/>
                <w:bCs/>
                <w:color w:val="000000"/>
                <w:sz w:val="2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2100"/>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3788" w:type="dxa"/>
                  <w:gridSpan w:val="2"/>
                  <w:noWrap w:val="0"/>
                  <w:vAlign w:val="center"/>
                </w:tcPr>
                <w:p>
                  <w:pPr>
                    <w:tabs>
                      <w:tab w:val="left" w:pos="1800"/>
                    </w:tabs>
                    <w:spacing w:line="360" w:lineRule="auto"/>
                    <w:jc w:val="center"/>
                    <w:rPr>
                      <w:rFonts w:hint="eastAsia" w:ascii="宋体" w:hAnsi="宋体" w:cs="宋体"/>
                      <w:b/>
                      <w:bCs/>
                      <w:color w:val="000000"/>
                      <w:sz w:val="18"/>
                      <w:szCs w:val="18"/>
                    </w:rPr>
                  </w:pPr>
                  <w:r>
                    <w:rPr>
                      <w:rFonts w:hint="eastAsia" w:ascii="宋体" w:hAnsi="宋体" w:cs="宋体"/>
                      <w:b/>
                      <w:bCs/>
                      <w:color w:val="000000"/>
                      <w:sz w:val="18"/>
                      <w:szCs w:val="18"/>
                      <w:lang w:val="en-US" w:eastAsia="zh-CN"/>
                    </w:rPr>
                    <w:t>管理</w:t>
                  </w:r>
                  <w:r>
                    <w:rPr>
                      <w:rFonts w:hint="eastAsia" w:ascii="宋体" w:hAnsi="宋体" w:cs="宋体"/>
                      <w:b/>
                      <w:bCs/>
                      <w:color w:val="000000"/>
                      <w:sz w:val="18"/>
                      <w:szCs w:val="18"/>
                    </w:rPr>
                    <w:t>目标</w:t>
                  </w:r>
                </w:p>
              </w:tc>
              <w:tc>
                <w:tcPr>
                  <w:tcW w:w="2669" w:type="dxa"/>
                  <w:noWrap w:val="0"/>
                  <w:vAlign w:val="center"/>
                </w:tcPr>
                <w:p>
                  <w:pPr>
                    <w:tabs>
                      <w:tab w:val="left" w:pos="1800"/>
                    </w:tabs>
                    <w:spacing w:line="360" w:lineRule="auto"/>
                    <w:jc w:val="center"/>
                    <w:rPr>
                      <w:rFonts w:hint="default" w:ascii="宋体" w:hAnsi="宋体" w:cs="宋体"/>
                      <w:b/>
                      <w:bCs/>
                      <w:color w:val="000000"/>
                      <w:sz w:val="18"/>
                      <w:szCs w:val="18"/>
                      <w:lang w:val="en-US" w:eastAsia="zh-CN"/>
                    </w:rPr>
                  </w:pPr>
                  <w:r>
                    <w:rPr>
                      <w:rFonts w:hint="eastAsia" w:ascii="宋体" w:hAnsi="宋体" w:cs="宋体"/>
                      <w:b/>
                      <w:bCs/>
                      <w:color w:val="000000"/>
                      <w:sz w:val="18"/>
                      <w:szCs w:val="18"/>
                      <w:lang w:val="en-US" w:eastAsia="zh-CN"/>
                    </w:rPr>
                    <w:t>完成情况（1-3季度）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688" w:type="dxa"/>
                  <w:vMerge w:val="restart"/>
                  <w:noWrap w:val="0"/>
                  <w:vAlign w:val="center"/>
                </w:tcPr>
                <w:p>
                  <w:pPr>
                    <w:tabs>
                      <w:tab w:val="left" w:pos="1800"/>
                    </w:tabs>
                    <w:spacing w:line="360" w:lineRule="auto"/>
                    <w:jc w:val="center"/>
                    <w:rPr>
                      <w:rFonts w:hint="eastAsia" w:ascii="宋体" w:hAnsi="宋体" w:cs="宋体"/>
                      <w:bCs/>
                      <w:color w:val="000000"/>
                      <w:sz w:val="18"/>
                      <w:szCs w:val="18"/>
                    </w:rPr>
                  </w:pPr>
                  <w:r>
                    <w:rPr>
                      <w:rFonts w:hint="eastAsia" w:ascii="宋体" w:hAnsi="宋体" w:cs="宋体"/>
                      <w:bCs/>
                      <w:color w:val="000000"/>
                      <w:sz w:val="18"/>
                      <w:szCs w:val="18"/>
                    </w:rPr>
                    <w:t>质量目标</w:t>
                  </w:r>
                </w:p>
              </w:tc>
              <w:tc>
                <w:tcPr>
                  <w:tcW w:w="2100" w:type="dxa"/>
                  <w:noWrap w:val="0"/>
                  <w:vAlign w:val="center"/>
                </w:tcPr>
                <w:p>
                  <w:pPr>
                    <w:tabs>
                      <w:tab w:val="left" w:pos="1800"/>
                    </w:tabs>
                    <w:spacing w:line="360" w:lineRule="auto"/>
                    <w:rPr>
                      <w:rFonts w:hint="eastAsia" w:ascii="宋体" w:hAnsi="宋体" w:eastAsia="宋体" w:cs="宋体"/>
                      <w:sz w:val="18"/>
                      <w:szCs w:val="18"/>
                    </w:rPr>
                  </w:pPr>
                  <w:r>
                    <w:rPr>
                      <w:rFonts w:hint="eastAsia" w:ascii="宋体" w:hAnsi="宋体" w:eastAsia="宋体" w:cs="宋体"/>
                      <w:sz w:val="18"/>
                      <w:szCs w:val="18"/>
                    </w:rPr>
                    <w:t>一次交验合格率≥98%</w:t>
                  </w:r>
                </w:p>
              </w:tc>
              <w:tc>
                <w:tcPr>
                  <w:tcW w:w="2669" w:type="dxa"/>
                  <w:noWrap w:val="0"/>
                  <w:vAlign w:val="center"/>
                </w:tcPr>
                <w:p>
                  <w:pPr>
                    <w:tabs>
                      <w:tab w:val="left" w:pos="1800"/>
                    </w:tabs>
                    <w:spacing w:line="360" w:lineRule="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688" w:type="dxa"/>
                  <w:vMerge w:val="continue"/>
                  <w:noWrap w:val="0"/>
                  <w:vAlign w:val="center"/>
                </w:tcPr>
                <w:p>
                  <w:pPr>
                    <w:tabs>
                      <w:tab w:val="left" w:pos="1800"/>
                    </w:tabs>
                    <w:spacing w:line="360" w:lineRule="auto"/>
                    <w:rPr>
                      <w:rFonts w:hint="eastAsia" w:ascii="宋体" w:hAnsi="宋体" w:cs="宋体"/>
                      <w:b/>
                      <w:bCs/>
                      <w:color w:val="000000"/>
                      <w:sz w:val="18"/>
                      <w:szCs w:val="18"/>
                    </w:rPr>
                  </w:pPr>
                </w:p>
              </w:tc>
              <w:tc>
                <w:tcPr>
                  <w:tcW w:w="2100" w:type="dxa"/>
                  <w:noWrap w:val="0"/>
                  <w:vAlign w:val="center"/>
                </w:tcPr>
                <w:p>
                  <w:pPr>
                    <w:tabs>
                      <w:tab w:val="left" w:pos="1800"/>
                    </w:tabs>
                    <w:spacing w:line="360" w:lineRule="auto"/>
                    <w:rPr>
                      <w:rFonts w:hint="eastAsia" w:ascii="宋体" w:hAnsi="宋体" w:eastAsia="宋体" w:cs="宋体"/>
                      <w:sz w:val="18"/>
                      <w:szCs w:val="18"/>
                    </w:rPr>
                  </w:pPr>
                  <w:r>
                    <w:rPr>
                      <w:rFonts w:hint="eastAsia" w:ascii="宋体" w:hAnsi="宋体" w:eastAsia="宋体" w:cs="宋体"/>
                      <w:sz w:val="18"/>
                      <w:szCs w:val="18"/>
                    </w:rPr>
                    <w:t>客户满意率≥9</w:t>
                  </w:r>
                  <w:r>
                    <w:rPr>
                      <w:rFonts w:hint="eastAsia" w:ascii="宋体" w:hAnsi="宋体" w:eastAsia="宋体" w:cs="宋体"/>
                      <w:sz w:val="18"/>
                      <w:szCs w:val="18"/>
                      <w:lang w:val="en-US" w:eastAsia="zh-CN"/>
                    </w:rPr>
                    <w:t>5</w:t>
                  </w:r>
                  <w:r>
                    <w:rPr>
                      <w:rFonts w:hint="eastAsia" w:ascii="宋体" w:hAnsi="宋体" w:eastAsia="宋体" w:cs="宋体"/>
                      <w:sz w:val="18"/>
                      <w:szCs w:val="18"/>
                    </w:rPr>
                    <w:t>%</w:t>
                  </w:r>
                </w:p>
              </w:tc>
              <w:tc>
                <w:tcPr>
                  <w:tcW w:w="2669" w:type="dxa"/>
                  <w:noWrap w:val="0"/>
                  <w:vAlign w:val="center"/>
                </w:tcPr>
                <w:p>
                  <w:pPr>
                    <w:tabs>
                      <w:tab w:val="left" w:pos="1800"/>
                    </w:tabs>
                    <w:spacing w:line="360" w:lineRule="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688" w:type="dxa"/>
                  <w:noWrap w:val="0"/>
                  <w:vAlign w:val="center"/>
                </w:tcPr>
                <w:p>
                  <w:pPr>
                    <w:tabs>
                      <w:tab w:val="left" w:pos="1800"/>
                    </w:tabs>
                    <w:spacing w:line="360" w:lineRule="auto"/>
                    <w:jc w:val="center"/>
                    <w:rPr>
                      <w:rFonts w:hint="eastAsia" w:ascii="宋体" w:hAnsi="宋体" w:cs="宋体"/>
                      <w:bCs/>
                      <w:color w:val="000000"/>
                      <w:sz w:val="18"/>
                      <w:szCs w:val="18"/>
                    </w:rPr>
                  </w:pPr>
                  <w:r>
                    <w:rPr>
                      <w:rFonts w:hint="eastAsia" w:ascii="宋体" w:hAnsi="宋体" w:cs="宋体"/>
                      <w:bCs/>
                      <w:color w:val="000000"/>
                      <w:sz w:val="18"/>
                      <w:szCs w:val="18"/>
                    </w:rPr>
                    <w:t>环境目标、指标</w:t>
                  </w:r>
                </w:p>
              </w:tc>
              <w:tc>
                <w:tcPr>
                  <w:tcW w:w="2100" w:type="dxa"/>
                  <w:noWrap w:val="0"/>
                  <w:vAlign w:val="center"/>
                </w:tcPr>
                <w:p>
                  <w:pPr>
                    <w:tabs>
                      <w:tab w:val="left" w:pos="1800"/>
                    </w:tabs>
                    <w:spacing w:line="360" w:lineRule="auto"/>
                    <w:rPr>
                      <w:rFonts w:hint="eastAsia" w:ascii="宋体" w:hAnsi="宋体" w:eastAsia="宋体" w:cs="宋体"/>
                      <w:sz w:val="18"/>
                      <w:szCs w:val="18"/>
                    </w:rPr>
                  </w:pPr>
                  <w:r>
                    <w:rPr>
                      <w:rFonts w:hint="eastAsia" w:ascii="宋体" w:hAnsi="宋体" w:eastAsia="宋体" w:cs="宋体"/>
                      <w:sz w:val="18"/>
                      <w:szCs w:val="18"/>
                    </w:rPr>
                    <w:t>固废处理达标排放</w:t>
                  </w:r>
                </w:p>
              </w:tc>
              <w:tc>
                <w:tcPr>
                  <w:tcW w:w="2669" w:type="dxa"/>
                  <w:noWrap w:val="0"/>
                  <w:vAlign w:val="center"/>
                </w:tcPr>
                <w:p>
                  <w:pPr>
                    <w:tabs>
                      <w:tab w:val="left" w:pos="1800"/>
                    </w:tabs>
                    <w:spacing w:line="360" w:lineRule="auto"/>
                    <w:rPr>
                      <w:rFonts w:hint="eastAsia" w:ascii="宋体" w:hAnsi="宋体" w:eastAsia="宋体" w:cs="宋体"/>
                      <w:sz w:val="18"/>
                      <w:szCs w:val="18"/>
                    </w:rPr>
                  </w:pPr>
                  <w:r>
                    <w:rPr>
                      <w:rFonts w:hint="eastAsia" w:ascii="宋体" w:hAnsi="宋体" w:eastAsia="宋体" w:cs="宋体"/>
                      <w:sz w:val="18"/>
                      <w:szCs w:val="18"/>
                      <w:lang w:eastAsia="zh-CN"/>
                    </w:rPr>
                    <w:t>固体废弃物</w:t>
                  </w:r>
                  <w:r>
                    <w:rPr>
                      <w:rFonts w:hint="eastAsia" w:ascii="宋体" w:hAnsi="宋体" w:eastAsia="宋体" w:cs="宋体"/>
                      <w:sz w:val="18"/>
                      <w:szCs w:val="18"/>
                      <w:lang w:val="en-US" w:eastAsia="zh-CN"/>
                    </w:rPr>
                    <w:t>和危废</w:t>
                  </w:r>
                  <w:r>
                    <w:rPr>
                      <w:rFonts w:hint="eastAsia" w:ascii="宋体" w:hAnsi="宋体" w:eastAsia="宋体" w:cs="宋体"/>
                      <w:sz w:val="18"/>
                      <w:szCs w:val="18"/>
                      <w:lang w:eastAsia="zh-CN"/>
                    </w:rPr>
                    <w:t>处理率达100%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688" w:type="dxa"/>
                  <w:vMerge w:val="restart"/>
                  <w:noWrap w:val="0"/>
                  <w:vAlign w:val="center"/>
                </w:tcPr>
                <w:p>
                  <w:pPr>
                    <w:tabs>
                      <w:tab w:val="left" w:pos="1800"/>
                    </w:tabs>
                    <w:spacing w:line="360" w:lineRule="auto"/>
                    <w:rPr>
                      <w:rFonts w:hint="eastAsia" w:ascii="宋体" w:hAnsi="宋体" w:cs="宋体"/>
                      <w:b/>
                      <w:bCs/>
                      <w:color w:val="000000"/>
                      <w:sz w:val="18"/>
                      <w:szCs w:val="18"/>
                    </w:rPr>
                  </w:pPr>
                  <w:r>
                    <w:rPr>
                      <w:rFonts w:hint="eastAsia" w:ascii="宋体" w:hAnsi="宋体" w:cs="宋体"/>
                      <w:color w:val="000000"/>
                      <w:sz w:val="18"/>
                      <w:szCs w:val="18"/>
                    </w:rPr>
                    <w:t>职业健康安全</w:t>
                  </w:r>
                  <w:r>
                    <w:rPr>
                      <w:rFonts w:hint="eastAsia" w:ascii="宋体" w:hAnsi="宋体" w:cs="宋体"/>
                      <w:bCs/>
                      <w:color w:val="000000"/>
                      <w:sz w:val="18"/>
                      <w:szCs w:val="18"/>
                    </w:rPr>
                    <w:t>目标</w:t>
                  </w:r>
                </w:p>
              </w:tc>
              <w:tc>
                <w:tcPr>
                  <w:tcW w:w="2100" w:type="dxa"/>
                  <w:tcBorders>
                    <w:bottom w:val="single" w:color="000000" w:sz="4" w:space="0"/>
                  </w:tcBorders>
                  <w:noWrap w:val="0"/>
                  <w:vAlign w:val="center"/>
                </w:tcPr>
                <w:p>
                  <w:pPr>
                    <w:tabs>
                      <w:tab w:val="left" w:pos="1800"/>
                    </w:tabs>
                    <w:spacing w:line="360" w:lineRule="auto"/>
                    <w:rPr>
                      <w:rFonts w:hint="eastAsia" w:ascii="宋体" w:hAnsi="宋体" w:eastAsia="宋体" w:cs="宋体"/>
                      <w:sz w:val="18"/>
                      <w:szCs w:val="18"/>
                    </w:rPr>
                  </w:pPr>
                  <w:r>
                    <w:rPr>
                      <w:rFonts w:hint="eastAsia" w:ascii="宋体" w:hAnsi="宋体" w:eastAsia="宋体" w:cs="宋体"/>
                      <w:sz w:val="18"/>
                      <w:szCs w:val="18"/>
                    </w:rPr>
                    <w:t>重大安全事故为0</w:t>
                  </w:r>
                </w:p>
              </w:tc>
              <w:tc>
                <w:tcPr>
                  <w:tcW w:w="2669" w:type="dxa"/>
                  <w:tcBorders>
                    <w:bottom w:val="single" w:color="000000" w:sz="4" w:space="0"/>
                  </w:tcBorders>
                  <w:noWrap w:val="0"/>
                  <w:vAlign w:val="center"/>
                </w:tcPr>
                <w:p>
                  <w:pPr>
                    <w:tabs>
                      <w:tab w:val="left" w:pos="1800"/>
                    </w:tabs>
                    <w:spacing w:line="360" w:lineRule="auto"/>
                    <w:rPr>
                      <w:rFonts w:hint="eastAsia" w:ascii="宋体" w:hAnsi="宋体" w:eastAsia="宋体" w:cs="宋体"/>
                      <w:sz w:val="18"/>
                      <w:szCs w:val="18"/>
                    </w:rPr>
                  </w:pPr>
                  <w:r>
                    <w:rPr>
                      <w:rFonts w:hint="eastAsia" w:ascii="宋体" w:hAnsi="宋体" w:eastAsia="宋体" w:cs="宋体"/>
                      <w:sz w:val="18"/>
                      <w:szCs w:val="18"/>
                    </w:rPr>
                    <w:t>重大安全事故为0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688" w:type="dxa"/>
                  <w:vMerge w:val="continue"/>
                  <w:noWrap w:val="0"/>
                  <w:vAlign w:val="center"/>
                </w:tcPr>
                <w:p>
                  <w:pPr>
                    <w:tabs>
                      <w:tab w:val="left" w:pos="1800"/>
                    </w:tabs>
                    <w:spacing w:line="360" w:lineRule="auto"/>
                    <w:rPr>
                      <w:rFonts w:hint="eastAsia" w:ascii="宋体" w:hAnsi="宋体" w:cs="宋体"/>
                      <w:color w:val="000000"/>
                      <w:sz w:val="18"/>
                      <w:szCs w:val="18"/>
                    </w:rPr>
                  </w:pPr>
                </w:p>
              </w:tc>
              <w:tc>
                <w:tcPr>
                  <w:tcW w:w="2100" w:type="dxa"/>
                  <w:tcBorders>
                    <w:top w:val="single" w:color="000000" w:sz="4" w:space="0"/>
                    <w:bottom w:val="single" w:color="000000" w:sz="4" w:space="0"/>
                  </w:tcBorders>
                  <w:noWrap w:val="0"/>
                  <w:vAlign w:val="center"/>
                </w:tcPr>
                <w:p>
                  <w:pPr>
                    <w:tabs>
                      <w:tab w:val="left" w:pos="1800"/>
                    </w:tabs>
                    <w:spacing w:line="360" w:lineRule="auto"/>
                    <w:rPr>
                      <w:rFonts w:hint="eastAsia" w:ascii="宋体" w:hAnsi="宋体" w:eastAsia="宋体" w:cs="宋体"/>
                      <w:sz w:val="18"/>
                      <w:szCs w:val="18"/>
                    </w:rPr>
                  </w:pPr>
                  <w:r>
                    <w:rPr>
                      <w:rFonts w:hint="eastAsia" w:ascii="宋体" w:hAnsi="宋体" w:eastAsia="宋体" w:cs="宋体"/>
                      <w:sz w:val="18"/>
                      <w:szCs w:val="18"/>
                    </w:rPr>
                    <w:t>火灾事故发生率为0</w:t>
                  </w:r>
                </w:p>
              </w:tc>
              <w:tc>
                <w:tcPr>
                  <w:tcW w:w="2669" w:type="dxa"/>
                  <w:tcBorders>
                    <w:top w:val="single" w:color="000000" w:sz="4" w:space="0"/>
                    <w:bottom w:val="single" w:color="000000" w:sz="4" w:space="0"/>
                  </w:tcBorders>
                  <w:noWrap w:val="0"/>
                  <w:vAlign w:val="center"/>
                </w:tcPr>
                <w:p>
                  <w:pPr>
                    <w:tabs>
                      <w:tab w:val="left" w:pos="1800"/>
                    </w:tabs>
                    <w:spacing w:line="360" w:lineRule="auto"/>
                    <w:rPr>
                      <w:rFonts w:hint="eastAsia" w:ascii="宋体" w:hAnsi="宋体" w:eastAsia="宋体" w:cs="宋体"/>
                      <w:sz w:val="18"/>
                      <w:szCs w:val="18"/>
                    </w:rPr>
                  </w:pPr>
                  <w:r>
                    <w:rPr>
                      <w:rFonts w:hint="eastAsia" w:ascii="宋体" w:hAnsi="宋体" w:eastAsia="宋体" w:cs="宋体"/>
                      <w:sz w:val="18"/>
                      <w:szCs w:val="18"/>
                      <w:lang w:val="en-US" w:eastAsia="zh-CN"/>
                    </w:rPr>
                    <w:t>火灾事故发生率为0</w:t>
                  </w:r>
                </w:p>
              </w:tc>
            </w:tr>
          </w:tbl>
          <w:p>
            <w:pPr>
              <w:keepNext w:val="0"/>
              <w:keepLines w:val="0"/>
              <w:widowControl w:val="0"/>
              <w:numPr>
                <w:ilvl w:val="0"/>
                <w:numId w:val="0"/>
              </w:numPr>
              <w:suppressLineNumbers w:val="0"/>
              <w:spacing w:before="0" w:beforeAutospacing="0" w:after="0" w:afterAutospacing="0"/>
              <w:ind w:left="0" w:right="0"/>
              <w:jc w:val="both"/>
            </w:pPr>
          </w:p>
          <w:p>
            <w:pPr>
              <w:pStyle w:val="11"/>
            </w:pPr>
            <w:r>
              <w:drawing>
                <wp:inline distT="0" distB="0" distL="114300" distR="114300">
                  <wp:extent cx="6206490" cy="1778000"/>
                  <wp:effectExtent l="0" t="0" r="381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8"/>
                          <a:stretch>
                            <a:fillRect/>
                          </a:stretch>
                        </pic:blipFill>
                        <pic:spPr>
                          <a:xfrm>
                            <a:off x="0" y="0"/>
                            <a:ext cx="6206490" cy="1778000"/>
                          </a:xfrm>
                          <a:prstGeom prst="rect">
                            <a:avLst/>
                          </a:prstGeom>
                          <a:noFill/>
                          <a:ln>
                            <a:noFill/>
                          </a:ln>
                        </pic:spPr>
                      </pic:pic>
                    </a:graphicData>
                  </a:graphic>
                </wp:inline>
              </w:drawing>
            </w:r>
          </w:p>
          <w:p>
            <w:pPr>
              <w:pStyle w:val="11"/>
            </w:pPr>
            <w:r>
              <w:drawing>
                <wp:inline distT="0" distB="0" distL="114300" distR="114300">
                  <wp:extent cx="6210935" cy="2275840"/>
                  <wp:effectExtent l="0" t="0" r="12065" b="1016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9"/>
                          <a:stretch>
                            <a:fillRect/>
                          </a:stretch>
                        </pic:blipFill>
                        <pic:spPr>
                          <a:xfrm>
                            <a:off x="0" y="0"/>
                            <a:ext cx="6210935" cy="2275840"/>
                          </a:xfrm>
                          <a:prstGeom prst="rect">
                            <a:avLst/>
                          </a:prstGeom>
                          <a:noFill/>
                          <a:ln>
                            <a:noFill/>
                          </a:ln>
                        </pic:spPr>
                      </pic:pic>
                    </a:graphicData>
                  </a:graphic>
                </wp:inline>
              </w:drawing>
            </w:r>
          </w:p>
          <w:p>
            <w:pPr>
              <w:pStyle w:val="11"/>
            </w:pPr>
          </w:p>
          <w:p>
            <w:pPr>
              <w:numPr>
                <w:ilvl w:val="0"/>
                <w:numId w:val="2"/>
              </w:numPr>
              <w:ind w:left="420" w:leftChars="0" w:hanging="420" w:firstLineChars="0"/>
              <w:rPr>
                <w:rFonts w:hint="eastAsia"/>
                <w:vertAlign w:val="baseline"/>
                <w:lang w:eastAsia="zh-CN"/>
              </w:rPr>
            </w:pPr>
            <w:r>
              <w:rPr>
                <w:rFonts w:hint="eastAsia"/>
                <w:lang w:val="en-US" w:eastAsia="zh-CN"/>
              </w:rPr>
              <w:t>公司</w:t>
            </w:r>
            <w:r>
              <w:rPr>
                <w:rFonts w:hint="eastAsia"/>
                <w:lang w:val="en-US"/>
              </w:rPr>
              <w:t>目标</w:t>
            </w:r>
            <w:r>
              <w:rPr>
                <w:rFonts w:hint="eastAsia"/>
                <w:lang w:val="en-US" w:eastAsia="zh-CN"/>
              </w:rPr>
              <w:t>基本可测量，目标已</w:t>
            </w:r>
            <w:r>
              <w:rPr>
                <w:rFonts w:hint="eastAsia"/>
                <w:lang w:val="en-US"/>
              </w:rPr>
              <w:t>实现</w:t>
            </w:r>
            <w:r>
              <w:rPr>
                <w:rFonts w:hint="eastAsia"/>
                <w:lang w:eastAsia="zh-CN"/>
              </w:rPr>
              <w:t>。</w:t>
            </w:r>
          </w:p>
          <w:p>
            <w:pPr>
              <w:numPr>
                <w:ilvl w:val="0"/>
                <w:numId w:val="2"/>
              </w:numPr>
              <w:spacing w:line="360" w:lineRule="auto"/>
              <w:ind w:left="420" w:leftChars="0" w:hanging="420" w:firstLineChars="0"/>
              <w:rPr>
                <w:rFonts w:hint="eastAsia" w:ascii="宋体" w:hAnsi="宋体"/>
                <w:color w:val="000000"/>
                <w:sz w:val="21"/>
                <w:szCs w:val="21"/>
                <w:lang w:val="en-US" w:eastAsia="zh-CN"/>
              </w:rPr>
            </w:pPr>
            <w:r>
              <w:rPr>
                <w:rFonts w:hint="eastAsia" w:ascii="宋体" w:hAnsi="宋体"/>
                <w:color w:val="000000"/>
                <w:sz w:val="21"/>
                <w:szCs w:val="21"/>
              </w:rPr>
              <w:t>目标在各部门进行了分解，部门管理目标</w:t>
            </w:r>
            <w:r>
              <w:rPr>
                <w:rFonts w:hint="eastAsia" w:ascii="宋体" w:hAnsi="宋体"/>
                <w:color w:val="000000"/>
                <w:sz w:val="21"/>
                <w:szCs w:val="21"/>
                <w:lang w:val="en-US" w:eastAsia="zh-CN"/>
              </w:rPr>
              <w:t>按季度、年度</w:t>
            </w:r>
            <w:r>
              <w:rPr>
                <w:rFonts w:hint="eastAsia" w:ascii="宋体" w:hAnsi="宋体"/>
                <w:color w:val="000000"/>
                <w:sz w:val="21"/>
                <w:szCs w:val="21"/>
              </w:rPr>
              <w:t>统计，由</w:t>
            </w:r>
            <w:r>
              <w:rPr>
                <w:rFonts w:hint="eastAsia" w:ascii="宋体" w:hAnsi="宋体"/>
                <w:color w:val="000000"/>
                <w:sz w:val="21"/>
                <w:szCs w:val="21"/>
                <w:lang w:val="en-US" w:eastAsia="zh-CN"/>
              </w:rPr>
              <w:t>综合办公室</w:t>
            </w:r>
            <w:r>
              <w:rPr>
                <w:rFonts w:hint="eastAsia" w:ascii="宋体" w:hAnsi="宋体"/>
                <w:color w:val="000000"/>
                <w:sz w:val="21"/>
                <w:szCs w:val="21"/>
              </w:rPr>
              <w:t>负责统计并保存</w:t>
            </w:r>
            <w:r>
              <w:rPr>
                <w:rFonts w:hint="eastAsia" w:ascii="宋体" w:hAnsi="宋体"/>
                <w:color w:val="000000"/>
                <w:sz w:val="21"/>
                <w:szCs w:val="21"/>
                <w:lang w:val="en-US" w:eastAsia="zh-CN"/>
              </w:rPr>
              <w:t>目标分解；</w:t>
            </w:r>
            <w:r>
              <w:rPr>
                <w:rFonts w:hint="eastAsia" w:ascii="Times New Roman" w:hAnsi="Times New Roman" w:eastAsia="宋体" w:cs="Times New Roman"/>
                <w:lang w:val="en-US" w:eastAsia="zh-CN"/>
              </w:rPr>
              <w:t>《环境目标、指标和管理方案》《职业健康安全目标、指标和管理方案》</w:t>
            </w:r>
            <w:r>
              <w:rPr>
                <w:rFonts w:hint="eastAsia" w:ascii="宋体" w:hAnsi="宋体"/>
                <w:color w:val="000000"/>
                <w:sz w:val="21"/>
                <w:szCs w:val="21"/>
                <w:lang w:val="en-US" w:eastAsia="zh-CN"/>
              </w:rPr>
              <w:t>，相关部门提供相关数据。</w:t>
            </w:r>
          </w:p>
          <w:p>
            <w:pPr>
              <w:numPr>
                <w:ilvl w:val="0"/>
                <w:numId w:val="2"/>
              </w:numPr>
              <w:spacing w:line="360" w:lineRule="auto"/>
              <w:ind w:left="420" w:leftChars="0" w:hanging="420" w:firstLineChars="0"/>
              <w:rPr>
                <w:rFonts w:hint="eastAsia"/>
                <w:lang w:val="en-US" w:eastAsia="zh-CN"/>
              </w:rPr>
            </w:pPr>
            <w:r>
              <w:rPr>
                <w:rFonts w:hint="eastAsia" w:ascii="宋体" w:hAnsi="宋体"/>
                <w:color w:val="000000"/>
                <w:sz w:val="21"/>
                <w:szCs w:val="21"/>
                <w:lang w:eastAsia="zh-CN"/>
              </w:rPr>
              <w:t>公司对各职能部门也建立了目标分解,各职能部门的目标分解见各职能部门的审核, 确定了按</w:t>
            </w:r>
            <w:r>
              <w:rPr>
                <w:rFonts w:hint="eastAsia" w:ascii="宋体" w:hAnsi="宋体"/>
                <w:color w:val="000000"/>
                <w:sz w:val="21"/>
                <w:szCs w:val="21"/>
                <w:lang w:val="en-US" w:eastAsia="zh-CN"/>
              </w:rPr>
              <w:t>季度、年度</w:t>
            </w:r>
            <w:r>
              <w:rPr>
                <w:rFonts w:hint="eastAsia" w:ascii="宋体" w:hAnsi="宋体"/>
                <w:color w:val="000000"/>
                <w:sz w:val="21"/>
                <w:szCs w:val="21"/>
                <w:lang w:eastAsia="zh-CN"/>
              </w:rPr>
              <w:t>等阶段对各层级</w:t>
            </w:r>
            <w:r>
              <w:rPr>
                <w:rFonts w:hint="eastAsia" w:ascii="宋体" w:hAnsi="宋体"/>
                <w:color w:val="000000"/>
                <w:sz w:val="21"/>
                <w:szCs w:val="21"/>
                <w:lang w:val="en-US" w:eastAsia="zh-CN"/>
              </w:rPr>
              <w:t>管理</w:t>
            </w:r>
            <w:r>
              <w:rPr>
                <w:rFonts w:hint="eastAsia" w:ascii="宋体" w:hAnsi="宋体"/>
                <w:color w:val="000000"/>
                <w:sz w:val="21"/>
                <w:szCs w:val="21"/>
                <w:lang w:eastAsia="zh-CN"/>
              </w:rPr>
              <w:t>目标完成情况进行考核评价。由各部门负责人进行考核。</w:t>
            </w:r>
          </w:p>
        </w:tc>
        <w:tc>
          <w:tcPr>
            <w:tcW w:w="1585" w:type="dxa"/>
          </w:tcPr>
          <w:p>
            <w:pPr>
              <w:rPr>
                <w:rFonts w:hint="eastAsia"/>
                <w:lang w:val="en-US" w:eastAsia="zh-CN"/>
              </w:rPr>
            </w:pPr>
            <w:r>
              <w:rPr>
                <w:rFonts w:hint="eastAsia"/>
                <w:lang w:val="en-US" w:eastAsia="zh-CN"/>
              </w:rPr>
              <w:sym w:font="Wingdings" w:char="00FE"/>
            </w:r>
            <w:r>
              <w:rPr>
                <w:rFonts w:hint="eastAsia"/>
                <w:lang w:val="en-US" w:eastAsia="zh-CN"/>
              </w:rPr>
              <w:t>符合</w:t>
            </w:r>
          </w:p>
          <w:p>
            <w:r>
              <w:rPr>
                <w:rFonts w:hint="eastAsia"/>
                <w:lang w:eastAsia="zh-CN"/>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color w:val="000000"/>
                <w:szCs w:val="21"/>
                <w:lang w:val="en-US" w:eastAsia="zh-CN"/>
              </w:rPr>
            </w:pPr>
            <w:r>
              <w:rPr>
                <w:rFonts w:hint="eastAsia"/>
                <w:color w:val="000000"/>
                <w:szCs w:val="21"/>
                <w:lang w:val="en-US" w:eastAsia="zh-CN"/>
              </w:rPr>
              <w:t>变更的策划</w:t>
            </w:r>
          </w:p>
          <w:p>
            <w:pPr>
              <w:rPr>
                <w:rFonts w:hint="eastAsia"/>
              </w:rPr>
            </w:pPr>
          </w:p>
        </w:tc>
        <w:tc>
          <w:tcPr>
            <w:tcW w:w="960" w:type="dxa"/>
            <w:vAlign w:val="top"/>
          </w:tcPr>
          <w:p>
            <w:pPr>
              <w:rPr>
                <w:rFonts w:hint="eastAsia"/>
              </w:rPr>
            </w:pPr>
            <w:r>
              <w:rPr>
                <w:rFonts w:hint="eastAsia"/>
                <w:color w:val="000000"/>
                <w:szCs w:val="21"/>
                <w:lang w:val="en-US" w:eastAsia="zh-CN"/>
              </w:rPr>
              <w:t>Q6.3</w:t>
            </w:r>
          </w:p>
        </w:tc>
        <w:tc>
          <w:tcPr>
            <w:tcW w:w="10004" w:type="dxa"/>
          </w:tcPr>
          <w:p>
            <w:pPr>
              <w:rPr>
                <w:rFonts w:hint="eastAsia"/>
                <w:lang w:val="en-US" w:eastAsia="zh-CN"/>
              </w:rPr>
            </w:pPr>
            <w:r>
              <w:rPr>
                <w:rFonts w:hint="eastAsia"/>
                <w:lang w:val="en-US" w:eastAsia="zh-CN"/>
              </w:rPr>
              <w:t>文件：管理手册第6.3条款；</w:t>
            </w:r>
          </w:p>
          <w:p>
            <w:pPr>
              <w:adjustRightInd w:val="0"/>
              <w:snapToGrid w:val="0"/>
              <w:rPr>
                <w:rFonts w:hint="default" w:ascii="宋体" w:hAnsi="宋体" w:eastAsia="宋体"/>
                <w:color w:val="000000"/>
                <w:lang w:val="en-US" w:eastAsia="zh-CN"/>
              </w:rPr>
            </w:pPr>
            <w:r>
              <w:rPr>
                <w:rFonts w:hint="eastAsia" w:ascii="宋体" w:hAnsi="宋体"/>
                <w:color w:val="000000"/>
                <w:lang w:val="en-US" w:eastAsia="zh-CN"/>
              </w:rPr>
              <w:t>总经理</w:t>
            </w:r>
            <w:r>
              <w:rPr>
                <w:rFonts w:hint="eastAsia" w:ascii="宋体" w:hAnsi="宋体" w:eastAsia="宋体"/>
                <w:color w:val="000000"/>
                <w:lang w:val="en-US" w:eastAsia="zh-CN"/>
              </w:rPr>
              <w:t>称：</w:t>
            </w:r>
          </w:p>
          <w:p>
            <w:pPr>
              <w:numPr>
                <w:ilvl w:val="0"/>
                <w:numId w:val="3"/>
              </w:numPr>
              <w:adjustRightInd w:val="0"/>
              <w:snapToGrid w:val="0"/>
              <w:ind w:left="420" w:leftChars="0" w:hanging="420" w:firstLineChars="0"/>
              <w:rPr>
                <w:rFonts w:hint="eastAsia" w:ascii="宋体" w:hAnsi="宋体" w:eastAsia="宋体"/>
                <w:color w:val="000000"/>
                <w:lang w:eastAsia="zh-CN"/>
              </w:rPr>
            </w:pPr>
            <w:r>
              <w:rPr>
                <w:rFonts w:hint="eastAsia" w:ascii="宋体" w:hAnsi="宋体" w:eastAsia="宋体"/>
                <w:color w:val="000000"/>
                <w:lang w:eastAsia="zh-CN"/>
              </w:rPr>
              <w:t>公司考虑</w:t>
            </w:r>
            <w:r>
              <w:rPr>
                <w:rFonts w:hint="eastAsia" w:ascii="宋体" w:hAnsi="宋体" w:eastAsia="宋体"/>
                <w:color w:val="000000"/>
                <w:lang w:val="en-US" w:eastAsia="zh-CN"/>
              </w:rPr>
              <w:t>并</w:t>
            </w:r>
            <w:r>
              <w:rPr>
                <w:rFonts w:hint="eastAsia" w:ascii="宋体" w:hAnsi="宋体" w:eastAsia="宋体"/>
                <w:color w:val="000000"/>
                <w:lang w:eastAsia="zh-CN"/>
              </w:rPr>
              <w:t>策划</w:t>
            </w:r>
            <w:r>
              <w:rPr>
                <w:rFonts w:hint="eastAsia" w:ascii="宋体" w:hAnsi="宋体"/>
                <w:color w:val="000000"/>
                <w:lang w:val="en-US" w:eastAsia="zh-CN"/>
              </w:rPr>
              <w:t>质量</w:t>
            </w:r>
            <w:r>
              <w:rPr>
                <w:rFonts w:hint="eastAsia" w:ascii="宋体" w:hAnsi="宋体" w:eastAsia="宋体"/>
                <w:color w:val="000000"/>
                <w:lang w:eastAsia="zh-CN"/>
              </w:rPr>
              <w:t>管理体系的变更：</w:t>
            </w:r>
          </w:p>
          <w:p>
            <w:pPr>
              <w:adjustRightInd w:val="0"/>
              <w:snapToGrid w:val="0"/>
              <w:rPr>
                <w:rFonts w:hint="eastAsia" w:ascii="宋体" w:hAnsi="宋体" w:eastAsia="宋体"/>
                <w:color w:val="000000"/>
                <w:lang w:val="en-US" w:eastAsia="zh-CN"/>
              </w:rPr>
            </w:pPr>
            <w:r>
              <w:rPr>
                <w:rFonts w:hint="eastAsia" w:ascii="宋体" w:hAnsi="宋体" w:eastAsia="宋体"/>
                <w:color w:val="000000"/>
                <w:lang w:eastAsia="zh-CN"/>
              </w:rPr>
              <w:t>公司所处</w:t>
            </w:r>
            <w:r>
              <w:rPr>
                <w:rFonts w:hint="eastAsia" w:ascii="宋体" w:hAnsi="宋体" w:eastAsia="宋体"/>
                <w:color w:val="000000"/>
                <w:lang w:val="en-US" w:eastAsia="zh-CN"/>
              </w:rPr>
              <w:t>的内外部环境的变化；利益和相关方的需求、期望以及其他相关方面的任何变化；监视、测量、分析及评价的结果，包括所识别的趋势和反馈；已识别的风险和机遇的评审；</w:t>
            </w:r>
            <w:r>
              <w:rPr>
                <w:rFonts w:hint="eastAsia" w:ascii="宋体" w:hAnsi="宋体" w:eastAsia="宋体"/>
                <w:color w:val="000000"/>
                <w:lang w:eastAsia="zh-CN"/>
              </w:rPr>
              <w:t>变更目的及其潜在后果；</w:t>
            </w:r>
          </w:p>
          <w:p>
            <w:pPr>
              <w:numPr>
                <w:ilvl w:val="0"/>
                <w:numId w:val="3"/>
              </w:numPr>
              <w:adjustRightInd w:val="0"/>
              <w:snapToGrid w:val="0"/>
              <w:ind w:left="420" w:leftChars="0" w:hanging="420" w:firstLineChars="0"/>
              <w:rPr>
                <w:rFonts w:hint="eastAsia" w:ascii="宋体" w:hAnsi="宋体" w:eastAsia="宋体"/>
                <w:color w:val="000000"/>
                <w:lang w:val="en-US" w:eastAsia="zh-CN"/>
              </w:rPr>
            </w:pPr>
            <w:r>
              <w:rPr>
                <w:rFonts w:hint="eastAsia" w:ascii="宋体" w:hAnsi="宋体" w:eastAsia="宋体"/>
                <w:color w:val="000000"/>
                <w:lang w:val="en-US" w:eastAsia="zh-CN"/>
              </w:rPr>
              <w:t>公司通过管理评审的一部分、审核结果、不符合项评审、投诉分析、过程绩效分析、组织环境变化、顾客及利益相关方的变更等识别其变更的需求。</w:t>
            </w:r>
          </w:p>
          <w:p>
            <w:pPr>
              <w:numPr>
                <w:ilvl w:val="0"/>
                <w:numId w:val="3"/>
              </w:numPr>
              <w:adjustRightInd w:val="0"/>
              <w:snapToGrid w:val="0"/>
              <w:ind w:left="420" w:leftChars="0" w:hanging="420" w:firstLineChars="0"/>
              <w:rPr>
                <w:rFonts w:hint="eastAsia" w:ascii="宋体" w:hAnsi="宋体" w:eastAsia="宋体"/>
                <w:color w:val="000000"/>
                <w:lang w:val="en-US" w:eastAsia="zh-CN"/>
              </w:rPr>
            </w:pPr>
            <w:r>
              <w:rPr>
                <w:rFonts w:hint="eastAsia" w:ascii="宋体" w:hAnsi="宋体" w:eastAsia="宋体"/>
                <w:color w:val="000000"/>
                <w:lang w:val="en-US" w:eastAsia="zh-CN"/>
              </w:rPr>
              <w:t>基于风险思考的方法对识别策划质量管理体系变更时的必要措施；公司对其质量管理体系变更进行了评估；提高顾客满意度的能力。</w:t>
            </w:r>
          </w:p>
          <w:p>
            <w:pPr>
              <w:numPr>
                <w:ilvl w:val="0"/>
                <w:numId w:val="3"/>
              </w:numPr>
              <w:adjustRightInd w:val="0"/>
              <w:snapToGrid w:val="0"/>
              <w:ind w:left="420" w:leftChars="0" w:hanging="420" w:firstLineChars="0"/>
              <w:rPr>
                <w:rFonts w:hint="eastAsia" w:ascii="宋体" w:hAnsi="宋体" w:eastAsia="宋体"/>
                <w:color w:val="000000"/>
                <w:lang w:val="en-US" w:eastAsia="zh-CN"/>
              </w:rPr>
            </w:pPr>
            <w:r>
              <w:rPr>
                <w:rFonts w:hint="eastAsia" w:ascii="宋体" w:hAnsi="宋体" w:eastAsia="宋体"/>
                <w:color w:val="000000"/>
                <w:lang w:val="en-US" w:eastAsia="zh-CN"/>
              </w:rPr>
              <w:t>目前公司按新的标准建立了管理体系，并策划了变更管理制度，确定了变更管理机制，对公司管理体系各个变更的因素均从系统性进行控制，确保变更不会给管理体系运行的有效性带了影响，</w:t>
            </w:r>
          </w:p>
          <w:p>
            <w:pPr>
              <w:numPr>
                <w:ilvl w:val="0"/>
                <w:numId w:val="3"/>
              </w:numPr>
              <w:adjustRightInd w:val="0"/>
              <w:snapToGrid w:val="0"/>
              <w:ind w:left="420" w:leftChars="0" w:hanging="420" w:firstLineChars="0"/>
              <w:rPr>
                <w:rFonts w:hint="default"/>
                <w:lang w:val="en-US" w:eastAsia="zh-CN"/>
              </w:rPr>
            </w:pPr>
            <w:r>
              <w:rPr>
                <w:rFonts w:hint="eastAsia" w:ascii="宋体" w:hAnsi="宋体" w:eastAsia="宋体"/>
                <w:color w:val="000000"/>
                <w:lang w:val="en-US" w:eastAsia="zh-CN"/>
              </w:rPr>
              <w:t>--当公司对管理体系进行变更时，主要从以下几个方面考虑管理体系的系统性变更：a）变更目的及其潜在后果； b）质量管理体系的完整性； c）资源的可获得性； d）责任和权限的分配或再分配。</w:t>
            </w:r>
          </w:p>
          <w:p>
            <w:pPr>
              <w:pStyle w:val="2"/>
              <w:rPr>
                <w:rFonts w:hint="eastAsia"/>
                <w:lang w:val="en-US" w:eastAsia="zh-CN"/>
              </w:rPr>
            </w:pPr>
          </w:p>
        </w:tc>
        <w:tc>
          <w:tcPr>
            <w:tcW w:w="1585" w:type="dxa"/>
          </w:tcPr>
          <w:p>
            <w:pPr>
              <w:rPr>
                <w:rFonts w:hint="eastAsia"/>
                <w:lang w:val="en-US" w:eastAsia="zh-CN"/>
              </w:rPr>
            </w:pPr>
            <w:r>
              <w:rPr>
                <w:rFonts w:hint="eastAsia"/>
                <w:vertAlign w:val="baseline"/>
                <w:lang w:val="en-US"/>
              </w:rPr>
              <w:sym w:font="Wingdings" w:char="00FE"/>
            </w:r>
            <w:r>
              <w:rPr>
                <w:rFonts w:hint="eastAsia"/>
                <w:lang w:val="en-US" w:eastAsia="zh-CN"/>
              </w:rPr>
              <w:t>符合</w:t>
            </w:r>
          </w:p>
          <w:p>
            <w:r>
              <w:rPr>
                <w:rFonts w:hint="eastAsia"/>
                <w:lang w:eastAsia="zh-CN"/>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vAlign w:val="top"/>
          </w:tcPr>
          <w:p>
            <w:pPr>
              <w:rPr>
                <w:rFonts w:hint="eastAsia"/>
              </w:rPr>
            </w:pPr>
            <w:r>
              <w:rPr>
                <w:rFonts w:hint="eastAsia"/>
                <w:lang w:val="en-US" w:eastAsia="zh-CN"/>
              </w:rPr>
              <w:t>资源（总则）</w:t>
            </w:r>
          </w:p>
        </w:tc>
        <w:tc>
          <w:tcPr>
            <w:tcW w:w="960" w:type="dxa"/>
            <w:vAlign w:val="top"/>
          </w:tcPr>
          <w:p>
            <w:pPr>
              <w:rPr>
                <w:rFonts w:hint="default" w:eastAsia="宋体"/>
                <w:lang w:val="en-US" w:eastAsia="zh-CN"/>
              </w:rPr>
            </w:pPr>
            <w:r>
              <w:rPr>
                <w:rFonts w:hint="eastAsia"/>
                <w:lang w:val="en-US" w:eastAsia="zh-CN"/>
              </w:rPr>
              <w:t>QEO7.1</w:t>
            </w:r>
          </w:p>
        </w:tc>
        <w:tc>
          <w:tcPr>
            <w:tcW w:w="10004" w:type="dxa"/>
          </w:tcPr>
          <w:p>
            <w:pPr>
              <w:rPr>
                <w:rFonts w:hint="eastAsia"/>
                <w:lang w:val="en-US" w:eastAsia="zh-CN"/>
              </w:rPr>
            </w:pPr>
            <w:r>
              <w:rPr>
                <w:rFonts w:hint="eastAsia"/>
                <w:lang w:val="en-US" w:eastAsia="zh-CN"/>
              </w:rPr>
              <w:t>文件：管理手册第7.1条款</w:t>
            </w:r>
          </w:p>
          <w:p>
            <w:pPr>
              <w:rPr>
                <w:rFonts w:hint="eastAsia"/>
                <w:color w:val="000000"/>
                <w:szCs w:val="21"/>
                <w:lang w:val="en-US" w:eastAsia="zh-CN"/>
              </w:rPr>
            </w:pPr>
            <w:r>
              <w:rPr>
                <w:rFonts w:hint="eastAsia"/>
                <w:color w:val="000000"/>
                <w:szCs w:val="21"/>
                <w:lang w:val="en-US" w:eastAsia="zh-CN"/>
              </w:rPr>
              <w:t xml:space="preserve">和最高管理层确定并提供所需的资源，以建立、实施、保持和持续改进管理体系。 </w:t>
            </w:r>
          </w:p>
          <w:p>
            <w:pPr>
              <w:rPr>
                <w:rFonts w:hint="eastAsia"/>
                <w:lang w:val="en-US" w:eastAsia="zh-CN"/>
              </w:rPr>
            </w:pPr>
            <w:r>
              <w:rPr>
                <w:rFonts w:hint="eastAsia" w:ascii="宋体" w:hAnsi="宋体" w:cs="宋体"/>
                <w:lang w:val="en-US" w:eastAsia="zh-CN"/>
              </w:rPr>
              <w:t>1、公司</w:t>
            </w:r>
            <w:r>
              <w:rPr>
                <w:rFonts w:hint="eastAsia" w:ascii="宋体" w:hAnsi="宋体" w:cs="宋体"/>
              </w:rPr>
              <w:t>确定并提供了建立、实施、保持环境管理体系所需的资源。包括内部资源和外部资源。</w:t>
            </w:r>
          </w:p>
          <w:p>
            <w:pPr>
              <w:numPr>
                <w:ilvl w:val="0"/>
                <w:numId w:val="4"/>
              </w:numPr>
              <w:rPr>
                <w:rFonts w:hint="eastAsia" w:ascii="宋体" w:hAnsi="宋体" w:cs="宋体"/>
                <w:lang w:val="en-US" w:eastAsia="zh-CN"/>
              </w:rPr>
            </w:pPr>
            <w:r>
              <w:rPr>
                <w:rFonts w:hint="eastAsia"/>
                <w:color w:val="000000"/>
                <w:szCs w:val="21"/>
                <w:lang w:val="en-US" w:eastAsia="zh-CN"/>
              </w:rPr>
              <w:t>现有内部资</w:t>
            </w:r>
            <w:r>
              <w:rPr>
                <w:rFonts w:hint="eastAsia" w:ascii="宋体" w:hAnsi="宋体" w:cs="宋体"/>
                <w:lang w:val="en-US" w:eastAsia="zh-CN"/>
              </w:rPr>
              <w:t>源的能力；主要办公设备有：电脑、打印机、</w:t>
            </w:r>
            <w:r>
              <w:rPr>
                <w:rFonts w:hint="eastAsia" w:ascii="宋体" w:hAnsi="宋体" w:cs="宋体"/>
                <w:lang w:eastAsia="zh-CN"/>
              </w:rPr>
              <w:t>干式变压器、</w:t>
            </w:r>
            <w:r>
              <w:rPr>
                <w:rFonts w:hint="eastAsia" w:ascii="宋体" w:hAnsi="宋体" w:cs="宋体"/>
                <w:lang w:val="en-US" w:eastAsia="zh-CN"/>
              </w:rPr>
              <w:t>高压配电柜、低压配电柜、电池控制柜、火灾报警控制器等等；</w:t>
            </w:r>
          </w:p>
          <w:p>
            <w:pPr>
              <w:numPr>
                <w:ilvl w:val="0"/>
                <w:numId w:val="4"/>
              </w:numPr>
              <w:rPr>
                <w:rFonts w:hint="eastAsia" w:ascii="宋体" w:hAnsi="宋体" w:cs="宋体"/>
                <w:lang w:val="en-US" w:eastAsia="zh-CN"/>
              </w:rPr>
            </w:pPr>
            <w:r>
              <w:rPr>
                <w:rFonts w:hint="eastAsia" w:ascii="宋体" w:hAnsi="宋体" w:cs="宋体"/>
                <w:lang w:val="en-US" w:eastAsia="zh-CN"/>
              </w:rPr>
              <w:t>特种设备：无；</w:t>
            </w:r>
          </w:p>
          <w:p>
            <w:pPr>
              <w:numPr>
                <w:ilvl w:val="0"/>
                <w:numId w:val="4"/>
              </w:numPr>
              <w:ind w:left="0" w:leftChars="0" w:firstLine="0" w:firstLineChars="0"/>
            </w:pPr>
            <w:bookmarkStart w:id="4" w:name="_GoBack"/>
            <w:bookmarkEnd w:id="4"/>
            <w:r>
              <w:rPr>
                <w:rFonts w:hint="eastAsia"/>
                <w:color w:val="000000"/>
                <w:szCs w:val="21"/>
                <w:lang w:val="en-US" w:eastAsia="zh-CN"/>
              </w:rPr>
              <w:t>需要从外部供方获得的资源：</w:t>
            </w:r>
            <w:r>
              <w:rPr>
                <w:rFonts w:hint="eastAsia"/>
                <w:u w:val="none"/>
                <w:vertAlign w:val="baseline"/>
                <w:lang w:val="en-US" w:eastAsia="zh-CN"/>
              </w:rPr>
              <w:t xml:space="preserve">         </w:t>
            </w:r>
          </w:p>
          <w:p>
            <w:pPr>
              <w:numPr>
                <w:ilvl w:val="0"/>
                <w:numId w:val="0"/>
              </w:numPr>
              <w:ind w:leftChars="0"/>
              <w:rPr>
                <w:rFonts w:hint="eastAsia" w:ascii="宋体" w:hAnsi="宋体" w:eastAsia="宋体" w:cs="宋体"/>
                <w:lang w:eastAsia="zh-CN"/>
              </w:rPr>
            </w:pPr>
            <w:r>
              <w:rPr>
                <w:rFonts w:hint="eastAsia" w:ascii="宋体" w:hAnsi="宋体" w:cs="宋体"/>
                <w:lang w:val="en-US" w:eastAsia="zh-CN"/>
              </w:rPr>
              <w:t>2、</w:t>
            </w:r>
            <w:r>
              <w:rPr>
                <w:rFonts w:hint="eastAsia" w:ascii="宋体" w:hAnsi="宋体" w:cs="宋体"/>
              </w:rPr>
              <w:t>为管理体系建立提供了</w:t>
            </w:r>
            <w:r>
              <w:rPr>
                <w:rFonts w:hint="eastAsia" w:ascii="宋体" w:hAnsi="宋体" w:cs="宋体"/>
                <w:lang w:eastAsia="zh-CN"/>
              </w:rPr>
              <w:t>：</w:t>
            </w:r>
          </w:p>
          <w:p>
            <w:pPr>
              <w:numPr>
                <w:ilvl w:val="0"/>
                <w:numId w:val="0"/>
              </w:numPr>
              <w:ind w:leftChars="0"/>
              <w:rPr>
                <w:rFonts w:hint="default" w:ascii="宋体" w:eastAsia="宋体" w:cs="Times New Roman"/>
                <w:lang w:val="en-US" w:eastAsia="zh-CN"/>
              </w:rPr>
            </w:pPr>
            <w:r>
              <w:rPr>
                <w:rFonts w:ascii="宋体" w:cs="宋体"/>
              </w:rPr>
              <w:t>---</w:t>
            </w:r>
            <w:r>
              <w:rPr>
                <w:rFonts w:hint="eastAsia" w:ascii="宋体" w:hAnsi="宋体" w:cs="宋体"/>
              </w:rPr>
              <w:t>人力资源；</w:t>
            </w:r>
            <w:r>
              <w:rPr>
                <w:rFonts w:hint="eastAsia" w:cs="宋体"/>
              </w:rPr>
              <w:t>各级各层人员能力、意识、岗位定员均满足要求；</w:t>
            </w:r>
          </w:p>
          <w:p>
            <w:pPr>
              <w:rPr>
                <w:rFonts w:ascii="宋体" w:cs="Times New Roman"/>
              </w:rPr>
            </w:pPr>
            <w:r>
              <w:rPr>
                <w:rFonts w:ascii="宋体" w:cs="宋体"/>
              </w:rPr>
              <w:t>---</w:t>
            </w:r>
            <w:r>
              <w:rPr>
                <w:rFonts w:hint="eastAsia" w:ascii="宋体" w:hAnsi="宋体" w:cs="宋体"/>
              </w:rPr>
              <w:t>技术及财力资源；</w:t>
            </w:r>
          </w:p>
          <w:p>
            <w:pPr>
              <w:rPr>
                <w:rFonts w:ascii="宋体" w:cs="Times New Roman"/>
              </w:rPr>
            </w:pPr>
            <w:r>
              <w:rPr>
                <w:rFonts w:ascii="宋体" w:cs="宋体"/>
              </w:rPr>
              <w:t>---</w:t>
            </w:r>
            <w:r>
              <w:rPr>
                <w:rFonts w:hint="eastAsia" w:ascii="宋体" w:hAnsi="宋体" w:cs="宋体"/>
              </w:rPr>
              <w:t>基础设施等；</w:t>
            </w:r>
          </w:p>
          <w:p>
            <w:pPr>
              <w:rPr>
                <w:rFonts w:hint="eastAsia"/>
                <w:lang w:val="en-US" w:eastAsia="zh-CN"/>
              </w:rPr>
            </w:pPr>
            <w:r>
              <w:rPr>
                <w:rFonts w:ascii="宋体" w:hAnsi="宋体" w:cs="宋体"/>
              </w:rPr>
              <w:t>3.</w:t>
            </w:r>
            <w:r>
              <w:rPr>
                <w:rFonts w:hint="eastAsia" w:ascii="宋体" w:hAnsi="宋体" w:cs="宋体"/>
                <w:lang w:val="en-US" w:eastAsia="zh-CN"/>
              </w:rPr>
              <w:t>所</w:t>
            </w:r>
            <w:r>
              <w:rPr>
                <w:rFonts w:hint="eastAsia" w:ascii="宋体" w:hAnsi="宋体" w:cs="宋体"/>
              </w:rPr>
              <w:t>提供</w:t>
            </w:r>
            <w:r>
              <w:rPr>
                <w:rFonts w:hint="eastAsia" w:ascii="宋体" w:hAnsi="宋体" w:cs="宋体"/>
                <w:lang w:val="en-US" w:eastAsia="zh-CN"/>
              </w:rPr>
              <w:t>的</w:t>
            </w:r>
            <w:r>
              <w:rPr>
                <w:rFonts w:hint="eastAsia" w:ascii="宋体" w:hAnsi="宋体" w:cs="宋体"/>
              </w:rPr>
              <w:t>资源满足要求及持续改进的情况。</w:t>
            </w:r>
          </w:p>
        </w:tc>
        <w:tc>
          <w:tcPr>
            <w:tcW w:w="1585" w:type="dxa"/>
          </w:tcPr>
          <w:p>
            <w:pPr>
              <w:rPr>
                <w:rFonts w:hint="eastAsia"/>
                <w:lang w:val="en-US" w:eastAsia="zh-CN"/>
              </w:rPr>
            </w:pPr>
            <w:r>
              <w:rPr>
                <w:rFonts w:hint="eastAsia"/>
                <w:vertAlign w:val="baseline"/>
                <w:lang w:val="en-US"/>
              </w:rPr>
              <w:sym w:font="Wingdings" w:char="00FE"/>
            </w:r>
            <w:r>
              <w:rPr>
                <w:rFonts w:hint="eastAsia"/>
                <w:lang w:val="en-US" w:eastAsia="zh-CN"/>
              </w:rPr>
              <w:t>符合</w:t>
            </w:r>
          </w:p>
          <w:p>
            <w:r>
              <w:rPr>
                <w:rFonts w:hint="eastAsia"/>
                <w:lang w:eastAsia="zh-CN"/>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rPr>
            </w:pPr>
            <w:r>
              <w:rPr>
                <w:rFonts w:hint="eastAsia"/>
                <w:lang w:val="en-US" w:eastAsia="zh-CN"/>
              </w:rPr>
              <w:t>管理评审</w:t>
            </w:r>
          </w:p>
        </w:tc>
        <w:tc>
          <w:tcPr>
            <w:tcW w:w="960" w:type="dxa"/>
            <w:vAlign w:val="top"/>
          </w:tcPr>
          <w:p>
            <w:pPr>
              <w:rPr>
                <w:rFonts w:hint="eastAsia"/>
              </w:rPr>
            </w:pPr>
            <w:r>
              <w:rPr>
                <w:rFonts w:hint="eastAsia"/>
                <w:lang w:val="en-US" w:eastAsia="zh-CN"/>
              </w:rPr>
              <w:t>Q9.3</w:t>
            </w:r>
          </w:p>
        </w:tc>
        <w:tc>
          <w:tcPr>
            <w:tcW w:w="10004" w:type="dxa"/>
          </w:tcPr>
          <w:p>
            <w:pPr>
              <w:rPr>
                <w:rFonts w:hint="eastAsia"/>
                <w:lang w:val="en-US" w:eastAsia="zh-CN"/>
              </w:rPr>
            </w:pPr>
            <w:r>
              <w:rPr>
                <w:rFonts w:hint="eastAsia"/>
              </w:rPr>
              <w:t>☑</w:t>
            </w:r>
            <w:r>
              <w:rPr>
                <w:rFonts w:hint="eastAsia"/>
                <w:lang w:val="en-US" w:eastAsia="zh-CN"/>
              </w:rPr>
              <w:t>管理手册9.3条款、</w:t>
            </w:r>
            <w:r>
              <w:rPr>
                <w:rFonts w:hint="eastAsia"/>
                <w:lang w:eastAsia="zh-CN"/>
              </w:rPr>
              <w:t>☑</w:t>
            </w:r>
            <w:r>
              <w:rPr>
                <w:rFonts w:hint="eastAsia"/>
                <w:lang w:val="en-US" w:eastAsia="zh-CN"/>
              </w:rPr>
              <w:t>《管理评审控制程序》</w:t>
            </w:r>
          </w:p>
          <w:p>
            <w:pPr>
              <w:widowControl/>
              <w:spacing w:before="40"/>
              <w:jc w:val="left"/>
              <w:rPr>
                <w:rFonts w:hint="eastAsia"/>
              </w:rPr>
            </w:pPr>
            <w:r>
              <w:rPr>
                <w:rFonts w:hint="eastAsia"/>
              </w:rPr>
              <w:t>自</w:t>
            </w:r>
            <w:r>
              <w:rPr>
                <w:rFonts w:hint="default"/>
                <w:lang w:val="en-US" w:eastAsia="zh-CN"/>
              </w:rPr>
              <w:sym w:font="Wingdings" w:char="00A8"/>
            </w:r>
            <w:r>
              <w:rPr>
                <w:rFonts w:hint="eastAsia"/>
              </w:rPr>
              <w:t>管理体系建立后</w:t>
            </w:r>
            <w:r>
              <w:rPr>
                <w:rFonts w:hint="eastAsia"/>
                <w:lang w:val="en-US" w:eastAsia="zh-CN"/>
              </w:rPr>
              <w:t>/</w:t>
            </w:r>
            <w:r>
              <w:rPr>
                <w:rFonts w:hint="default"/>
                <w:lang w:val="en-US" w:eastAsia="zh-CN"/>
              </w:rPr>
              <w:sym w:font="Wingdings" w:char="00FE"/>
            </w:r>
            <w:r>
              <w:rPr>
                <w:rFonts w:hint="eastAsia"/>
                <w:lang w:val="en-US" w:eastAsia="zh-CN"/>
              </w:rPr>
              <w:t>近一年</w:t>
            </w:r>
            <w:r>
              <w:rPr>
                <w:rFonts w:hint="eastAsia"/>
              </w:rPr>
              <w:t xml:space="preserve">，于 </w:t>
            </w:r>
            <w:r>
              <w:t xml:space="preserve"> </w:t>
            </w:r>
            <w:r>
              <w:rPr>
                <w:rFonts w:hint="eastAsia"/>
                <w:lang w:val="en-US" w:eastAsia="zh-CN"/>
              </w:rPr>
              <w:t>2022</w:t>
            </w:r>
            <w:r>
              <w:rPr>
                <w:rFonts w:hint="eastAsia"/>
              </w:rPr>
              <w:t>年</w:t>
            </w:r>
            <w:r>
              <w:rPr>
                <w:rFonts w:hint="eastAsia"/>
                <w:lang w:val="en-US" w:eastAsia="zh-CN"/>
              </w:rPr>
              <w:t>11</w:t>
            </w:r>
            <w:r>
              <w:rPr>
                <w:rFonts w:hint="eastAsia"/>
              </w:rPr>
              <w:t>月</w:t>
            </w:r>
            <w:r>
              <w:rPr>
                <w:rFonts w:hint="eastAsia"/>
                <w:lang w:val="en-US" w:eastAsia="zh-CN"/>
              </w:rPr>
              <w:t>7</w:t>
            </w:r>
            <w:r>
              <w:rPr>
                <w:rFonts w:hint="eastAsia"/>
              </w:rPr>
              <w:t>日实施了管理评审；</w:t>
            </w:r>
          </w:p>
          <w:p>
            <w:pPr>
              <w:jc w:val="center"/>
              <w:rPr>
                <w:rFonts w:hint="eastAsia"/>
                <w:lang w:val="en-US" w:eastAsia="zh-CN"/>
              </w:rPr>
            </w:pPr>
            <w:r>
              <w:rPr>
                <w:rFonts w:hint="eastAsia"/>
                <w:lang w:val="en-US" w:eastAsia="zh-CN"/>
              </w:rPr>
              <w:t>查看</w:t>
            </w:r>
            <w:r>
              <w:rPr>
                <w:rFonts w:hint="eastAsia"/>
              </w:rPr>
              <w:t>☑管理评审</w:t>
            </w:r>
            <w:r>
              <w:rPr>
                <w:rFonts w:hint="eastAsia"/>
                <w:lang w:val="en-US" w:eastAsia="zh-CN"/>
              </w:rPr>
              <w:t xml:space="preserve">计划  </w:t>
            </w:r>
            <w:r>
              <w:rPr>
                <w:rFonts w:hint="eastAsia"/>
              </w:rPr>
              <w:t>☑管理评审</w:t>
            </w:r>
            <w:r>
              <w:rPr>
                <w:rFonts w:hint="eastAsia"/>
                <w:lang w:val="en-US" w:eastAsia="zh-CN"/>
              </w:rPr>
              <w:t>记录（</w:t>
            </w:r>
            <w:r>
              <w:rPr>
                <w:rFonts w:hint="eastAsia" w:ascii="Times New Roman" w:hAnsi="Times New Roman" w:cs="Times New Roman"/>
                <w:lang w:val="en-US" w:eastAsia="zh-CN"/>
              </w:rPr>
              <w:t xml:space="preserve">工作总结）  </w:t>
            </w:r>
            <w:r>
              <w:rPr>
                <w:rFonts w:hint="eastAsia" w:ascii="Times New Roman" w:hAnsi="Times New Roman" w:cs="Times New Roman"/>
                <w:lang w:eastAsia="zh-CN"/>
              </w:rPr>
              <w:t>☑</w:t>
            </w:r>
            <w:r>
              <w:rPr>
                <w:rFonts w:hint="eastAsia" w:ascii="Times New Roman" w:hAnsi="Times New Roman" w:cs="Times New Roman"/>
              </w:rPr>
              <w:t>管理评审会议记录</w:t>
            </w:r>
            <w:r>
              <w:rPr>
                <w:rFonts w:hint="eastAsia" w:ascii="Times New Roman" w:hAnsi="Times New Roman" w:cs="Times New Roman"/>
                <w:lang w:val="en-US" w:eastAsia="zh-CN"/>
              </w:rPr>
              <w:t xml:space="preserve">  </w:t>
            </w:r>
            <w:r>
              <w:rPr>
                <w:rFonts w:hint="eastAsia" w:ascii="Times New Roman" w:hAnsi="Times New Roman" w:cs="Times New Roman"/>
              </w:rPr>
              <w:t>☑管理评</w:t>
            </w:r>
            <w:r>
              <w:rPr>
                <w:rFonts w:hint="eastAsia"/>
              </w:rPr>
              <w:t>审</w:t>
            </w:r>
            <w:r>
              <w:rPr>
                <w:rFonts w:hint="eastAsia"/>
                <w:lang w:val="en-US" w:eastAsia="zh-CN"/>
              </w:rPr>
              <w:t>报告</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rFonts w:hint="default"/>
                      <w:lang w:val="en-US" w:eastAsia="zh-CN"/>
                    </w:rPr>
                  </w:pPr>
                  <w:r>
                    <w:rPr>
                      <w:rFonts w:hint="eastAsia"/>
                    </w:rPr>
                    <w:t>管理评审输入</w:t>
                  </w:r>
                  <w:r>
                    <w:rPr>
                      <w:rFonts w:hint="eastAsia"/>
                      <w:lang w:val="en-US" w:eastAsia="zh-CN"/>
                    </w:rPr>
                    <w:t>信息</w:t>
                  </w:r>
                </w:p>
              </w:tc>
              <w:tc>
                <w:tcPr>
                  <w:tcW w:w="1990" w:type="dxa"/>
                </w:tcPr>
                <w:p>
                  <w:pPr>
                    <w:widowControl/>
                    <w:spacing w:before="40"/>
                    <w:jc w:val="left"/>
                    <w:rPr>
                      <w:rFonts w:hint="default"/>
                      <w:lang w:val="en-US" w:eastAsia="zh-CN"/>
                    </w:rPr>
                  </w:pPr>
                  <w:r>
                    <w:rPr>
                      <w:rFonts w:hint="eastAsia"/>
                      <w:lang w:val="en-US" w:eastAsia="zh-CN"/>
                    </w:rPr>
                    <w:t>评价</w:t>
                  </w:r>
                </w:p>
              </w:tc>
              <w:tc>
                <w:tcPr>
                  <w:tcW w:w="2816" w:type="dxa"/>
                </w:tcPr>
                <w:p>
                  <w:pPr>
                    <w:widowControl/>
                    <w:spacing w:before="40"/>
                    <w:jc w:val="left"/>
                    <w:rPr>
                      <w:rFonts w:hint="default"/>
                      <w:lang w:val="en-US" w:eastAsia="zh-CN"/>
                    </w:rPr>
                  </w:pPr>
                  <w:r>
                    <w:rPr>
                      <w:rFonts w:hint="eastAsia"/>
                      <w:lang w:val="en-US" w:eastAsia="zh-CN"/>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与</w:t>
                  </w:r>
                  <w:r>
                    <w:rPr>
                      <w:rFonts w:hint="eastAsia"/>
                      <w:lang w:eastAsia="zh-CN"/>
                    </w:rPr>
                    <w:t>管理体系</w:t>
                  </w:r>
                  <w:r>
                    <w:rPr>
                      <w:rFonts w:hint="eastAsia"/>
                    </w:rPr>
                    <w:t>相关的内外部因素的变化；</w:t>
                  </w:r>
                </w:p>
              </w:tc>
              <w:tc>
                <w:tcPr>
                  <w:tcW w:w="1990" w:type="dxa"/>
                  <w:vAlign w:val="top"/>
                </w:tcPr>
                <w:p>
                  <w:pPr>
                    <w:widowControl/>
                    <w:spacing w:before="40"/>
                    <w:jc w:val="left"/>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 xml:space="preserve">符合 </w:t>
                  </w:r>
                  <w:r>
                    <w:rPr>
                      <w:rFonts w:hint="eastAsia"/>
                    </w:rPr>
                    <w:t>□</w:t>
                  </w:r>
                  <w:r>
                    <w:rPr>
                      <w:rFonts w:hint="eastAsia"/>
                      <w:lang w:val="en-US" w:eastAsia="zh-CN"/>
                    </w:rPr>
                    <w:t>不符合</w:t>
                  </w:r>
                </w:p>
              </w:tc>
              <w:tc>
                <w:tcPr>
                  <w:tcW w:w="2816"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顾客满意和有关相关方的反馈</w:t>
                  </w:r>
                  <w:r>
                    <w:rPr>
                      <w:rFonts w:hint="eastAsia"/>
                      <w:lang w:val="en-US" w:eastAsia="zh-CN"/>
                    </w:rPr>
                    <w:t>及趋势</w:t>
                  </w:r>
                </w:p>
              </w:tc>
              <w:tc>
                <w:tcPr>
                  <w:tcW w:w="1990"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w:t>
                  </w:r>
                  <w:r>
                    <w:rPr>
                      <w:rFonts w:hint="eastAsia"/>
                      <w:lang w:val="en-US" w:eastAsia="zh-CN"/>
                    </w:rPr>
                    <w:t xml:space="preserve">符合 </w:t>
                  </w:r>
                  <w:r>
                    <w:rPr>
                      <w:rFonts w:hint="eastAsia"/>
                    </w:rPr>
                    <w:t>□</w:t>
                  </w:r>
                  <w:r>
                    <w:rPr>
                      <w:rFonts w:hint="eastAsia"/>
                      <w:lang w:val="en-US" w:eastAsia="zh-CN"/>
                    </w:rPr>
                    <w:t>不符合</w:t>
                  </w:r>
                </w:p>
              </w:tc>
              <w:tc>
                <w:tcPr>
                  <w:tcW w:w="2816"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满足顾客及相关方需求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lang w:val="en-US" w:eastAsia="zh-CN"/>
                    </w:rPr>
                    <w:t>管理</w:t>
                  </w:r>
                  <w:r>
                    <w:rPr>
                      <w:rFonts w:hint="eastAsia"/>
                    </w:rPr>
                    <w:t>目标的实现程度</w:t>
                  </w:r>
                  <w:r>
                    <w:rPr>
                      <w:rFonts w:hint="eastAsia"/>
                      <w:lang w:val="en-US" w:eastAsia="zh-CN"/>
                    </w:rPr>
                    <w:t>及趋势</w:t>
                  </w:r>
                </w:p>
              </w:tc>
              <w:tc>
                <w:tcPr>
                  <w:tcW w:w="1990"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w:t>
                  </w:r>
                  <w:r>
                    <w:rPr>
                      <w:rFonts w:hint="eastAsia"/>
                      <w:lang w:val="en-US" w:eastAsia="zh-CN"/>
                    </w:rPr>
                    <w:t xml:space="preserve">符合 </w:t>
                  </w:r>
                  <w:r>
                    <w:rPr>
                      <w:rFonts w:hint="eastAsia"/>
                    </w:rPr>
                    <w:t>□</w:t>
                  </w:r>
                  <w:r>
                    <w:rPr>
                      <w:rFonts w:hint="eastAsia"/>
                      <w:lang w:val="en-US" w:eastAsia="zh-CN"/>
                    </w:rPr>
                    <w:t>不符合</w:t>
                  </w:r>
                </w:p>
              </w:tc>
              <w:tc>
                <w:tcPr>
                  <w:tcW w:w="2816"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完成</w:t>
                  </w:r>
                  <w:r>
                    <w:rPr>
                      <w:rFonts w:hint="eastAsia"/>
                      <w:lang w:val="en-US" w:eastAsia="zh-CN"/>
                    </w:rPr>
                    <w:t>管理</w:t>
                  </w:r>
                  <w:r>
                    <w:rPr>
                      <w:rFonts w:hint="eastAsia"/>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过程绩效以及产品和服务的合格情况</w:t>
                  </w:r>
                  <w:r>
                    <w:rPr>
                      <w:rFonts w:hint="eastAsia"/>
                      <w:lang w:val="en-US" w:eastAsia="zh-CN"/>
                    </w:rPr>
                    <w:t>及趋势</w:t>
                  </w:r>
                </w:p>
              </w:tc>
              <w:tc>
                <w:tcPr>
                  <w:tcW w:w="1990"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w:t>
                  </w:r>
                  <w:r>
                    <w:rPr>
                      <w:rFonts w:hint="eastAsia"/>
                      <w:lang w:val="en-US" w:eastAsia="zh-CN"/>
                    </w:rPr>
                    <w:t xml:space="preserve">符合 </w:t>
                  </w:r>
                  <w:r>
                    <w:rPr>
                      <w:rFonts w:hint="eastAsia"/>
                    </w:rPr>
                    <w:t>□</w:t>
                  </w:r>
                  <w:r>
                    <w:rPr>
                      <w:rFonts w:hint="eastAsia"/>
                      <w:lang w:val="en-US" w:eastAsia="zh-CN"/>
                    </w:rPr>
                    <w:t>不符合</w:t>
                  </w:r>
                </w:p>
              </w:tc>
              <w:tc>
                <w:tcPr>
                  <w:tcW w:w="2816"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lang w:val="en-US" w:eastAsia="zh-CN"/>
                    </w:rPr>
                    <w:t>管理</w:t>
                  </w:r>
                  <w:r>
                    <w:rPr>
                      <w:rFonts w:hint="eastAsia"/>
                    </w:rPr>
                    <w:t>目标达标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不合格及纠正措施</w:t>
                  </w:r>
                  <w:r>
                    <w:rPr>
                      <w:rFonts w:hint="eastAsia"/>
                      <w:lang w:val="en-US" w:eastAsia="zh-CN"/>
                    </w:rPr>
                    <w:t>及趋势</w:t>
                  </w:r>
                </w:p>
              </w:tc>
              <w:tc>
                <w:tcPr>
                  <w:tcW w:w="1990"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w:t>
                  </w:r>
                  <w:r>
                    <w:rPr>
                      <w:rFonts w:hint="eastAsia"/>
                      <w:lang w:val="en-US" w:eastAsia="zh-CN"/>
                    </w:rPr>
                    <w:t xml:space="preserve">符合 </w:t>
                  </w:r>
                  <w:r>
                    <w:rPr>
                      <w:rFonts w:hint="eastAsia"/>
                    </w:rPr>
                    <w:t>□</w:t>
                  </w:r>
                  <w:r>
                    <w:rPr>
                      <w:rFonts w:hint="eastAsia"/>
                      <w:lang w:val="en-US" w:eastAsia="zh-CN"/>
                    </w:rPr>
                    <w:t>不符合</w:t>
                  </w:r>
                </w:p>
              </w:tc>
              <w:tc>
                <w:tcPr>
                  <w:tcW w:w="2816"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无质量投诉，内审不符合已改进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监视和测量结果</w:t>
                  </w:r>
                  <w:r>
                    <w:rPr>
                      <w:rFonts w:hint="eastAsia"/>
                      <w:lang w:val="en-US" w:eastAsia="zh-CN"/>
                    </w:rPr>
                    <w:t>及趋势</w:t>
                  </w:r>
                </w:p>
              </w:tc>
              <w:tc>
                <w:tcPr>
                  <w:tcW w:w="1990"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w:t>
                  </w:r>
                  <w:r>
                    <w:rPr>
                      <w:rFonts w:hint="eastAsia"/>
                      <w:lang w:val="en-US" w:eastAsia="zh-CN"/>
                    </w:rPr>
                    <w:t xml:space="preserve">符合 </w:t>
                  </w:r>
                  <w:r>
                    <w:rPr>
                      <w:rFonts w:hint="eastAsia"/>
                    </w:rPr>
                    <w:t>□</w:t>
                  </w:r>
                  <w:r>
                    <w:rPr>
                      <w:rFonts w:hint="eastAsia"/>
                      <w:lang w:val="en-US" w:eastAsia="zh-CN"/>
                    </w:rPr>
                    <w:t>不符合</w:t>
                  </w:r>
                </w:p>
              </w:tc>
              <w:tc>
                <w:tcPr>
                  <w:tcW w:w="2816"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202</w:t>
                  </w:r>
                  <w:r>
                    <w:rPr>
                      <w:rFonts w:hint="eastAsia"/>
                      <w:lang w:val="en-US" w:eastAsia="zh-CN"/>
                    </w:rPr>
                    <w:t>2</w:t>
                  </w:r>
                  <w:r>
                    <w:rPr>
                      <w:rFonts w:hint="eastAsia"/>
                    </w:rPr>
                    <w:t>年</w:t>
                  </w:r>
                  <w:r>
                    <w:rPr>
                      <w:rFonts w:hint="eastAsia"/>
                      <w:lang w:val="en-US" w:eastAsia="zh-CN"/>
                    </w:rPr>
                    <w:t>截止目前</w:t>
                  </w:r>
                  <w:r>
                    <w:rPr>
                      <w:rFonts w:hint="eastAsia"/>
                    </w:rPr>
                    <w:t>目标</w:t>
                  </w:r>
                  <w:r>
                    <w:rPr>
                      <w:rFonts w:hint="eastAsia"/>
                      <w:lang w:val="en-US" w:eastAsia="zh-CN"/>
                    </w:rPr>
                    <w:t>已</w:t>
                  </w:r>
                  <w:r>
                    <w:rPr>
                      <w:rFonts w:hint="eastAsia"/>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lang w:val="en-US" w:eastAsia="zh-CN"/>
                    </w:rPr>
                    <w:t>内审、外部</w:t>
                  </w:r>
                  <w:r>
                    <w:rPr>
                      <w:rFonts w:hint="eastAsia"/>
                    </w:rPr>
                    <w:t>审核结果</w:t>
                  </w:r>
                  <w:r>
                    <w:rPr>
                      <w:rFonts w:hint="eastAsia"/>
                      <w:lang w:val="en-US" w:eastAsia="zh-CN"/>
                    </w:rPr>
                    <w:t>及趋势</w:t>
                  </w:r>
                </w:p>
              </w:tc>
              <w:tc>
                <w:tcPr>
                  <w:tcW w:w="1990"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w:t>
                  </w:r>
                  <w:r>
                    <w:rPr>
                      <w:rFonts w:hint="eastAsia"/>
                      <w:lang w:val="en-US" w:eastAsia="zh-CN"/>
                    </w:rPr>
                    <w:t xml:space="preserve">符合 </w:t>
                  </w:r>
                  <w:r>
                    <w:rPr>
                      <w:rFonts w:hint="eastAsia"/>
                    </w:rPr>
                    <w:t>□</w:t>
                  </w:r>
                  <w:r>
                    <w:rPr>
                      <w:rFonts w:hint="eastAsia"/>
                      <w:lang w:val="en-US" w:eastAsia="zh-CN"/>
                    </w:rPr>
                    <w:t>不符合</w:t>
                  </w:r>
                </w:p>
              </w:tc>
              <w:tc>
                <w:tcPr>
                  <w:tcW w:w="2816"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vAlign w:val="top"/>
                </w:tcPr>
                <w:p>
                  <w:pPr>
                    <w:widowControl/>
                    <w:spacing w:before="40"/>
                    <w:jc w:val="left"/>
                    <w:rPr>
                      <w:rFonts w:hint="eastAsia"/>
                      <w:lang w:val="en-US" w:eastAsia="zh-CN"/>
                    </w:rPr>
                  </w:pPr>
                  <w:r>
                    <w:rPr>
                      <w:rFonts w:hint="eastAsia"/>
                    </w:rPr>
                    <w:t>外部供方的绩效</w:t>
                  </w:r>
                  <w:r>
                    <w:rPr>
                      <w:rFonts w:hint="eastAsia"/>
                      <w:lang w:val="en-US" w:eastAsia="zh-CN"/>
                    </w:rPr>
                    <w:t>及趋势；</w:t>
                  </w:r>
                </w:p>
                <w:p>
                  <w:pPr>
                    <w:pStyle w:val="2"/>
                    <w:rPr>
                      <w:rFonts w:hint="eastAsia" w:eastAsia="宋体"/>
                      <w:lang w:val="en-US" w:eastAsia="zh-CN"/>
                    </w:rPr>
                  </w:pPr>
                  <w:r>
                    <w:rPr>
                      <w:rFonts w:hint="eastAsia"/>
                      <w:color w:val="auto"/>
                    </w:rPr>
                    <w:t>与相关方的有关沟通</w:t>
                  </w:r>
                  <w:r>
                    <w:rPr>
                      <w:rFonts w:hint="eastAsia"/>
                      <w:color w:val="auto"/>
                      <w:lang w:eastAsia="zh-CN"/>
                    </w:rPr>
                    <w:t>；</w:t>
                  </w:r>
                </w:p>
              </w:tc>
              <w:tc>
                <w:tcPr>
                  <w:tcW w:w="1990"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w:t>
                  </w:r>
                  <w:r>
                    <w:rPr>
                      <w:rFonts w:hint="eastAsia"/>
                      <w:lang w:val="en-US" w:eastAsia="zh-CN"/>
                    </w:rPr>
                    <w:t xml:space="preserve">符合 </w:t>
                  </w:r>
                  <w:r>
                    <w:rPr>
                      <w:rFonts w:hint="eastAsia"/>
                    </w:rPr>
                    <w:t>□</w:t>
                  </w:r>
                  <w:r>
                    <w:rPr>
                      <w:rFonts w:hint="eastAsia"/>
                      <w:lang w:val="en-US" w:eastAsia="zh-CN"/>
                    </w:rPr>
                    <w:t>不符合</w:t>
                  </w:r>
                </w:p>
              </w:tc>
              <w:tc>
                <w:tcPr>
                  <w:tcW w:w="2816" w:type="dxa"/>
                  <w:vAlign w:val="top"/>
                </w:tcPr>
                <w:p>
                  <w:pPr>
                    <w:widowControl/>
                    <w:spacing w:before="40"/>
                    <w:jc w:val="left"/>
                    <w:rPr>
                      <w:rFonts w:hint="eastAsia" w:ascii="Times New Roman" w:hAnsi="Times New Roman" w:cs="Times New Roman"/>
                      <w:lang w:eastAsia="zh-CN"/>
                    </w:rPr>
                  </w:pPr>
                  <w:r>
                    <w:rPr>
                      <w:rFonts w:hint="eastAsia" w:ascii="Times New Roman" w:hAnsi="Times New Roman" w:cs="Times New Roman"/>
                    </w:rPr>
                    <w:t>进行供应商</w:t>
                  </w:r>
                  <w:r>
                    <w:rPr>
                      <w:rFonts w:hint="eastAsia" w:cs="Times New Roman"/>
                      <w:lang w:val="en-US" w:eastAsia="zh-CN"/>
                    </w:rPr>
                    <w:t>评价</w:t>
                  </w:r>
                  <w:r>
                    <w:rPr>
                      <w:rFonts w:hint="eastAsia" w:ascii="Times New Roman" w:hAnsi="Times New Roman" w:cs="Times New Roman"/>
                      <w:lang w:eastAsia="zh-CN"/>
                    </w:rPr>
                    <w:t>。</w:t>
                  </w:r>
                </w:p>
                <w:p>
                  <w:pPr>
                    <w:widowControl/>
                    <w:spacing w:before="40"/>
                    <w:jc w:val="left"/>
                    <w:rPr>
                      <w:rFonts w:hint="eastAsia" w:eastAsia="宋体"/>
                      <w:lang w:val="en-US" w:eastAsia="zh-CN"/>
                    </w:rPr>
                  </w:pPr>
                  <w:r>
                    <w:rPr>
                      <w:rFonts w:hint="eastAsia" w:ascii="Times New Roman" w:hAnsi="Times New Roman" w:cs="Times New Roman"/>
                    </w:rPr>
                    <w:t>无</w:t>
                  </w:r>
                  <w:r>
                    <w:rPr>
                      <w:rFonts w:hint="eastAsia" w:ascii="Times New Roman" w:hAnsi="Times New Roman" w:cs="Times New Roman"/>
                      <w:lang w:val="en-US" w:eastAsia="zh-CN"/>
                    </w:rPr>
                    <w:t>环境安全</w:t>
                  </w:r>
                  <w:r>
                    <w:rPr>
                      <w:rFonts w:hint="eastAsia" w:ascii="Times New Roman" w:hAnsi="Times New Roman" w:cs="Times New Roman"/>
                    </w:rPr>
                    <w:t>投诉，无可记录事故</w:t>
                  </w:r>
                  <w:r>
                    <w:rPr>
                      <w:rFonts w:hint="eastAsia" w:ascii="Times New Roman" w:hAnsi="Times New Roman" w:cs="Times New Roman"/>
                      <w:lang w:eastAsia="zh-CN"/>
                    </w:rPr>
                    <w:t>。</w:t>
                  </w:r>
                  <w:r>
                    <w:rPr>
                      <w:rFonts w:hint="eastAsia" w:ascii="Times New Roman" w:hAnsi="Times New Roman" w:cs="Times New Roman"/>
                    </w:rPr>
                    <w:t>无可记录</w:t>
                  </w:r>
                  <w:r>
                    <w:rPr>
                      <w:rFonts w:hint="eastAsia" w:ascii="Times New Roman" w:hAnsi="Times New Roman" w:cs="Times New Roman"/>
                      <w:lang w:val="en-US" w:eastAsia="zh-CN"/>
                    </w:rPr>
                    <w:t>污染</w:t>
                  </w:r>
                  <w:r>
                    <w:rPr>
                      <w:rFonts w:hint="eastAsia" w:ascii="Times New Roman" w:hAnsi="Times New Roman" w:cs="Times New Roman"/>
                    </w:rPr>
                    <w:t>事故</w:t>
                  </w:r>
                  <w:r>
                    <w:rPr>
                      <w:rFonts w:hint="eastAsia" w:ascii="Times New Roman" w:hAnsi="Times New Roman"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lang w:val="en-US" w:eastAsia="zh-CN"/>
                    </w:rPr>
                    <w:t>管理体系</w:t>
                  </w:r>
                  <w:r>
                    <w:rPr>
                      <w:rFonts w:hint="eastAsia"/>
                    </w:rPr>
                    <w:t>资源的充分性；</w:t>
                  </w:r>
                </w:p>
              </w:tc>
              <w:tc>
                <w:tcPr>
                  <w:tcW w:w="1990"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w:t>
                  </w:r>
                  <w:r>
                    <w:rPr>
                      <w:rFonts w:hint="eastAsia"/>
                      <w:lang w:val="en-US" w:eastAsia="zh-CN"/>
                    </w:rPr>
                    <w:t xml:space="preserve">符合 </w:t>
                  </w:r>
                  <w:r>
                    <w:rPr>
                      <w:rFonts w:hint="eastAsia"/>
                    </w:rPr>
                    <w:t>□</w:t>
                  </w:r>
                  <w:r>
                    <w:rPr>
                      <w:rFonts w:hint="eastAsia"/>
                      <w:lang w:val="en-US" w:eastAsia="zh-CN"/>
                    </w:rPr>
                    <w:t>不符合</w:t>
                  </w:r>
                </w:p>
              </w:tc>
              <w:tc>
                <w:tcPr>
                  <w:tcW w:w="2816"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可以达标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应对风险和机遇所采取措施的有效性</w:t>
                  </w:r>
                </w:p>
              </w:tc>
              <w:tc>
                <w:tcPr>
                  <w:tcW w:w="1990"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w:t>
                  </w:r>
                  <w:r>
                    <w:rPr>
                      <w:rFonts w:hint="eastAsia"/>
                      <w:lang w:val="en-US" w:eastAsia="zh-CN"/>
                    </w:rPr>
                    <w:t xml:space="preserve">符合 </w:t>
                  </w:r>
                  <w:r>
                    <w:rPr>
                      <w:rFonts w:hint="eastAsia"/>
                    </w:rPr>
                    <w:t>□</w:t>
                  </w:r>
                  <w:r>
                    <w:rPr>
                      <w:rFonts w:hint="eastAsia"/>
                      <w:lang w:val="en-US" w:eastAsia="zh-CN"/>
                    </w:rPr>
                    <w:t>不符合</w:t>
                  </w:r>
                </w:p>
              </w:tc>
              <w:tc>
                <w:tcPr>
                  <w:tcW w:w="2816"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vAlign w:val="center"/>
                </w:tcPr>
                <w:p>
                  <w:pPr>
                    <w:widowControl/>
                    <w:spacing w:before="40"/>
                    <w:rPr>
                      <w:rFonts w:hint="default" w:ascii="Times New Roman" w:hAnsi="Times New Roman" w:eastAsia="宋体" w:cs="Times New Roman"/>
                      <w:color w:val="auto"/>
                      <w:kern w:val="2"/>
                      <w:sz w:val="21"/>
                      <w:szCs w:val="21"/>
                      <w:lang w:val="en-US" w:eastAsia="zh-CN" w:bidi="ar-SA"/>
                    </w:rPr>
                  </w:pPr>
                  <w:r>
                    <w:rPr>
                      <w:rFonts w:hint="eastAsia"/>
                      <w:color w:val="auto"/>
                    </w:rPr>
                    <w:t>相关方的需求和期望的变化</w:t>
                  </w:r>
                </w:p>
              </w:tc>
              <w:tc>
                <w:tcPr>
                  <w:tcW w:w="1990" w:type="dxa"/>
                  <w:vAlign w:val="center"/>
                </w:tcPr>
                <w:p>
                  <w:pPr>
                    <w:widowControl/>
                    <w:spacing w:before="40"/>
                    <w:rPr>
                      <w:rFonts w:hint="default" w:ascii="Times New Roman" w:hAnsi="Times New Roman" w:eastAsia="宋体" w:cs="Times New Roman"/>
                      <w:color w:val="auto"/>
                      <w:kern w:val="2"/>
                      <w:sz w:val="21"/>
                      <w:szCs w:val="21"/>
                      <w:lang w:val="en-US" w:eastAsia="zh-CN" w:bidi="ar-SA"/>
                    </w:rPr>
                  </w:pPr>
                  <w:r>
                    <w:rPr>
                      <w:rFonts w:hint="eastAsia"/>
                      <w:color w:val="auto"/>
                      <w:szCs w:val="21"/>
                    </w:rPr>
                    <w:t>☑符合 □不符合</w:t>
                  </w:r>
                </w:p>
              </w:tc>
              <w:tc>
                <w:tcPr>
                  <w:tcW w:w="2816" w:type="dxa"/>
                  <w:vAlign w:val="center"/>
                </w:tcPr>
                <w:p>
                  <w:pPr>
                    <w:widowControl/>
                    <w:spacing w:before="40"/>
                    <w:rPr>
                      <w:rFonts w:hint="default" w:ascii="Times New Roman" w:hAnsi="Times New Roman" w:eastAsia="宋体" w:cs="Times New Roman"/>
                      <w:color w:val="auto"/>
                      <w:kern w:val="2"/>
                      <w:sz w:val="21"/>
                      <w:szCs w:val="21"/>
                      <w:lang w:val="en-US" w:eastAsia="zh-CN" w:bidi="ar-SA"/>
                    </w:rPr>
                  </w:pPr>
                  <w:r>
                    <w:rPr>
                      <w:rFonts w:hint="eastAsia"/>
                      <w:color w:val="auto"/>
                      <w:szCs w:val="21"/>
                    </w:rPr>
                    <w:t>主管部门</w:t>
                  </w:r>
                  <w:r>
                    <w:rPr>
                      <w:color w:val="auto"/>
                      <w:szCs w:val="21"/>
                    </w:rPr>
                    <w:t>日趋严峻的</w:t>
                  </w:r>
                  <w:r>
                    <w:rPr>
                      <w:rFonts w:hint="eastAsia"/>
                      <w:color w:val="auto"/>
                      <w:szCs w:val="21"/>
                    </w:rPr>
                    <w:t>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vAlign w:val="center"/>
                </w:tcPr>
                <w:p>
                  <w:pPr>
                    <w:widowControl/>
                    <w:spacing w:before="40"/>
                    <w:rPr>
                      <w:rFonts w:hint="eastAsia" w:ascii="Times New Roman" w:hAnsi="Times New Roman" w:eastAsia="宋体" w:cs="Times New Roman"/>
                      <w:color w:val="auto"/>
                      <w:kern w:val="2"/>
                      <w:sz w:val="21"/>
                      <w:szCs w:val="21"/>
                      <w:lang w:val="en-US" w:eastAsia="zh-CN" w:bidi="ar-SA"/>
                    </w:rPr>
                  </w:pPr>
                  <w:r>
                    <w:rPr>
                      <w:rFonts w:hint="eastAsia"/>
                      <w:color w:val="auto"/>
                    </w:rPr>
                    <w:t>法律法规和其他要求的变化</w:t>
                  </w:r>
                </w:p>
              </w:tc>
              <w:tc>
                <w:tcPr>
                  <w:tcW w:w="1990" w:type="dxa"/>
                  <w:vAlign w:val="center"/>
                </w:tcPr>
                <w:p>
                  <w:pPr>
                    <w:widowControl/>
                    <w:spacing w:before="40"/>
                    <w:rPr>
                      <w:rFonts w:hint="default" w:ascii="Times New Roman" w:hAnsi="Times New Roman" w:eastAsia="宋体" w:cs="Times New Roman"/>
                      <w:color w:val="auto"/>
                      <w:kern w:val="2"/>
                      <w:sz w:val="21"/>
                      <w:szCs w:val="21"/>
                      <w:lang w:val="en-US" w:eastAsia="zh-CN" w:bidi="ar-SA"/>
                    </w:rPr>
                  </w:pPr>
                  <w:r>
                    <w:rPr>
                      <w:rFonts w:hint="eastAsia"/>
                      <w:color w:val="auto"/>
                      <w:szCs w:val="21"/>
                    </w:rPr>
                    <w:t>☑符合 □不符合</w:t>
                  </w:r>
                </w:p>
              </w:tc>
              <w:tc>
                <w:tcPr>
                  <w:tcW w:w="2816" w:type="dxa"/>
                  <w:vAlign w:val="center"/>
                </w:tcPr>
                <w:p>
                  <w:pPr>
                    <w:widowControl/>
                    <w:spacing w:before="40"/>
                    <w:rPr>
                      <w:rFonts w:hint="default" w:ascii="Times New Roman" w:hAnsi="Times New Roman" w:eastAsia="宋体" w:cs="Times New Roman"/>
                      <w:color w:val="auto"/>
                      <w:kern w:val="2"/>
                      <w:sz w:val="21"/>
                      <w:szCs w:val="21"/>
                      <w:lang w:val="en-US" w:eastAsia="zh-CN" w:bidi="ar-SA"/>
                    </w:rPr>
                  </w:pPr>
                  <w:r>
                    <w:rPr>
                      <w:rFonts w:hint="eastAsia"/>
                      <w:color w:val="auto"/>
                      <w:szCs w:val="21"/>
                    </w:rPr>
                    <w:t>部分新增法规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vAlign w:val="center"/>
                </w:tcPr>
                <w:p>
                  <w:pPr>
                    <w:widowControl/>
                    <w:spacing w:before="40"/>
                    <w:rPr>
                      <w:rFonts w:hint="eastAsia" w:ascii="Times New Roman" w:hAnsi="Times New Roman" w:eastAsia="宋体" w:cs="Times New Roman"/>
                      <w:color w:val="auto"/>
                      <w:kern w:val="2"/>
                      <w:sz w:val="21"/>
                      <w:szCs w:val="21"/>
                      <w:lang w:val="en-US" w:eastAsia="zh-CN" w:bidi="ar-SA"/>
                    </w:rPr>
                  </w:pPr>
                  <w:r>
                    <w:rPr>
                      <w:rFonts w:hint="eastAsia"/>
                      <w:color w:val="auto"/>
                    </w:rPr>
                    <w:t>事件、不符合、纠正措施和持续改进及趋势</w:t>
                  </w:r>
                </w:p>
              </w:tc>
              <w:tc>
                <w:tcPr>
                  <w:tcW w:w="1990" w:type="dxa"/>
                  <w:vAlign w:val="center"/>
                </w:tcPr>
                <w:p>
                  <w:pPr>
                    <w:widowControl/>
                    <w:spacing w:before="40"/>
                    <w:rPr>
                      <w:rFonts w:hint="default" w:ascii="Times New Roman" w:hAnsi="Times New Roman" w:eastAsia="宋体" w:cs="Times New Roman"/>
                      <w:color w:val="auto"/>
                      <w:kern w:val="2"/>
                      <w:sz w:val="21"/>
                      <w:szCs w:val="21"/>
                      <w:lang w:val="en-US" w:eastAsia="zh-CN" w:bidi="ar-SA"/>
                    </w:rPr>
                  </w:pPr>
                  <w:r>
                    <w:rPr>
                      <w:rFonts w:hint="eastAsia"/>
                      <w:color w:val="auto"/>
                      <w:szCs w:val="21"/>
                    </w:rPr>
                    <w:t>☑符合 □不符合</w:t>
                  </w:r>
                </w:p>
              </w:tc>
              <w:tc>
                <w:tcPr>
                  <w:tcW w:w="2816" w:type="dxa"/>
                  <w:vAlign w:val="center"/>
                </w:tcPr>
                <w:p>
                  <w:pPr>
                    <w:widowControl/>
                    <w:spacing w:before="40"/>
                    <w:rPr>
                      <w:rFonts w:hint="default" w:ascii="Times New Roman" w:hAnsi="Times New Roman" w:eastAsia="宋体" w:cs="Times New Roman"/>
                      <w:color w:val="auto"/>
                      <w:kern w:val="2"/>
                      <w:sz w:val="21"/>
                      <w:szCs w:val="21"/>
                      <w:lang w:val="en-US" w:eastAsia="zh-CN" w:bidi="ar-SA"/>
                    </w:rPr>
                  </w:pPr>
                  <w:r>
                    <w:rPr>
                      <w:rFonts w:hint="eastAsia"/>
                      <w:color w:val="auto"/>
                      <w:szCs w:val="21"/>
                      <w:lang w:eastAsia="zh-CN"/>
                    </w:rPr>
                    <w:t>已改进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vAlign w:val="top"/>
                </w:tcPr>
                <w:p>
                  <w:pPr>
                    <w:widowControl/>
                    <w:spacing w:before="40"/>
                    <w:jc w:val="left"/>
                    <w:rPr>
                      <w:rFonts w:hint="eastAsia"/>
                    </w:rPr>
                  </w:pPr>
                  <w:r>
                    <w:rPr>
                      <w:rFonts w:hint="eastAsia"/>
                      <w:color w:val="auto"/>
                    </w:rPr>
                    <w:t>工作人员的协商和参与及趋势</w:t>
                  </w:r>
                </w:p>
              </w:tc>
              <w:tc>
                <w:tcPr>
                  <w:tcW w:w="1990" w:type="dxa"/>
                  <w:vAlign w:val="top"/>
                </w:tcPr>
                <w:p>
                  <w:pPr>
                    <w:widowControl/>
                    <w:spacing w:before="40"/>
                    <w:jc w:val="left"/>
                    <w:rPr>
                      <w:rFonts w:hint="eastAsia"/>
                    </w:rPr>
                  </w:pPr>
                  <w:r>
                    <w:rPr>
                      <w:rFonts w:hint="eastAsia"/>
                      <w:color w:val="auto"/>
                      <w:szCs w:val="21"/>
                    </w:rPr>
                    <w:t>☑符合 □不符合</w:t>
                  </w:r>
                </w:p>
              </w:tc>
              <w:tc>
                <w:tcPr>
                  <w:tcW w:w="2816" w:type="dxa"/>
                  <w:vAlign w:val="center"/>
                </w:tcPr>
                <w:p>
                  <w:pPr>
                    <w:widowControl/>
                    <w:spacing w:before="40"/>
                    <w:rPr>
                      <w:rFonts w:hint="eastAsia"/>
                      <w:lang w:val="en-US" w:eastAsia="zh-CN"/>
                    </w:rPr>
                  </w:pPr>
                  <w:r>
                    <w:rPr>
                      <w:rFonts w:hint="eastAsia"/>
                      <w:color w:val="auto"/>
                      <w:szCs w:val="21"/>
                    </w:rPr>
                    <w:t>参与安全检查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vAlign w:val="top"/>
                </w:tcPr>
                <w:p>
                  <w:pPr>
                    <w:widowControl/>
                    <w:spacing w:before="40"/>
                    <w:jc w:val="left"/>
                    <w:rPr>
                      <w:rFonts w:hint="eastAsia" w:ascii="Times New Roman" w:hAnsi="Times New Roman" w:eastAsia="宋体" w:cs="Times New Roman"/>
                      <w:kern w:val="2"/>
                      <w:sz w:val="21"/>
                      <w:lang w:val="en-US" w:eastAsia="zh-CN" w:bidi="ar-SA"/>
                    </w:rPr>
                  </w:pPr>
                  <w:r>
                    <w:rPr>
                      <w:rFonts w:hint="eastAsia"/>
                    </w:rPr>
                    <w:t>改进的机会</w:t>
                  </w:r>
                </w:p>
              </w:tc>
              <w:tc>
                <w:tcPr>
                  <w:tcW w:w="1990"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w:t>
                  </w:r>
                  <w:r>
                    <w:rPr>
                      <w:rFonts w:hint="eastAsia"/>
                      <w:lang w:val="en-US" w:eastAsia="zh-CN"/>
                    </w:rPr>
                    <w:t xml:space="preserve">符合 </w:t>
                  </w:r>
                  <w:r>
                    <w:rPr>
                      <w:rFonts w:hint="eastAsia"/>
                    </w:rPr>
                    <w:t>□</w:t>
                  </w:r>
                  <w:r>
                    <w:rPr>
                      <w:rFonts w:hint="eastAsia"/>
                      <w:lang w:val="en-US" w:eastAsia="zh-CN"/>
                    </w:rPr>
                    <w:t>不符合</w:t>
                  </w:r>
                </w:p>
              </w:tc>
              <w:tc>
                <w:tcPr>
                  <w:tcW w:w="2816"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lang w:val="en-US" w:eastAsia="zh-CN"/>
                    </w:rPr>
                    <w:t>进行中</w:t>
                  </w:r>
                </w:p>
              </w:tc>
            </w:tr>
          </w:tbl>
          <w:p>
            <w:pPr>
              <w:pStyle w:val="2"/>
              <w:rPr>
                <w:rFonts w:hint="default"/>
                <w:lang w:val="en-US" w:eastAsia="zh-CN"/>
              </w:rPr>
            </w:pPr>
          </w:p>
          <w:p>
            <w:pPr>
              <w:pStyle w:val="2"/>
              <w:numPr>
                <w:ilvl w:val="0"/>
                <w:numId w:val="5"/>
              </w:numPr>
              <w:ind w:left="420" w:leftChars="0" w:hanging="420" w:firstLineChars="0"/>
              <w:rPr>
                <w:rFonts w:hint="default"/>
                <w:lang w:val="en-US" w:eastAsia="zh-CN"/>
              </w:rPr>
            </w:pPr>
            <w:r>
              <w:rPr>
                <w:rFonts w:hint="eastAsia"/>
                <w:lang w:val="en-US" w:eastAsia="zh-CN"/>
              </w:rPr>
              <w:t>管理评审输出：</w:t>
            </w:r>
          </w:p>
          <w:tbl>
            <w:tblPr>
              <w:tblStyle w:val="9"/>
              <w:tblW w:w="9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3"/>
              <w:gridCol w:w="4167"/>
              <w:gridCol w:w="2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tcPr>
                <w:p>
                  <w:pPr>
                    <w:widowControl/>
                    <w:spacing w:before="40"/>
                    <w:jc w:val="left"/>
                    <w:rPr>
                      <w:rFonts w:hint="eastAsia"/>
                      <w:lang w:val="en-US" w:eastAsia="zh-CN"/>
                    </w:rPr>
                  </w:pPr>
                  <w:r>
                    <w:rPr>
                      <w:rFonts w:hint="eastAsia"/>
                    </w:rPr>
                    <w:t>管理评审输出</w:t>
                  </w:r>
                  <w:r>
                    <w:rPr>
                      <w:rFonts w:hint="eastAsia"/>
                      <w:lang w:val="en-US" w:eastAsia="zh-CN"/>
                    </w:rPr>
                    <w:t>信息</w:t>
                  </w:r>
                </w:p>
              </w:tc>
              <w:tc>
                <w:tcPr>
                  <w:tcW w:w="4167" w:type="dxa"/>
                </w:tcPr>
                <w:p>
                  <w:pPr>
                    <w:widowControl/>
                    <w:spacing w:before="40"/>
                    <w:jc w:val="left"/>
                    <w:rPr>
                      <w:rFonts w:hint="default"/>
                      <w:lang w:val="en-US" w:eastAsia="zh-CN"/>
                    </w:rPr>
                  </w:pPr>
                  <w:r>
                    <w:rPr>
                      <w:rFonts w:hint="eastAsia"/>
                      <w:lang w:val="en-US" w:eastAsia="zh-CN"/>
                    </w:rPr>
                    <w:t>措施描述（举例）</w:t>
                  </w:r>
                </w:p>
              </w:tc>
              <w:tc>
                <w:tcPr>
                  <w:tcW w:w="2911" w:type="dxa"/>
                </w:tcPr>
                <w:p>
                  <w:pPr>
                    <w:widowControl/>
                    <w:spacing w:before="40"/>
                    <w:jc w:val="left"/>
                    <w:rPr>
                      <w:rFonts w:hint="default"/>
                      <w:lang w:val="en-US" w:eastAsia="zh-CN"/>
                    </w:rPr>
                  </w:pPr>
                  <w:r>
                    <w:rPr>
                      <w:rFonts w:hint="eastAsia"/>
                      <w:lang w:val="en-US" w:eastAsia="zh-CN"/>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tcPr>
                <w:p>
                  <w:pPr>
                    <w:spacing w:line="300" w:lineRule="exact"/>
                    <w:ind w:right="-36" w:rightChars="-17"/>
                    <w:rPr>
                      <w:rFonts w:hint="eastAsia" w:ascii="宋体" w:hAnsi="宋体" w:cs="宋体"/>
                      <w:bCs/>
                      <w:kern w:val="0"/>
                      <w:sz w:val="18"/>
                      <w:szCs w:val="18"/>
                    </w:rPr>
                  </w:pPr>
                  <w:r>
                    <w:rPr>
                      <w:rFonts w:hint="eastAsia" w:ascii="宋体" w:hAnsi="宋体" w:cs="宋体"/>
                      <w:bCs/>
                      <w:kern w:val="0"/>
                      <w:sz w:val="18"/>
                      <w:szCs w:val="18"/>
                    </w:rPr>
                    <w:t>质量、环境、职业健康安全</w:t>
                  </w:r>
                  <w:r>
                    <w:rPr>
                      <w:rFonts w:ascii="宋体" w:hAnsi="宋体" w:cs="宋体"/>
                      <w:bCs/>
                      <w:kern w:val="0"/>
                      <w:sz w:val="18"/>
                      <w:szCs w:val="18"/>
                    </w:rPr>
                    <w:t>管理体系及其过程有效性的改进；</w:t>
                  </w:r>
                </w:p>
                <w:p>
                  <w:pPr>
                    <w:widowControl/>
                    <w:spacing w:before="40"/>
                    <w:jc w:val="left"/>
                    <w:rPr>
                      <w:rFonts w:hint="default" w:ascii="Times New Roman" w:hAnsi="Times New Roman" w:eastAsia="宋体" w:cs="Times New Roman"/>
                      <w:sz w:val="18"/>
                      <w:szCs w:val="18"/>
                      <w:lang w:val="en-US" w:eastAsia="zh-CN"/>
                    </w:rPr>
                  </w:pPr>
                </w:p>
              </w:tc>
              <w:tc>
                <w:tcPr>
                  <w:tcW w:w="4167" w:type="dxa"/>
                </w:tcPr>
                <w:p>
                  <w:pPr>
                    <w:spacing w:before="42" w:beforeLines="13" w:line="300" w:lineRule="exact"/>
                    <w:ind w:right="-36" w:rightChars="-17"/>
                    <w:jc w:val="both"/>
                    <w:rPr>
                      <w:rFonts w:hint="eastAsia" w:ascii="宋体" w:hAnsi="宋体"/>
                      <w:bCs/>
                      <w:sz w:val="18"/>
                      <w:szCs w:val="18"/>
                    </w:rPr>
                  </w:pPr>
                  <w:r>
                    <w:rPr>
                      <w:rFonts w:hint="eastAsia" w:ascii="宋体" w:hAnsi="宋体"/>
                      <w:bCs/>
                      <w:sz w:val="18"/>
                      <w:szCs w:val="18"/>
                    </w:rPr>
                    <w:t>公司管理方针和目标保持不变，各部门注</w:t>
                  </w:r>
                  <w:r>
                    <w:rPr>
                      <w:rFonts w:hint="eastAsia" w:ascii="宋体" w:hAnsi="宋体" w:eastAsia="宋体" w:cs="Times New Roman"/>
                      <w:bCs/>
                      <w:sz w:val="18"/>
                      <w:szCs w:val="18"/>
                    </w:rPr>
                    <w:t>意加强</w:t>
                  </w:r>
                  <w:r>
                    <w:rPr>
                      <w:rFonts w:hint="eastAsia" w:ascii="宋体" w:hAnsi="宋体" w:eastAsia="宋体" w:cs="Times New Roman"/>
                      <w:bCs/>
                      <w:sz w:val="18"/>
                      <w:szCs w:val="18"/>
                      <w:lang w:eastAsia="zh-CN"/>
                    </w:rPr>
                    <w:t>新</w:t>
                  </w:r>
                  <w:r>
                    <w:rPr>
                      <w:rFonts w:hint="eastAsia" w:ascii="宋体" w:hAnsi="宋体" w:eastAsia="宋体" w:cs="Times New Roman"/>
                      <w:bCs/>
                      <w:sz w:val="18"/>
                      <w:szCs w:val="18"/>
                    </w:rPr>
                    <w:t>版标准文件学习，持续改</w:t>
                  </w:r>
                  <w:r>
                    <w:rPr>
                      <w:rFonts w:hint="eastAsia" w:ascii="宋体" w:hAnsi="宋体"/>
                      <w:bCs/>
                      <w:sz w:val="18"/>
                      <w:szCs w:val="18"/>
                    </w:rPr>
                    <w:t>进体系的符合性和有效性。</w:t>
                  </w:r>
                </w:p>
                <w:p>
                  <w:pPr>
                    <w:widowControl/>
                    <w:spacing w:before="40"/>
                    <w:jc w:val="both"/>
                    <w:rPr>
                      <w:rFonts w:hint="default"/>
                      <w:sz w:val="18"/>
                      <w:szCs w:val="18"/>
                      <w:lang w:val="en-US" w:eastAsia="zh-CN"/>
                    </w:rPr>
                  </w:pPr>
                  <w:r>
                    <w:rPr>
                      <w:rFonts w:hint="eastAsia"/>
                      <w:sz w:val="18"/>
                      <w:szCs w:val="18"/>
                      <w:lang w:val="en-US" w:eastAsia="zh-CN"/>
                    </w:rPr>
                    <w:t>组织培训</w:t>
                  </w:r>
                  <w:r>
                    <w:rPr>
                      <w:rFonts w:hint="eastAsia" w:ascii="宋体" w:hAnsi="宋体" w:eastAsia="宋体" w:cs="宋体"/>
                      <w:bCs/>
                      <w:kern w:val="0"/>
                      <w:sz w:val="18"/>
                      <w:szCs w:val="18"/>
                      <w:lang w:val="en-US" w:eastAsia="zh-CN"/>
                    </w:rPr>
                    <w:t>加强新版标准文件</w:t>
                  </w:r>
                  <w:r>
                    <w:rPr>
                      <w:rFonts w:hint="eastAsia" w:ascii="宋体" w:hAnsi="宋体" w:cs="宋体"/>
                      <w:bCs/>
                      <w:kern w:val="0"/>
                      <w:sz w:val="18"/>
                      <w:szCs w:val="18"/>
                      <w:lang w:val="en-US" w:eastAsia="zh-CN"/>
                    </w:rPr>
                    <w:t>学习。</w:t>
                  </w:r>
                </w:p>
              </w:tc>
              <w:tc>
                <w:tcPr>
                  <w:tcW w:w="2911" w:type="dxa"/>
                </w:tcPr>
                <w:p>
                  <w:pPr>
                    <w:widowControl/>
                    <w:spacing w:before="40"/>
                    <w:jc w:val="left"/>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eastAsia="zh-CN"/>
                    </w:rPr>
                    <w:t>☑</w:t>
                  </w:r>
                  <w:r>
                    <w:rPr>
                      <w:rFonts w:hint="eastAsia" w:ascii="Times New Roman" w:hAnsi="Times New Roman" w:eastAsia="宋体" w:cs="Times New Roman"/>
                      <w:sz w:val="18"/>
                      <w:szCs w:val="18"/>
                      <w:lang w:val="en-US" w:eastAsia="zh-CN"/>
                    </w:rPr>
                    <w:t xml:space="preserve">已落实 </w:t>
                  </w:r>
                  <w:r>
                    <w:rPr>
                      <w:rFonts w:hint="eastAsia" w:ascii="Times New Roman" w:hAnsi="Times New Roman" w:eastAsia="宋体" w:cs="Times New Roman"/>
                      <w:sz w:val="18"/>
                      <w:szCs w:val="18"/>
                      <w:lang w:eastAsia="zh-CN"/>
                    </w:rPr>
                    <w:t>□</w:t>
                  </w:r>
                  <w:r>
                    <w:rPr>
                      <w:rFonts w:hint="eastAsia" w:ascii="Times New Roman" w:hAnsi="Times New Roman" w:eastAsia="宋体" w:cs="Times New Roman"/>
                      <w:sz w:val="18"/>
                      <w:szCs w:val="18"/>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vAlign w:val="top"/>
                </w:tcPr>
                <w:p>
                  <w:pPr>
                    <w:spacing w:before="163" w:beforeLines="50" w:line="300" w:lineRule="exact"/>
                    <w:ind w:left="31" w:leftChars="15" w:right="-36" w:rightChars="-17" w:firstLine="18" w:firstLineChars="10"/>
                    <w:rPr>
                      <w:rFonts w:hint="eastAsia" w:ascii="宋体" w:hAnsi="宋体" w:eastAsia="宋体" w:cs="宋体"/>
                      <w:bCs/>
                      <w:kern w:val="0"/>
                      <w:sz w:val="18"/>
                      <w:szCs w:val="18"/>
                    </w:rPr>
                  </w:pPr>
                  <w:r>
                    <w:rPr>
                      <w:rFonts w:ascii="宋体" w:hAnsi="宋体" w:cs="宋体"/>
                      <w:bCs/>
                      <w:kern w:val="0"/>
                      <w:sz w:val="18"/>
                      <w:szCs w:val="18"/>
                    </w:rPr>
                    <w:t>与顾客要求有关</w:t>
                  </w:r>
                  <w:r>
                    <w:rPr>
                      <w:rFonts w:ascii="宋体" w:hAnsi="宋体" w:eastAsia="宋体" w:cs="宋体"/>
                      <w:bCs/>
                      <w:kern w:val="0"/>
                      <w:sz w:val="18"/>
                      <w:szCs w:val="18"/>
                    </w:rPr>
                    <w:t>的产品的改进</w:t>
                  </w:r>
                  <w:r>
                    <w:rPr>
                      <w:rFonts w:hint="eastAsia" w:ascii="宋体" w:hAnsi="宋体" w:eastAsia="宋体" w:cs="宋体"/>
                      <w:bCs/>
                      <w:kern w:val="0"/>
                      <w:sz w:val="18"/>
                      <w:szCs w:val="18"/>
                    </w:rPr>
                    <w:t>：</w:t>
                  </w:r>
                </w:p>
                <w:p>
                  <w:pPr>
                    <w:widowControl/>
                    <w:spacing w:before="40"/>
                    <w:jc w:val="left"/>
                    <w:rPr>
                      <w:rFonts w:hint="eastAsia" w:ascii="Times New Roman" w:hAnsi="Times New Roman" w:eastAsia="宋体" w:cs="Times New Roman"/>
                      <w:kern w:val="2"/>
                      <w:sz w:val="18"/>
                      <w:szCs w:val="18"/>
                      <w:lang w:val="en-US" w:eastAsia="zh-CN" w:bidi="ar-SA"/>
                    </w:rPr>
                  </w:pPr>
                </w:p>
              </w:tc>
              <w:tc>
                <w:tcPr>
                  <w:tcW w:w="4167" w:type="dxa"/>
                  <w:vAlign w:val="top"/>
                </w:tcPr>
                <w:p>
                  <w:pPr>
                    <w:spacing w:before="163" w:beforeLines="50" w:line="300" w:lineRule="exact"/>
                    <w:ind w:right="-36" w:rightChars="-17"/>
                    <w:jc w:val="both"/>
                    <w:rPr>
                      <w:rFonts w:hint="eastAsia" w:ascii="宋体" w:hAnsi="宋体" w:eastAsia="宋体" w:cs="宋体"/>
                      <w:bCs/>
                      <w:kern w:val="0"/>
                      <w:sz w:val="18"/>
                      <w:szCs w:val="18"/>
                    </w:rPr>
                  </w:pPr>
                  <w:r>
                    <w:rPr>
                      <w:rFonts w:hint="eastAsia" w:ascii="宋体" w:hAnsi="宋体" w:eastAsia="宋体" w:cs="宋体"/>
                      <w:bCs/>
                      <w:kern w:val="0"/>
                      <w:sz w:val="18"/>
                      <w:szCs w:val="18"/>
                    </w:rPr>
                    <w:t>对</w:t>
                  </w:r>
                  <w:r>
                    <w:rPr>
                      <w:rFonts w:hint="eastAsia" w:ascii="宋体" w:hAnsi="宋体" w:eastAsia="宋体" w:cs="宋体"/>
                      <w:bCs/>
                      <w:kern w:val="0"/>
                      <w:sz w:val="18"/>
                      <w:szCs w:val="18"/>
                      <w:lang w:val="en-US" w:eastAsia="zh-CN"/>
                    </w:rPr>
                    <w:t>技术研发部</w:t>
                  </w:r>
                  <w:r>
                    <w:rPr>
                      <w:rFonts w:hint="eastAsia" w:ascii="宋体" w:hAnsi="宋体" w:eastAsia="宋体" w:cs="宋体"/>
                      <w:bCs/>
                      <w:kern w:val="0"/>
                      <w:sz w:val="18"/>
                      <w:szCs w:val="18"/>
                    </w:rPr>
                    <w:t>服务过程强化服务意识和规范，加强对过程检查，对不合格输出采取有效的纠正或纠正措施；</w:t>
                  </w:r>
                </w:p>
                <w:p>
                  <w:pPr>
                    <w:widowControl/>
                    <w:spacing w:before="40"/>
                    <w:jc w:val="both"/>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组织培训</w:t>
                  </w:r>
                  <w:r>
                    <w:rPr>
                      <w:rFonts w:hint="eastAsia" w:ascii="宋体" w:hAnsi="宋体" w:eastAsia="宋体" w:cs="宋体"/>
                      <w:bCs/>
                      <w:kern w:val="0"/>
                      <w:sz w:val="18"/>
                      <w:szCs w:val="18"/>
                      <w:lang w:val="en-US" w:eastAsia="zh-CN"/>
                    </w:rPr>
                    <w:t>加强新版标准文件</w:t>
                  </w:r>
                  <w:r>
                    <w:rPr>
                      <w:rFonts w:hint="eastAsia" w:ascii="宋体" w:hAnsi="宋体" w:cs="宋体"/>
                      <w:bCs/>
                      <w:kern w:val="0"/>
                      <w:sz w:val="18"/>
                      <w:szCs w:val="18"/>
                      <w:lang w:val="en-US" w:eastAsia="zh-CN"/>
                    </w:rPr>
                    <w:t>学习。</w:t>
                  </w:r>
                </w:p>
              </w:tc>
              <w:tc>
                <w:tcPr>
                  <w:tcW w:w="2911" w:type="dxa"/>
                </w:tcPr>
                <w:p>
                  <w:pPr>
                    <w:widowControl/>
                    <w:spacing w:before="40"/>
                    <w:jc w:val="left"/>
                    <w:rPr>
                      <w:rFonts w:hint="eastAsia"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w:t>
                  </w:r>
                  <w:r>
                    <w:rPr>
                      <w:rFonts w:hint="eastAsia" w:ascii="Times New Roman" w:hAnsi="Times New Roman" w:eastAsia="宋体" w:cs="Times New Roman"/>
                      <w:sz w:val="18"/>
                      <w:szCs w:val="18"/>
                      <w:lang w:val="en-US" w:eastAsia="zh-CN"/>
                    </w:rPr>
                    <w:t xml:space="preserve">已落实 </w:t>
                  </w:r>
                  <w:r>
                    <w:rPr>
                      <w:rFonts w:hint="eastAsia" w:ascii="Times New Roman" w:hAnsi="Times New Roman" w:eastAsia="宋体" w:cs="Times New Roman"/>
                      <w:sz w:val="18"/>
                      <w:szCs w:val="18"/>
                      <w:lang w:eastAsia="zh-CN"/>
                    </w:rPr>
                    <w:t>□</w:t>
                  </w:r>
                  <w:r>
                    <w:rPr>
                      <w:rFonts w:hint="eastAsia" w:ascii="Times New Roman" w:hAnsi="Times New Roman" w:eastAsia="宋体" w:cs="Times New Roman"/>
                      <w:sz w:val="18"/>
                      <w:szCs w:val="18"/>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vAlign w:val="top"/>
                </w:tcPr>
                <w:p>
                  <w:pPr>
                    <w:widowControl/>
                    <w:spacing w:before="40"/>
                    <w:jc w:val="left"/>
                    <w:rPr>
                      <w:rFonts w:hint="eastAsia" w:ascii="Times New Roman" w:hAnsi="Times New Roman" w:eastAsia="宋体" w:cs="Times New Roman"/>
                      <w:kern w:val="2"/>
                      <w:sz w:val="21"/>
                      <w:lang w:val="en-US" w:eastAsia="zh-CN" w:bidi="ar-SA"/>
                    </w:rPr>
                  </w:pPr>
                  <w:r>
                    <w:rPr>
                      <w:rFonts w:hint="eastAsia"/>
                      <w:lang w:eastAsia="zh-CN"/>
                    </w:rPr>
                    <w:t>管理体系</w:t>
                  </w:r>
                  <w:r>
                    <w:rPr>
                      <w:rFonts w:hint="eastAsia"/>
                    </w:rPr>
                    <w:t>所需的变更</w:t>
                  </w:r>
                </w:p>
              </w:tc>
              <w:tc>
                <w:tcPr>
                  <w:tcW w:w="4167" w:type="dxa"/>
                  <w:vAlign w:val="top"/>
                </w:tcPr>
                <w:p>
                  <w:pPr>
                    <w:widowControl/>
                    <w:spacing w:before="40"/>
                    <w:jc w:val="left"/>
                    <w:rPr>
                      <w:rFonts w:hint="eastAsia" w:ascii="Times New Roman" w:hAnsi="Times New Roman" w:eastAsia="宋体" w:cs="Times New Roman"/>
                      <w:kern w:val="2"/>
                      <w:sz w:val="21"/>
                      <w:lang w:val="en-US" w:eastAsia="zh-CN" w:bidi="ar-SA"/>
                    </w:rPr>
                  </w:pPr>
                  <w:r>
                    <w:rPr>
                      <w:rFonts w:hint="eastAsia"/>
                      <w:lang w:val="en-US" w:eastAsia="zh-CN"/>
                    </w:rPr>
                    <w:t>目前暂无变更需求</w:t>
                  </w:r>
                </w:p>
              </w:tc>
              <w:tc>
                <w:tcPr>
                  <w:tcW w:w="2911" w:type="dxa"/>
                </w:tcPr>
                <w:p>
                  <w:pPr>
                    <w:widowControl/>
                    <w:spacing w:before="40"/>
                    <w:jc w:val="left"/>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vAlign w:val="top"/>
                </w:tcPr>
                <w:p>
                  <w:pPr>
                    <w:widowControl/>
                    <w:spacing w:before="40"/>
                    <w:jc w:val="left"/>
                    <w:rPr>
                      <w:rFonts w:hint="eastAsia" w:ascii="Times New Roman" w:hAnsi="Times New Roman" w:eastAsia="宋体" w:cs="Times New Roman"/>
                      <w:kern w:val="2"/>
                      <w:sz w:val="21"/>
                      <w:lang w:val="en-US" w:eastAsia="zh-CN" w:bidi="ar-SA"/>
                    </w:rPr>
                  </w:pPr>
                  <w:r>
                    <w:rPr>
                      <w:rFonts w:hint="eastAsia"/>
                    </w:rPr>
                    <w:t>资源需求</w:t>
                  </w:r>
                </w:p>
              </w:tc>
              <w:tc>
                <w:tcPr>
                  <w:tcW w:w="4167" w:type="dxa"/>
                  <w:vAlign w:val="top"/>
                </w:tcPr>
                <w:p>
                  <w:pPr>
                    <w:widowControl/>
                    <w:spacing w:before="40"/>
                    <w:jc w:val="left"/>
                    <w:rPr>
                      <w:rFonts w:hint="eastAsia" w:ascii="Times New Roman" w:hAnsi="Times New Roman" w:eastAsia="宋体" w:cs="Times New Roman"/>
                      <w:kern w:val="2"/>
                      <w:sz w:val="21"/>
                      <w:lang w:val="en-US" w:eastAsia="zh-CN" w:bidi="ar-SA"/>
                    </w:rPr>
                  </w:pPr>
                  <w:r>
                    <w:rPr>
                      <w:rFonts w:hint="eastAsia"/>
                      <w:lang w:val="en-US" w:eastAsia="zh-CN"/>
                    </w:rPr>
                    <w:t>目前公司资源满足软件开发需求</w:t>
                  </w:r>
                </w:p>
              </w:tc>
              <w:tc>
                <w:tcPr>
                  <w:tcW w:w="2911" w:type="dxa"/>
                </w:tcPr>
                <w:p>
                  <w:pPr>
                    <w:widowControl/>
                    <w:spacing w:before="40"/>
                    <w:jc w:val="left"/>
                    <w:rPr>
                      <w:rFonts w:hint="default"/>
                      <w:lang w:val="en-US" w:eastAsia="zh-CN"/>
                    </w:rPr>
                  </w:pPr>
                </w:p>
              </w:tc>
            </w:tr>
          </w:tbl>
          <w:p>
            <w:pPr>
              <w:rPr>
                <w:rFonts w:hint="eastAsia"/>
              </w:rPr>
            </w:pPr>
          </w:p>
          <w:p>
            <w:pPr>
              <w:numPr>
                <w:ilvl w:val="0"/>
                <w:numId w:val="0"/>
              </w:numPr>
              <w:spacing w:line="380" w:lineRule="exact"/>
              <w:ind w:leftChars="0"/>
              <w:rPr>
                <w:rFonts w:hint="default" w:ascii="宋体" w:hAnsi="宋体"/>
                <w:color w:val="auto"/>
                <w:kern w:val="2"/>
                <w:sz w:val="21"/>
                <w:lang w:val="en-US" w:eastAsia="zh-CN" w:bidi="ar-SA"/>
              </w:rPr>
            </w:pPr>
            <w:r>
              <w:rPr>
                <w:rFonts w:hint="eastAsia" w:ascii="宋体" w:hAnsi="宋体"/>
                <w:color w:val="auto"/>
                <w:kern w:val="2"/>
                <w:sz w:val="21"/>
                <w:lang w:val="en-US" w:eastAsia="zh-CN" w:bidi="ar-SA"/>
              </w:rPr>
              <w:t>管理评审结论:</w:t>
            </w:r>
          </w:p>
          <w:p>
            <w:pPr>
              <w:numPr>
                <w:ilvl w:val="0"/>
                <w:numId w:val="0"/>
              </w:numPr>
              <w:spacing w:line="360" w:lineRule="auto"/>
              <w:ind w:leftChars="0"/>
              <w:rPr>
                <w:rFonts w:hint="eastAsia" w:ascii="宋体" w:hAnsi="宋体"/>
                <w:color w:val="auto"/>
                <w:szCs w:val="21"/>
                <w:highlight w:val="none"/>
                <w:lang w:eastAsia="zh-CN"/>
              </w:rPr>
            </w:pPr>
            <w:r>
              <w:rPr>
                <w:rFonts w:hint="eastAsia" w:ascii="宋体" w:hAnsi="宋体"/>
                <w:color w:val="auto"/>
                <w:kern w:val="2"/>
                <w:sz w:val="21"/>
                <w:lang w:val="en-US" w:eastAsia="zh-CN" w:bidi="ar-SA"/>
              </w:rPr>
              <w:t>公司管理体系过程有效，运行良好，应继续严格按照体系要求执行。公司服务的产品符合市场需要，质量状况良好，质量、环境、</w:t>
            </w:r>
            <w:r>
              <w:rPr>
                <w:rFonts w:hint="eastAsia" w:ascii="宋体" w:hAnsi="宋体"/>
                <w:color w:val="auto"/>
                <w:kern w:val="2"/>
                <w:sz w:val="21"/>
                <w:highlight w:val="none"/>
                <w:lang w:val="en-US" w:eastAsia="zh-CN" w:bidi="ar-SA"/>
              </w:rPr>
              <w:t>职业健康安全水平稳定，应继续保持。公司质量目标基本实现；质量方针、目标适宜；可持续保持。</w:t>
            </w:r>
            <w:r>
              <w:rPr>
                <w:rFonts w:hint="eastAsia" w:ascii="宋体" w:hAnsi="宋体"/>
                <w:color w:val="auto"/>
                <w:szCs w:val="21"/>
                <w:highlight w:val="none"/>
              </w:rPr>
              <w:t>公司管理方针和目标符合公司的经营宗旨</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持续改进</w:t>
            </w:r>
            <w:r>
              <w:rPr>
                <w:rFonts w:hint="eastAsia" w:ascii="宋体" w:hAnsi="宋体"/>
                <w:color w:val="auto"/>
                <w:szCs w:val="21"/>
                <w:highlight w:val="none"/>
                <w:lang w:eastAsia="zh-CN"/>
              </w:rPr>
              <w:t>。</w:t>
            </w:r>
          </w:p>
          <w:p>
            <w:pPr>
              <w:autoSpaceDE w:val="0"/>
              <w:autoSpaceDN w:val="0"/>
              <w:adjustRightInd w:val="0"/>
              <w:jc w:val="left"/>
              <w:rPr>
                <w:rFonts w:hint="eastAsia" w:ascii="宋体" w:cs="宋体"/>
                <w:color w:val="auto"/>
                <w:kern w:val="0"/>
                <w:highlight w:val="none"/>
                <w:lang w:eastAsia="zh-CN"/>
              </w:rPr>
            </w:pPr>
            <w:r>
              <w:rPr>
                <w:rFonts w:hint="eastAsia" w:ascii="宋体" w:hAnsi="宋体"/>
                <w:color w:val="auto"/>
                <w:szCs w:val="21"/>
                <w:highlight w:val="none"/>
                <w:lang w:val="en-US" w:eastAsia="zh-CN"/>
              </w:rPr>
              <w:t>管理体系运行</w:t>
            </w:r>
            <w:r>
              <w:rPr>
                <w:rFonts w:hint="eastAsia" w:ascii="宋体" w:cs="宋体"/>
                <w:color w:val="auto"/>
                <w:kern w:val="0"/>
                <w:highlight w:val="none"/>
              </w:rPr>
              <w:t>适宜、充分和有效</w:t>
            </w:r>
            <w:r>
              <w:rPr>
                <w:rFonts w:hint="eastAsia" w:ascii="宋体" w:cs="宋体"/>
                <w:color w:val="auto"/>
                <w:kern w:val="0"/>
                <w:highlight w:val="none"/>
                <w:lang w:eastAsia="zh-CN"/>
              </w:rPr>
              <w:t>。</w:t>
            </w:r>
          </w:p>
          <w:p>
            <w:pPr>
              <w:pStyle w:val="2"/>
              <w:rPr>
                <w:rFonts w:hint="default"/>
                <w:lang w:val="en-US" w:eastAsia="zh-CN"/>
              </w:rPr>
            </w:pPr>
          </w:p>
          <w:p>
            <w:pPr>
              <w:numPr>
                <w:ilvl w:val="0"/>
                <w:numId w:val="5"/>
              </w:numPr>
              <w:autoSpaceDE w:val="0"/>
              <w:autoSpaceDN w:val="0"/>
              <w:adjustRightInd w:val="0"/>
              <w:spacing w:before="120" w:beforeLines="50" w:line="324" w:lineRule="auto"/>
              <w:ind w:left="420" w:leftChars="0" w:hanging="420" w:firstLineChars="0"/>
              <w:jc w:val="left"/>
              <w:rPr>
                <w:rFonts w:hint="eastAsia"/>
                <w:lang w:val="en-US" w:eastAsia="zh-CN"/>
              </w:rPr>
            </w:pPr>
            <w:r>
              <w:rPr>
                <w:rFonts w:hint="eastAsia" w:ascii="宋体" w:hAnsi="宋体" w:cs="Times New Roman"/>
                <w:color w:val="000000"/>
                <w:szCs w:val="21"/>
                <w:lang w:val="en-US" w:eastAsia="zh-CN"/>
              </w:rPr>
              <w:t>公司能够出示：管理评审计划、管理评审会议记录、体系负责人工作报</w:t>
            </w:r>
            <w:r>
              <w:rPr>
                <w:rFonts w:hint="eastAsia" w:ascii="宋体" w:hAnsi="宋体" w:eastAsia="宋体" w:cs="Times New Roman"/>
                <w:color w:val="000000"/>
                <w:szCs w:val="21"/>
                <w:lang w:val="en-US" w:eastAsia="zh-CN"/>
              </w:rPr>
              <w:t>告、职业健康安全事务代表工作总结</w:t>
            </w:r>
            <w:r>
              <w:rPr>
                <w:rFonts w:hint="eastAsia" w:ascii="宋体" w:hAnsi="宋体" w:cs="Times New Roman"/>
                <w:color w:val="000000"/>
                <w:szCs w:val="21"/>
                <w:lang w:val="en-US" w:eastAsia="zh-CN"/>
              </w:rPr>
              <w:t>、市场部、综合办公室等各部门</w:t>
            </w:r>
            <w:r>
              <w:rPr>
                <w:rFonts w:hint="eastAsia" w:ascii="宋体" w:hAnsi="宋体" w:eastAsia="宋体" w:cs="Times New Roman"/>
                <w:color w:val="000000"/>
                <w:szCs w:val="21"/>
                <w:lang w:val="en-US" w:eastAsia="zh-CN"/>
              </w:rPr>
              <w:t>质量、环境和职业健康安全管理体系运行报告</w:t>
            </w:r>
            <w:r>
              <w:rPr>
                <w:rFonts w:hint="eastAsia" w:ascii="宋体" w:hAnsi="宋体" w:cs="Times New Roman"/>
                <w:color w:val="000000"/>
                <w:szCs w:val="21"/>
                <w:lang w:val="en-US" w:eastAsia="zh-CN"/>
              </w:rPr>
              <w:t>（工作总结）</w:t>
            </w:r>
            <w:r>
              <w:rPr>
                <w:rFonts w:hint="eastAsia" w:ascii="宋体" w:hAnsi="宋体" w:eastAsia="宋体" w:cs="Times New Roman"/>
                <w:color w:val="000000"/>
                <w:szCs w:val="21"/>
                <w:lang w:val="en-US" w:eastAsia="zh-CN"/>
              </w:rPr>
              <w:t>、总经理总结性报告、管理评审输入资料、改进</w:t>
            </w:r>
            <w:r>
              <w:rPr>
                <w:rFonts w:hint="eastAsia" w:ascii="宋体" w:hAnsi="宋体" w:cs="Times New Roman"/>
                <w:color w:val="000000"/>
                <w:szCs w:val="21"/>
                <w:lang w:val="en-US" w:eastAsia="zh-CN"/>
              </w:rPr>
              <w:t>计划等</w:t>
            </w:r>
            <w:r>
              <w:rPr>
                <w:rFonts w:hint="eastAsia" w:ascii="宋体" w:hAnsi="宋体" w:eastAsia="宋体" w:cs="Times New Roman"/>
                <w:color w:val="000000"/>
                <w:szCs w:val="21"/>
                <w:lang w:val="en-US" w:eastAsia="zh-CN"/>
              </w:rPr>
              <w:t xml:space="preserve">管理评审决议及改进措施。 </w:t>
            </w:r>
          </w:p>
        </w:tc>
        <w:tc>
          <w:tcPr>
            <w:tcW w:w="1585" w:type="dxa"/>
          </w:tcPr>
          <w:p>
            <w:pPr>
              <w:rPr>
                <w:rFonts w:hint="eastAsia"/>
                <w:lang w:val="en-US" w:eastAsia="zh-CN"/>
              </w:rPr>
            </w:pPr>
            <w:r>
              <w:rPr>
                <w:rFonts w:hint="eastAsia"/>
                <w:vertAlign w:val="baseline"/>
                <w:lang w:val="en-US"/>
              </w:rPr>
              <w:sym w:font="Wingdings" w:char="00FE"/>
            </w:r>
            <w:r>
              <w:rPr>
                <w:rFonts w:hint="eastAsia"/>
                <w:lang w:val="en-US" w:eastAsia="zh-CN"/>
              </w:rPr>
              <w:t>符合</w:t>
            </w:r>
          </w:p>
          <w:p>
            <w:r>
              <w:rPr>
                <w:rFonts w:hint="eastAsia"/>
                <w:lang w:eastAsia="zh-CN"/>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lang w:val="en-US" w:eastAsia="zh-CN"/>
              </w:rPr>
            </w:pPr>
            <w:r>
              <w:rPr>
                <w:rFonts w:hint="eastAsia"/>
                <w:lang w:val="en-US" w:eastAsia="zh-CN"/>
              </w:rPr>
              <w:t>改进</w:t>
            </w:r>
          </w:p>
        </w:tc>
        <w:tc>
          <w:tcPr>
            <w:tcW w:w="960" w:type="dxa"/>
            <w:vAlign w:val="top"/>
          </w:tcPr>
          <w:p>
            <w:pPr>
              <w:rPr>
                <w:rFonts w:hint="eastAsia"/>
                <w:lang w:val="en-US" w:eastAsia="zh-CN"/>
              </w:rPr>
            </w:pPr>
            <w:r>
              <w:rPr>
                <w:rFonts w:hint="eastAsia"/>
                <w:lang w:val="en-US" w:eastAsia="zh-CN"/>
              </w:rPr>
              <w:t>QEO</w:t>
            </w:r>
          </w:p>
          <w:p>
            <w:pPr>
              <w:rPr>
                <w:rFonts w:hint="default"/>
                <w:lang w:val="en-US" w:eastAsia="zh-CN"/>
              </w:rPr>
            </w:pPr>
            <w:r>
              <w:rPr>
                <w:rFonts w:hint="eastAsia"/>
                <w:lang w:val="en-US" w:eastAsia="zh-CN"/>
              </w:rPr>
              <w:t>10.1/10.3</w:t>
            </w:r>
          </w:p>
        </w:tc>
        <w:tc>
          <w:tcPr>
            <w:tcW w:w="10004" w:type="dxa"/>
            <w:vAlign w:val="top"/>
          </w:tcPr>
          <w:p>
            <w:pPr>
              <w:numPr>
                <w:ilvl w:val="0"/>
                <w:numId w:val="0"/>
              </w:numPr>
              <w:spacing w:line="360" w:lineRule="auto"/>
              <w:ind w:leftChars="0"/>
              <w:rPr>
                <w:rFonts w:hint="eastAsia"/>
                <w:lang w:val="en-US" w:eastAsia="zh-CN"/>
              </w:rPr>
            </w:pPr>
            <w:r>
              <w:rPr>
                <w:rFonts w:hint="eastAsia"/>
                <w:lang w:val="en-US" w:eastAsia="zh-CN"/>
              </w:rPr>
              <w:t>文件：管理手册第10章</w:t>
            </w:r>
          </w:p>
          <w:p>
            <w:pPr>
              <w:numPr>
                <w:ilvl w:val="0"/>
                <w:numId w:val="0"/>
              </w:numPr>
              <w:spacing w:line="360" w:lineRule="auto"/>
              <w:ind w:leftChars="0"/>
            </w:pPr>
            <w:r>
              <w:rPr>
                <w:rFonts w:hint="eastAsia"/>
              </w:rPr>
              <w:t>公司通过日</w:t>
            </w:r>
            <w:r>
              <w:t>常工作检查、</w:t>
            </w:r>
            <w:r>
              <w:rPr>
                <w:rFonts w:hint="eastAsia"/>
              </w:rPr>
              <w:t>目</w:t>
            </w:r>
            <w:r>
              <w:t>标完成情况统计、顾客满意度调查</w:t>
            </w:r>
            <w:r>
              <w:rPr>
                <w:rFonts w:hint="eastAsia"/>
                <w:lang w:eastAsia="zh-CN"/>
              </w:rPr>
              <w:t>、</w:t>
            </w:r>
            <w:r>
              <w:t>内审、</w:t>
            </w:r>
            <w:r>
              <w:rPr>
                <w:rFonts w:hint="eastAsia"/>
              </w:rPr>
              <w:t>相关方抱怨、合规性评价、各种内外部环境分析、评价等</w:t>
            </w:r>
            <w:r>
              <w:t>方式</w:t>
            </w:r>
            <w:r>
              <w:rPr>
                <w:rFonts w:hint="eastAsia"/>
              </w:rPr>
              <w:t>识别</w:t>
            </w:r>
            <w:r>
              <w:t>改进的</w:t>
            </w:r>
            <w:r>
              <w:rPr>
                <w:rFonts w:hint="eastAsia"/>
              </w:rPr>
              <w:t>机</w:t>
            </w:r>
            <w:r>
              <w:t>会</w:t>
            </w:r>
            <w:r>
              <w:rPr>
                <w:rFonts w:hint="eastAsia"/>
              </w:rPr>
              <w:t>，在</w:t>
            </w:r>
            <w:r>
              <w:t>以上方式中发现不符合</w:t>
            </w:r>
            <w:r>
              <w:rPr>
                <w:rFonts w:hint="eastAsia"/>
              </w:rPr>
              <w:t>时</w:t>
            </w:r>
            <w:r>
              <w:t>对不符合</w:t>
            </w:r>
            <w:r>
              <w:rPr>
                <w:rFonts w:hint="eastAsia"/>
              </w:rPr>
              <w:t>原因</w:t>
            </w:r>
            <w:r>
              <w:t>进行</w:t>
            </w:r>
            <w:r>
              <w:rPr>
                <w:rFonts w:hint="eastAsia"/>
              </w:rPr>
              <w:t>分析</w:t>
            </w:r>
            <w:r>
              <w:t>并提出改进措施</w:t>
            </w:r>
            <w:r>
              <w:rPr>
                <w:rFonts w:hint="eastAsia"/>
              </w:rPr>
              <w:t>，</w:t>
            </w:r>
            <w:r>
              <w:t>整改后进行</w:t>
            </w:r>
            <w:r>
              <w:rPr>
                <w:rFonts w:hint="eastAsia"/>
              </w:rPr>
              <w:t>措施</w:t>
            </w:r>
            <w:r>
              <w:t>有效性验证</w:t>
            </w:r>
            <w:r>
              <w:rPr>
                <w:rFonts w:hint="eastAsia"/>
              </w:rPr>
              <w:t>并保留</w:t>
            </w:r>
            <w:r>
              <w:t>相关</w:t>
            </w:r>
            <w:r>
              <w:rPr>
                <w:rFonts w:hint="eastAsia"/>
              </w:rPr>
              <w:t>记</w:t>
            </w:r>
            <w:r>
              <w:t>录。</w:t>
            </w:r>
          </w:p>
          <w:p>
            <w:pPr>
              <w:pStyle w:val="2"/>
              <w:rPr>
                <w:rFonts w:hint="eastAsia"/>
                <w:lang w:val="en-US" w:eastAsia="zh-CN"/>
              </w:rPr>
            </w:pPr>
          </w:p>
          <w:p>
            <w:pPr>
              <w:rPr>
                <w:rFonts w:hint="eastAsia"/>
                <w:lang w:val="en-US" w:eastAsia="zh-CN"/>
              </w:rPr>
            </w:pPr>
            <w:r>
              <w:rPr>
                <w:rFonts w:hint="eastAsia"/>
                <w:lang w:val="en-US" w:eastAsia="zh-CN"/>
              </w:rPr>
              <w:t xml:space="preserve">组织确定和选择了改进机会，并采取必要措施，以满足顾客要求和增强顾客满意。 </w:t>
            </w:r>
          </w:p>
          <w:p>
            <w:pPr>
              <w:rPr>
                <w:rFonts w:hint="eastAsia"/>
                <w:lang w:val="en-US" w:eastAsia="zh-CN"/>
              </w:rPr>
            </w:pPr>
            <w:r>
              <w:rPr>
                <w:rFonts w:hint="eastAsia"/>
                <w:lang w:val="en-US" w:eastAsia="zh-CN"/>
              </w:rPr>
              <w:t xml:space="preserve">这包括： </w:t>
            </w:r>
          </w:p>
          <w:p>
            <w:pPr>
              <w:rPr>
                <w:rFonts w:hint="eastAsia"/>
                <w:lang w:val="en-US" w:eastAsia="zh-CN"/>
              </w:rPr>
            </w:pPr>
            <w:r>
              <w:rPr>
                <w:rFonts w:hint="eastAsia"/>
              </w:rPr>
              <w:sym w:font="Wingdings" w:char="00FE"/>
            </w:r>
            <w:r>
              <w:rPr>
                <w:rFonts w:hint="eastAsia"/>
                <w:lang w:val="en-US" w:eastAsia="zh-CN"/>
              </w:rPr>
              <w:t xml:space="preserve">改进产品和服务，以满足要求并应对未来的需求和期望； </w:t>
            </w:r>
          </w:p>
          <w:p>
            <w:pPr>
              <w:rPr>
                <w:rFonts w:hint="eastAsia"/>
                <w:lang w:val="en-US" w:eastAsia="zh-CN"/>
              </w:rPr>
            </w:pPr>
            <w:r>
              <w:rPr>
                <w:rFonts w:hint="eastAsia"/>
              </w:rPr>
              <w:sym w:font="Wingdings" w:char="00FE"/>
            </w:r>
            <w:r>
              <w:rPr>
                <w:rFonts w:hint="eastAsia"/>
                <w:lang w:val="en-US" w:eastAsia="zh-CN"/>
              </w:rPr>
              <w:t xml:space="preserve">纠正、预防或减少不利影响； </w:t>
            </w:r>
          </w:p>
          <w:p>
            <w:pPr>
              <w:rPr>
                <w:rFonts w:hint="eastAsia"/>
                <w:color w:val="auto"/>
                <w:lang w:val="en-US" w:eastAsia="zh-CN"/>
              </w:rPr>
            </w:pPr>
            <w:r>
              <w:rPr>
                <w:rFonts w:hint="eastAsia"/>
              </w:rPr>
              <w:sym w:font="Wingdings" w:char="00FE"/>
            </w:r>
            <w:r>
              <w:rPr>
                <w:rFonts w:hint="eastAsia"/>
                <w:lang w:val="en-US" w:eastAsia="zh-CN"/>
              </w:rPr>
              <w:t>改进管理体系的绩效和有</w:t>
            </w:r>
            <w:r>
              <w:rPr>
                <w:rFonts w:hint="eastAsia"/>
                <w:color w:val="auto"/>
                <w:lang w:val="en-US" w:eastAsia="zh-CN"/>
              </w:rPr>
              <w:t xml:space="preserve">效性。 </w:t>
            </w:r>
          </w:p>
          <w:p>
            <w:pPr>
              <w:ind w:right="-693" w:rightChars="-330"/>
              <w:rPr>
                <w:rFonts w:hint="eastAsia"/>
                <w:color w:val="auto"/>
                <w:highlight w:val="none"/>
                <w:lang w:val="en-US" w:eastAsia="zh-CN"/>
              </w:rPr>
            </w:pPr>
            <w:r>
              <w:rPr>
                <w:rFonts w:hint="eastAsia"/>
                <w:color w:val="auto"/>
                <w:lang w:val="en-US" w:eastAsia="zh-CN"/>
              </w:rPr>
              <w:t>见：</w:t>
            </w:r>
            <w:r>
              <w:rPr>
                <w:rFonts w:hint="eastAsia"/>
                <w:color w:val="auto"/>
              </w:rPr>
              <w:t>《内审资料》、《管理评审资料》、《目标指标管理方案检查表》、《年度顾客满意度调查情况分析表》等可见相关记录。</w:t>
            </w:r>
            <w:r>
              <w:rPr>
                <w:rFonts w:hint="eastAsia"/>
                <w:color w:val="auto"/>
                <w:lang w:val="en-US" w:eastAsia="zh-CN"/>
              </w:rPr>
              <w:t xml:space="preserve">改进包括：纠正、纠正措施、持续改进、突破性变革、创新和重组。 </w:t>
            </w:r>
          </w:p>
          <w:p>
            <w:pPr>
              <w:rPr>
                <w:rFonts w:hint="eastAsia"/>
                <w:color w:val="auto"/>
                <w:lang w:val="en-US" w:eastAsia="zh-CN"/>
              </w:rPr>
            </w:pPr>
            <w:r>
              <w:rPr>
                <w:rFonts w:hint="eastAsia"/>
                <w:color w:val="auto"/>
                <w:lang w:val="en-US" w:eastAsia="zh-CN"/>
              </w:rPr>
              <w:t xml:space="preserve">组织已持续改进管理体系的适宜性、充分性和有效性。 </w:t>
            </w:r>
          </w:p>
          <w:p>
            <w:pPr>
              <w:rPr>
                <w:rFonts w:hint="eastAsia"/>
                <w:color w:val="auto"/>
                <w:highlight w:val="none"/>
                <w:lang w:val="en-US" w:eastAsia="zh-CN"/>
              </w:rPr>
            </w:pPr>
            <w:r>
              <w:rPr>
                <w:rFonts w:hint="eastAsia"/>
                <w:color w:val="auto"/>
                <w:lang w:val="en-US" w:eastAsia="zh-CN"/>
              </w:rPr>
              <w:t>组织考虑了分析和评价的结果以及管理评审的输出，确定是否存在需求或机遇，这些需求或机遇应作为持续改进的一部分加以应对：</w:t>
            </w:r>
            <w:r>
              <w:rPr>
                <w:rFonts w:hint="eastAsia"/>
                <w:color w:val="auto"/>
              </w:rPr>
              <w:t>针对体系运行中存在的问题，加强</w:t>
            </w:r>
            <w:r>
              <w:rPr>
                <w:rFonts w:hint="eastAsia"/>
                <w:color w:val="auto"/>
                <w:lang w:val="en-US" w:eastAsia="zh-CN"/>
              </w:rPr>
              <w:t>供方的管理</w:t>
            </w:r>
            <w:r>
              <w:rPr>
                <w:rFonts w:hint="eastAsia" w:ascii="宋体" w:hAnsi="宋体"/>
                <w:color w:val="auto"/>
                <w:szCs w:val="21"/>
                <w:highlight w:val="none"/>
                <w:lang w:val="en-US" w:eastAsia="zh-CN"/>
              </w:rPr>
              <w:t>。</w:t>
            </w:r>
          </w:p>
          <w:p>
            <w:pPr>
              <w:rPr>
                <w:rFonts w:hint="eastAsia"/>
                <w:color w:val="auto"/>
                <w:highlight w:val="none"/>
                <w:lang w:val="en-US" w:eastAsia="zh-CN"/>
              </w:rPr>
            </w:pPr>
            <w:r>
              <w:rPr>
                <w:rFonts w:hint="eastAsia"/>
                <w:color w:val="auto"/>
                <w:highlight w:val="none"/>
                <w:lang w:val="en-US" w:eastAsia="zh-CN"/>
              </w:rPr>
              <w:t>管理评审改进措施已落实。见：</w:t>
            </w:r>
            <w:r>
              <w:rPr>
                <w:rFonts w:hint="eastAsia" w:ascii="宋体" w:hAnsi="宋体" w:eastAsia="宋体" w:cs="Times New Roman"/>
                <w:color w:val="auto"/>
                <w:szCs w:val="21"/>
                <w:lang w:val="en-US" w:eastAsia="zh-CN"/>
              </w:rPr>
              <w:t>管理评审决议及改进措施表</w:t>
            </w:r>
            <w:r>
              <w:rPr>
                <w:rFonts w:hint="eastAsia"/>
                <w:color w:val="auto"/>
                <w:highlight w:val="none"/>
                <w:lang w:val="en-US" w:eastAsia="zh-CN"/>
              </w:rPr>
              <w:t>。</w:t>
            </w:r>
          </w:p>
          <w:p>
            <w:pPr>
              <w:pStyle w:val="2"/>
              <w:rPr>
                <w:rFonts w:hint="default"/>
                <w:highlight w:val="none"/>
                <w:lang w:val="en-US" w:eastAsia="zh-CN"/>
              </w:rPr>
            </w:pPr>
            <w:r>
              <w:rPr>
                <w:rFonts w:hint="eastAsia"/>
                <w:color w:val="auto"/>
                <w:highlight w:val="none"/>
                <w:lang w:val="en-US" w:eastAsia="zh-CN"/>
              </w:rPr>
              <w:t>2022年5月26日，公司李某在搬运煤气罐过程中左手被挤伤，经唐山市丰南区中医院诊断为：左手环指末节骨折。工伤事件对该工伤采取的纠正预防措施的证据见综合办公室记录。</w:t>
            </w:r>
          </w:p>
        </w:tc>
        <w:tc>
          <w:tcPr>
            <w:tcW w:w="1585" w:type="dxa"/>
          </w:tcPr>
          <w:p>
            <w:pPr>
              <w:rPr>
                <w:rFonts w:hint="eastAsia"/>
                <w:lang w:val="en-US" w:eastAsia="zh-CN"/>
              </w:rPr>
            </w:pPr>
            <w:r>
              <w:rPr>
                <w:rFonts w:hint="eastAsia"/>
                <w:lang w:eastAsia="zh-CN"/>
              </w:rPr>
              <w:t>☑</w:t>
            </w:r>
            <w:r>
              <w:rPr>
                <w:rFonts w:hint="eastAsia"/>
                <w:lang w:val="en-US" w:eastAsia="zh-CN"/>
              </w:rPr>
              <w:t>符合</w:t>
            </w:r>
          </w:p>
          <w:p>
            <w:pPr>
              <w:rPr>
                <w:rFonts w:hint="eastAsia"/>
                <w:lang w:eastAsia="zh-CN"/>
              </w:rPr>
            </w:pPr>
            <w:r>
              <w:rPr>
                <w:rFonts w:hint="eastAsia"/>
                <w:lang w:eastAsia="zh-CN"/>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160" w:type="dxa"/>
            <w:vAlign w:val="top"/>
          </w:tcPr>
          <w:p>
            <w:pPr>
              <w:pStyle w:val="2"/>
              <w:rPr>
                <w:rFonts w:hint="eastAsia"/>
                <w:lang w:val="en-US" w:eastAsia="zh-CN"/>
              </w:rPr>
            </w:pPr>
            <w:r>
              <w:rPr>
                <w:rFonts w:hint="eastAsia"/>
                <w:lang w:val="en-US" w:eastAsia="zh-CN"/>
              </w:rPr>
              <w:t>员工协商和参与</w:t>
            </w:r>
          </w:p>
          <w:p>
            <w:pPr>
              <w:pStyle w:val="2"/>
              <w:rPr>
                <w:rFonts w:hint="default"/>
                <w:lang w:val="en-US" w:eastAsia="zh-CN"/>
              </w:rPr>
            </w:pPr>
            <w:r>
              <w:rPr>
                <w:rFonts w:hint="eastAsia"/>
                <w:lang w:val="en-US" w:eastAsia="zh-CN"/>
              </w:rPr>
              <w:t>沟通</w:t>
            </w:r>
          </w:p>
        </w:tc>
        <w:tc>
          <w:tcPr>
            <w:tcW w:w="960" w:type="dxa"/>
            <w:vAlign w:val="top"/>
          </w:tcPr>
          <w:p>
            <w:pPr>
              <w:rPr>
                <w:rFonts w:hint="eastAsia"/>
                <w:lang w:val="en-US" w:eastAsia="zh-CN"/>
              </w:rPr>
            </w:pPr>
            <w:r>
              <w:rPr>
                <w:rFonts w:hint="eastAsia"/>
                <w:lang w:val="en-US" w:eastAsia="zh-CN"/>
              </w:rPr>
              <w:t>O5.4</w:t>
            </w:r>
          </w:p>
          <w:p>
            <w:pPr>
              <w:rPr>
                <w:rFonts w:hint="eastAsia"/>
                <w:lang w:val="en-US" w:eastAsia="zh-CN"/>
              </w:rPr>
            </w:pPr>
            <w:r>
              <w:rPr>
                <w:rFonts w:hint="eastAsia"/>
                <w:lang w:val="en-US" w:eastAsia="zh-CN"/>
              </w:rPr>
              <w:t>QEO7.4</w:t>
            </w:r>
          </w:p>
        </w:tc>
        <w:tc>
          <w:tcPr>
            <w:tcW w:w="10004" w:type="dxa"/>
            <w:vAlign w:val="top"/>
          </w:tcPr>
          <w:p>
            <w:pPr>
              <w:numPr>
                <w:ilvl w:val="0"/>
                <w:numId w:val="0"/>
              </w:numPr>
              <w:spacing w:line="360" w:lineRule="auto"/>
              <w:ind w:leftChars="0"/>
              <w:rPr>
                <w:rFonts w:hint="default" w:ascii="宋体" w:hAnsi="宋体" w:cs="Tahoma"/>
                <w:color w:val="000000"/>
                <w:szCs w:val="21"/>
                <w:lang w:val="en-US" w:eastAsia="zh-CN"/>
              </w:rPr>
            </w:pPr>
            <w:r>
              <w:rPr>
                <w:rFonts w:hint="eastAsia" w:ascii="宋体" w:hAnsi="宋体" w:cs="Tahoma"/>
                <w:color w:val="000000"/>
                <w:szCs w:val="21"/>
                <w:lang w:val="en-US" w:eastAsia="zh-CN"/>
              </w:rPr>
              <w:t>文件：《管理手册》第7.</w:t>
            </w:r>
            <w:r>
              <w:rPr>
                <w:rFonts w:hint="eastAsia" w:ascii="宋体" w:hAnsi="宋体" w:eastAsia="宋体" w:cs="Times New Roman"/>
                <w:lang w:val="en-US" w:eastAsia="zh-CN"/>
              </w:rPr>
              <w:t>4条</w:t>
            </w:r>
            <w:r>
              <w:rPr>
                <w:rFonts w:hint="eastAsia" w:ascii="宋体" w:hAnsi="宋体" w:cs="Tahoma"/>
                <w:color w:val="000000"/>
                <w:szCs w:val="21"/>
                <w:lang w:val="en-US" w:eastAsia="zh-CN"/>
              </w:rPr>
              <w:t>款；《</w:t>
            </w:r>
            <w:r>
              <w:rPr>
                <w:rFonts w:hint="eastAsia" w:ascii="宋体" w:hAnsi="宋体" w:cs="Tahoma"/>
                <w:color w:val="000000"/>
                <w:szCs w:val="21"/>
              </w:rPr>
              <w:t>内外部沟通控制程序</w:t>
            </w:r>
            <w:r>
              <w:rPr>
                <w:rFonts w:hint="eastAsia" w:ascii="宋体" w:hAnsi="宋体" w:cs="Tahoma"/>
                <w:color w:val="000000"/>
                <w:szCs w:val="21"/>
                <w:lang w:val="en-US" w:eastAsia="zh-CN"/>
              </w:rPr>
              <w:t>》；</w:t>
            </w:r>
            <w:r>
              <w:rPr>
                <w:rFonts w:hint="eastAsia" w:ascii="宋体" w:hAnsi="宋体" w:cs="Tahoma"/>
                <w:color w:val="000000"/>
                <w:szCs w:val="21"/>
              </w:rPr>
              <w:t>明确了信息交流、沟通、协商的基本要求</w:t>
            </w:r>
            <w:r>
              <w:rPr>
                <w:rFonts w:hint="eastAsia" w:ascii="宋体" w:hAnsi="宋体" w:cs="Tahoma"/>
                <w:color w:val="000000"/>
                <w:szCs w:val="21"/>
                <w:lang w:eastAsia="zh-CN"/>
              </w:rPr>
              <w:t>。</w:t>
            </w:r>
            <w:r>
              <w:rPr>
                <w:rFonts w:hint="eastAsia" w:ascii="宋体" w:hAnsi="宋体" w:cs="Tahoma"/>
                <w:color w:val="000000"/>
                <w:szCs w:val="21"/>
                <w:lang w:val="en-US" w:eastAsia="zh-CN"/>
              </w:rPr>
              <w:t>文件适宜。</w:t>
            </w:r>
          </w:p>
          <w:p>
            <w:pPr>
              <w:numPr>
                <w:ilvl w:val="0"/>
                <w:numId w:val="0"/>
              </w:numPr>
              <w:spacing w:line="360" w:lineRule="auto"/>
              <w:ind w:leftChars="0"/>
              <w:rPr>
                <w:rFonts w:hint="eastAsia" w:ascii="宋体" w:hAnsi="宋体"/>
              </w:rPr>
            </w:pPr>
            <w:r>
              <w:rPr>
                <w:rFonts w:hint="eastAsia" w:ascii="宋体" w:hAnsi="宋体"/>
                <w:lang w:val="en-US" w:eastAsia="zh-CN"/>
              </w:rPr>
              <w:t>负责人</w:t>
            </w:r>
            <w:r>
              <w:rPr>
                <w:rFonts w:hint="eastAsia" w:ascii="宋体" w:hAnsi="宋体"/>
              </w:rPr>
              <w:t>称：公司有内部沟通和外部沟通的情况。</w:t>
            </w:r>
          </w:p>
          <w:p>
            <w:pPr>
              <w:pStyle w:val="2"/>
              <w:rPr>
                <w:rFonts w:hint="default" w:ascii="宋体" w:hAnsi="宋体"/>
                <w:lang w:val="en-US" w:eastAsia="zh-CN"/>
              </w:rPr>
            </w:pPr>
            <w:r>
              <w:rPr>
                <w:rFonts w:hint="eastAsia" w:ascii="宋体" w:hAnsi="宋体"/>
                <w:lang w:val="en-US" w:eastAsia="zh-CN"/>
              </w:rPr>
              <w:t>公司出示：《信息交流记录表》：</w:t>
            </w:r>
          </w:p>
          <w:p>
            <w:pPr>
              <w:numPr>
                <w:ilvl w:val="0"/>
                <w:numId w:val="0"/>
              </w:numPr>
              <w:spacing w:line="360" w:lineRule="auto"/>
              <w:ind w:leftChars="0"/>
            </w:pPr>
            <w:r>
              <w:rPr>
                <w:rFonts w:hint="eastAsia" w:ascii="宋体" w:hAnsi="宋体"/>
              </w:rPr>
              <w:t>公司沟通对象主要为：工作有接口的外部相关方，政府、协会等；工作有接口关系的各职能部门之间；不同层次岗位之间的沟通；领导与不同层次的员工之间的沟通；部门/岗位与有工作接口关系的相关方之间。</w:t>
            </w:r>
          </w:p>
          <w:p>
            <w:pPr>
              <w:numPr>
                <w:ilvl w:val="0"/>
                <w:numId w:val="0"/>
              </w:numPr>
              <w:spacing w:line="360" w:lineRule="auto"/>
              <w:ind w:leftChars="0"/>
            </w:pPr>
            <w:r>
              <w:rPr>
                <w:rFonts w:hint="eastAsia" w:ascii="宋体" w:hAnsi="宋体"/>
              </w:rPr>
              <w:t>沟通的主要方式为：</w:t>
            </w:r>
          </w:p>
          <w:p>
            <w:pPr>
              <w:numPr>
                <w:ilvl w:val="0"/>
                <w:numId w:val="0"/>
              </w:numPr>
              <w:spacing w:line="360" w:lineRule="auto"/>
              <w:ind w:leftChars="0" w:firstLine="420" w:firstLineChars="200"/>
              <w:rPr>
                <w:rFonts w:hint="eastAsia" w:ascii="宋体" w:hAnsi="宋体"/>
              </w:rPr>
            </w:pPr>
            <w:r>
              <w:rPr>
                <w:rFonts w:hint="eastAsia" w:ascii="宋体" w:hAnsi="宋体"/>
              </w:rPr>
              <w:t>内部沟通：主要采用非正式的沟通方式：每周有例会 ,平时有</w:t>
            </w:r>
            <w:r>
              <w:rPr>
                <w:rFonts w:hint="eastAsia" w:ascii="宋体" w:hAnsi="宋体"/>
                <w:lang w:val="en-US" w:eastAsia="zh-CN"/>
              </w:rPr>
              <w:t>综合办公室</w:t>
            </w:r>
            <w:r>
              <w:rPr>
                <w:rFonts w:hint="eastAsia" w:ascii="宋体" w:hAnsi="宋体"/>
              </w:rPr>
              <w:t>协调各部门之间的工作,沟通的方式:电子邮件、会议、电话、网络QQ、微信、培训、检查等.能达到有效沟通提高效率的目的。沟通还包括部门和团队沟通等；主要根据问题的重要性，内部沟通也有较正式的方式：例如书面报告等；</w:t>
            </w:r>
          </w:p>
          <w:p>
            <w:pPr>
              <w:numPr>
                <w:ilvl w:val="0"/>
                <w:numId w:val="0"/>
              </w:numPr>
              <w:spacing w:line="360" w:lineRule="auto"/>
              <w:ind w:leftChars="0" w:firstLine="420" w:firstLineChars="200"/>
              <w:rPr>
                <w:rFonts w:hint="eastAsia" w:ascii="宋体" w:hAnsi="宋体"/>
              </w:rPr>
            </w:pPr>
            <w:r>
              <w:rPr>
                <w:rFonts w:hint="eastAsia" w:ascii="宋体" w:hAnsi="宋体"/>
              </w:rPr>
              <w:t>外部沟通对象主要为：顾客、政府部门等；外部沟通主要采用正式的报告、顾客满意度调查、发票、技术协议、访问等进行沟通。</w:t>
            </w:r>
          </w:p>
          <w:p>
            <w:pPr>
              <w:numPr>
                <w:ilvl w:val="0"/>
                <w:numId w:val="6"/>
              </w:numPr>
              <w:spacing w:line="360" w:lineRule="auto"/>
              <w:ind w:left="420" w:leftChars="0" w:hanging="420" w:firstLineChars="0"/>
              <w:rPr>
                <w:rFonts w:hint="eastAsia" w:ascii="宋体" w:hAnsi="宋体"/>
                <w:lang w:val="en-US" w:eastAsia="zh-CN"/>
              </w:rPr>
            </w:pPr>
            <w:r>
              <w:rPr>
                <w:rFonts w:hint="eastAsia" w:ascii="宋体" w:hAnsi="宋体"/>
                <w:lang w:val="en-US" w:eastAsia="zh-CN"/>
              </w:rPr>
              <w:t>员工协商和参与：公司职业健康安全代表：马力斌；1名；通过推荐选举产生。</w:t>
            </w:r>
          </w:p>
          <w:p>
            <w:pPr>
              <w:numPr>
                <w:ilvl w:val="0"/>
                <w:numId w:val="6"/>
              </w:numPr>
              <w:spacing w:line="360" w:lineRule="auto"/>
              <w:ind w:left="420" w:leftChars="0" w:hanging="420" w:firstLineChars="0"/>
              <w:rPr>
                <w:rFonts w:hint="eastAsia" w:ascii="宋体" w:hAnsi="宋体"/>
                <w:lang w:val="en-US" w:eastAsia="zh-CN"/>
              </w:rPr>
            </w:pPr>
            <w:r>
              <w:rPr>
                <w:rFonts w:hint="eastAsia" w:ascii="宋体" w:hAnsi="宋体"/>
                <w:lang w:val="en-US" w:eastAsia="zh-CN"/>
              </w:rPr>
              <w:t>见出示《职业健康安全代表任命书》；</w:t>
            </w:r>
          </w:p>
          <w:p>
            <w:pPr>
              <w:pStyle w:val="2"/>
              <w:numPr>
                <w:ilvl w:val="0"/>
                <w:numId w:val="7"/>
              </w:numPr>
              <w:ind w:left="420" w:leftChars="0" w:hanging="420" w:firstLineChars="0"/>
              <w:rPr>
                <w:rFonts w:hint="eastAsia" w:ascii="宋体" w:hAnsi="宋体"/>
                <w:lang w:val="en-US" w:eastAsia="zh-CN"/>
              </w:rPr>
            </w:pPr>
            <w:r>
              <w:rPr>
                <w:rFonts w:hint="eastAsia" w:ascii="宋体" w:hAnsi="宋体"/>
                <w:lang w:val="en-US" w:eastAsia="zh-CN"/>
              </w:rPr>
              <w:t>员工代表称：员工协商：确定相关方的需求和期望，制定职业健康安全方针，适用时分配组织的岗位、职责和权限，确定如何满足法律法规和其他要求，制定并策划实现职业健康安全目标，确定对外包、采购和承包方的适合控制措施，确定哪些需要监视、测量和评价，策划、建立、实施并保持一个或多个审核方案，确保持续改进的证据。</w:t>
            </w:r>
          </w:p>
          <w:p>
            <w:pPr>
              <w:pStyle w:val="2"/>
              <w:numPr>
                <w:ilvl w:val="0"/>
                <w:numId w:val="7"/>
              </w:numPr>
              <w:ind w:left="420" w:leftChars="0" w:hanging="420" w:firstLineChars="0"/>
              <w:rPr>
                <w:rFonts w:hint="eastAsia" w:ascii="宋体" w:hAnsi="宋体"/>
                <w:lang w:val="en-US" w:eastAsia="zh-CN"/>
              </w:rPr>
            </w:pPr>
            <w:r>
              <w:rPr>
                <w:rFonts w:hint="eastAsia" w:ascii="宋体" w:hAnsi="宋体"/>
                <w:lang w:val="en-US" w:eastAsia="zh-CN"/>
              </w:rPr>
              <w:t>协商参与机制：选举工作人员代表、合理化建议、重大变化、安全问题等；</w:t>
            </w:r>
          </w:p>
          <w:p>
            <w:pPr>
              <w:pStyle w:val="2"/>
              <w:numPr>
                <w:ilvl w:val="0"/>
                <w:numId w:val="7"/>
              </w:numPr>
              <w:ind w:left="420" w:leftChars="0" w:hanging="420" w:firstLineChars="0"/>
              <w:rPr>
                <w:rFonts w:hint="eastAsia" w:ascii="宋体" w:hAnsi="宋体"/>
                <w:lang w:val="en-US" w:eastAsia="zh-CN"/>
              </w:rPr>
            </w:pPr>
            <w:r>
              <w:rPr>
                <w:rFonts w:hint="eastAsia" w:ascii="宋体" w:hAnsi="宋体"/>
                <w:lang w:val="en-US" w:eastAsia="zh-CN"/>
              </w:rPr>
              <w:t>协商时间：根据不同的事情每年、定期、随时进行。</w:t>
            </w:r>
          </w:p>
          <w:p>
            <w:pPr>
              <w:pStyle w:val="2"/>
              <w:numPr>
                <w:ilvl w:val="0"/>
                <w:numId w:val="7"/>
              </w:numPr>
              <w:ind w:left="420" w:leftChars="0" w:hanging="420" w:firstLineChars="0"/>
              <w:rPr>
                <w:rFonts w:hint="eastAsia" w:ascii="宋体" w:hAnsi="宋体"/>
                <w:lang w:val="en-US" w:eastAsia="zh-CN"/>
              </w:rPr>
            </w:pPr>
            <w:r>
              <w:rPr>
                <w:rFonts w:hint="eastAsia" w:ascii="宋体" w:hAnsi="宋体"/>
                <w:lang w:val="en-US" w:eastAsia="zh-CN"/>
              </w:rPr>
              <w:t>培训：按照公司培训需求进行安排培训。</w:t>
            </w:r>
          </w:p>
          <w:p>
            <w:pPr>
              <w:pStyle w:val="2"/>
              <w:rPr>
                <w:rFonts w:hint="eastAsia"/>
                <w:color w:val="FF0000"/>
                <w:highlight w:val="none"/>
                <w:lang w:val="en-US" w:eastAsia="zh-CN"/>
              </w:rPr>
            </w:pPr>
            <w:r>
              <w:rPr>
                <w:rFonts w:hint="eastAsia" w:ascii="宋体" w:hAnsi="宋体"/>
                <w:lang w:val="en-US" w:eastAsia="zh-CN"/>
              </w:rPr>
              <w:t>沟通访问、回应方式：会议、面谈、微信、电话等方式。</w:t>
            </w:r>
          </w:p>
        </w:tc>
        <w:tc>
          <w:tcPr>
            <w:tcW w:w="1585" w:type="dxa"/>
          </w:tcPr>
          <w:p>
            <w:p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3120" w:type="dxa"/>
            <w:gridSpan w:val="2"/>
            <w:vAlign w:val="top"/>
          </w:tcPr>
          <w:p>
            <w:pPr>
              <w:rPr>
                <w:rFonts w:hint="default"/>
                <w:lang w:val="en-US" w:eastAsia="zh-CN"/>
              </w:rPr>
            </w:pPr>
            <w:r>
              <w:rPr>
                <w:rFonts w:hint="eastAsia"/>
                <w:lang w:val="en-US" w:eastAsia="zh-CN"/>
              </w:rPr>
              <w:t>远程审核证据</w:t>
            </w:r>
          </w:p>
        </w:tc>
        <w:tc>
          <w:tcPr>
            <w:tcW w:w="10004" w:type="dxa"/>
            <w:vAlign w:val="top"/>
          </w:tcPr>
          <w:p>
            <w:pPr>
              <w:rPr>
                <w:rFonts w:hint="eastAsia" w:ascii="Times New Roman" w:hAnsi="Times New Roman" w:eastAsia="宋体" w:cs="Times New Roman"/>
                <w:kern w:val="2"/>
                <w:sz w:val="21"/>
                <w:highlight w:val="none"/>
                <w:lang w:val="en-US" w:eastAsia="zh-CN" w:bidi="ar-SA"/>
              </w:rPr>
            </w:pPr>
            <w:r>
              <w:drawing>
                <wp:inline distT="0" distB="0" distL="114300" distR="114300">
                  <wp:extent cx="1367155" cy="2027555"/>
                  <wp:effectExtent l="0" t="0" r="4445" b="4445"/>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pic:cNvPicPr>
                        </pic:nvPicPr>
                        <pic:blipFill>
                          <a:blip r:embed="rId10"/>
                          <a:stretch>
                            <a:fillRect/>
                          </a:stretch>
                        </pic:blipFill>
                        <pic:spPr>
                          <a:xfrm>
                            <a:off x="0" y="0"/>
                            <a:ext cx="1367155" cy="2027555"/>
                          </a:xfrm>
                          <a:prstGeom prst="rect">
                            <a:avLst/>
                          </a:prstGeom>
                          <a:noFill/>
                          <a:ln>
                            <a:noFill/>
                          </a:ln>
                        </pic:spPr>
                      </pic:pic>
                    </a:graphicData>
                  </a:graphic>
                </wp:inline>
              </w:drawing>
            </w:r>
            <w:r>
              <w:drawing>
                <wp:inline distT="0" distB="0" distL="114300" distR="114300">
                  <wp:extent cx="1313180" cy="2171065"/>
                  <wp:effectExtent l="0" t="0" r="7620" b="63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pic:cNvPicPr>
                        </pic:nvPicPr>
                        <pic:blipFill>
                          <a:blip r:embed="rId11"/>
                          <a:stretch>
                            <a:fillRect/>
                          </a:stretch>
                        </pic:blipFill>
                        <pic:spPr>
                          <a:xfrm>
                            <a:off x="0" y="0"/>
                            <a:ext cx="1313180" cy="2171065"/>
                          </a:xfrm>
                          <a:prstGeom prst="rect">
                            <a:avLst/>
                          </a:prstGeom>
                          <a:noFill/>
                          <a:ln>
                            <a:noFill/>
                          </a:ln>
                        </pic:spPr>
                      </pic:pic>
                    </a:graphicData>
                  </a:graphic>
                </wp:inline>
              </w:drawing>
            </w:r>
          </w:p>
        </w:tc>
        <w:tc>
          <w:tcPr>
            <w:tcW w:w="1585" w:type="dxa"/>
          </w:tcPr>
          <w:p>
            <w:pPr>
              <w:rPr>
                <w:rFonts w:hint="eastAsia"/>
                <w:lang w:eastAsia="zh-CN"/>
              </w:rPr>
            </w:p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471A95"/>
    <w:multiLevelType w:val="singleLevel"/>
    <w:tmpl w:val="A5471A95"/>
    <w:lvl w:ilvl="0" w:tentative="0">
      <w:start w:val="1"/>
      <w:numFmt w:val="bullet"/>
      <w:lvlText w:val=""/>
      <w:lvlJc w:val="left"/>
      <w:pPr>
        <w:ind w:left="420" w:hanging="420"/>
      </w:pPr>
      <w:rPr>
        <w:rFonts w:hint="default" w:ascii="Wingdings" w:hAnsi="Wingdings"/>
      </w:rPr>
    </w:lvl>
  </w:abstractNum>
  <w:abstractNum w:abstractNumId="1">
    <w:nsid w:val="AD1F4ACC"/>
    <w:multiLevelType w:val="singleLevel"/>
    <w:tmpl w:val="AD1F4ACC"/>
    <w:lvl w:ilvl="0" w:tentative="0">
      <w:start w:val="2"/>
      <w:numFmt w:val="decimal"/>
      <w:suff w:val="nothing"/>
      <w:lvlText w:val="%1、"/>
      <w:lvlJc w:val="left"/>
    </w:lvl>
  </w:abstractNum>
  <w:abstractNum w:abstractNumId="2">
    <w:nsid w:val="C25B7478"/>
    <w:multiLevelType w:val="singleLevel"/>
    <w:tmpl w:val="C25B7478"/>
    <w:lvl w:ilvl="0" w:tentative="0">
      <w:start w:val="1"/>
      <w:numFmt w:val="bullet"/>
      <w:lvlText w:val=""/>
      <w:lvlJc w:val="left"/>
      <w:pPr>
        <w:ind w:left="420" w:hanging="420"/>
      </w:pPr>
      <w:rPr>
        <w:rFonts w:hint="default" w:ascii="Wingdings" w:hAnsi="Wingdings"/>
      </w:rPr>
    </w:lvl>
  </w:abstractNum>
  <w:abstractNum w:abstractNumId="3">
    <w:nsid w:val="19E194F9"/>
    <w:multiLevelType w:val="singleLevel"/>
    <w:tmpl w:val="19E194F9"/>
    <w:lvl w:ilvl="0" w:tentative="0">
      <w:start w:val="1"/>
      <w:numFmt w:val="lowerLetter"/>
      <w:lvlText w:val="%1)"/>
      <w:lvlJc w:val="left"/>
      <w:pPr>
        <w:tabs>
          <w:tab w:val="left" w:pos="312"/>
        </w:tabs>
      </w:pPr>
    </w:lvl>
  </w:abstractNum>
  <w:abstractNum w:abstractNumId="4">
    <w:nsid w:val="57FF110C"/>
    <w:multiLevelType w:val="singleLevel"/>
    <w:tmpl w:val="57FF110C"/>
    <w:lvl w:ilvl="0" w:tentative="0">
      <w:start w:val="1"/>
      <w:numFmt w:val="bullet"/>
      <w:lvlText w:val=""/>
      <w:lvlJc w:val="left"/>
      <w:pPr>
        <w:ind w:left="420" w:hanging="420"/>
      </w:pPr>
      <w:rPr>
        <w:rFonts w:hint="default" w:ascii="Wingdings" w:hAnsi="Wingdings"/>
      </w:rPr>
    </w:lvl>
  </w:abstractNum>
  <w:abstractNum w:abstractNumId="5">
    <w:nsid w:val="5876E4DF"/>
    <w:multiLevelType w:val="singleLevel"/>
    <w:tmpl w:val="5876E4DF"/>
    <w:lvl w:ilvl="0" w:tentative="0">
      <w:start w:val="1"/>
      <w:numFmt w:val="bullet"/>
      <w:lvlText w:val=""/>
      <w:lvlJc w:val="left"/>
      <w:pPr>
        <w:ind w:left="420" w:hanging="420"/>
      </w:pPr>
      <w:rPr>
        <w:rFonts w:hint="default" w:ascii="Wingdings" w:hAnsi="Wingdings"/>
      </w:rPr>
    </w:lvl>
  </w:abstractNum>
  <w:abstractNum w:abstractNumId="6">
    <w:nsid w:val="58AE4ADC"/>
    <w:multiLevelType w:val="singleLevel"/>
    <w:tmpl w:val="58AE4ADC"/>
    <w:lvl w:ilvl="0" w:tentative="0">
      <w:start w:val="1"/>
      <w:numFmt w:val="bullet"/>
      <w:lvlText w:val=""/>
      <w:lvlJc w:val="left"/>
      <w:pPr>
        <w:ind w:left="420" w:hanging="420"/>
      </w:pPr>
      <w:rPr>
        <w:rFonts w:hint="default" w:ascii="Wingdings" w:hAnsi="Wingdings"/>
      </w:rPr>
    </w:lvl>
  </w:abstractNum>
  <w:num w:numId="1">
    <w:abstractNumId w:val="1"/>
  </w:num>
  <w:num w:numId="2">
    <w:abstractNumId w:val="5"/>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NkY2MxNWJjNGRmNzZlOGE1ZDgyZDcwMDg5YTkyNGEifQ=="/>
  </w:docVars>
  <w:rsids>
    <w:rsidRoot w:val="00000000"/>
    <w:rsid w:val="00A10993"/>
    <w:rsid w:val="022E26FA"/>
    <w:rsid w:val="09E638BB"/>
    <w:rsid w:val="0A74710B"/>
    <w:rsid w:val="0C372639"/>
    <w:rsid w:val="0F0A3E64"/>
    <w:rsid w:val="0F3867FD"/>
    <w:rsid w:val="11731ED8"/>
    <w:rsid w:val="12893A5A"/>
    <w:rsid w:val="1349420F"/>
    <w:rsid w:val="14E153AA"/>
    <w:rsid w:val="15325C06"/>
    <w:rsid w:val="167C1C02"/>
    <w:rsid w:val="182E6B59"/>
    <w:rsid w:val="184E0FA9"/>
    <w:rsid w:val="1A6033C2"/>
    <w:rsid w:val="1DEA237C"/>
    <w:rsid w:val="1EC76F9F"/>
    <w:rsid w:val="1FE44947"/>
    <w:rsid w:val="22D80950"/>
    <w:rsid w:val="2307793A"/>
    <w:rsid w:val="27C72D7A"/>
    <w:rsid w:val="29051167"/>
    <w:rsid w:val="2C363AEF"/>
    <w:rsid w:val="2CA814B4"/>
    <w:rsid w:val="2CB847EB"/>
    <w:rsid w:val="2DD726B4"/>
    <w:rsid w:val="2DEE4B8B"/>
    <w:rsid w:val="2EF03E21"/>
    <w:rsid w:val="2FCA6D0F"/>
    <w:rsid w:val="2FEA5603"/>
    <w:rsid w:val="31CB6D6E"/>
    <w:rsid w:val="38BE16DA"/>
    <w:rsid w:val="3BE42B72"/>
    <w:rsid w:val="3E585D06"/>
    <w:rsid w:val="3FDE3C36"/>
    <w:rsid w:val="42764AD5"/>
    <w:rsid w:val="439B1C0C"/>
    <w:rsid w:val="449A2CFC"/>
    <w:rsid w:val="44C46B7C"/>
    <w:rsid w:val="49232B94"/>
    <w:rsid w:val="4A370FED"/>
    <w:rsid w:val="4AA51EA6"/>
    <w:rsid w:val="4C9D623D"/>
    <w:rsid w:val="4CF84A64"/>
    <w:rsid w:val="4E9B7D9D"/>
    <w:rsid w:val="50673871"/>
    <w:rsid w:val="54353F9D"/>
    <w:rsid w:val="5A240A3D"/>
    <w:rsid w:val="5B502870"/>
    <w:rsid w:val="62B00F28"/>
    <w:rsid w:val="63BF2E3F"/>
    <w:rsid w:val="64306D81"/>
    <w:rsid w:val="64DE67DD"/>
    <w:rsid w:val="65FE1159"/>
    <w:rsid w:val="66107265"/>
    <w:rsid w:val="6A050B10"/>
    <w:rsid w:val="6B786A34"/>
    <w:rsid w:val="6E153FB5"/>
    <w:rsid w:val="712A185C"/>
    <w:rsid w:val="724F4F26"/>
    <w:rsid w:val="728F1163"/>
    <w:rsid w:val="72AA7CFF"/>
    <w:rsid w:val="776E3827"/>
    <w:rsid w:val="7ADC71F2"/>
    <w:rsid w:val="7C75137E"/>
    <w:rsid w:val="7D062558"/>
    <w:rsid w:val="7D13027E"/>
    <w:rsid w:val="7E6A31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link w:val="16"/>
    <w:qFormat/>
    <w:uiPriority w:val="0"/>
    <w:rPr>
      <w:rFonts w:ascii="宋体" w:hAnsi="Courier New"/>
      <w:szCs w:val="21"/>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qFormat/>
    <w:uiPriority w:val="0"/>
    <w:pPr>
      <w:spacing w:before="240" w:after="60"/>
      <w:jc w:val="center"/>
      <w:outlineLvl w:val="0"/>
    </w:pPr>
    <w:rPr>
      <w:rFonts w:ascii="Calibri Light" w:hAnsi="Calibri Light" w:cs="Times New Roman"/>
      <w:b/>
      <w:bCs/>
      <w:sz w:val="32"/>
      <w:szCs w:val="32"/>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2">
    <w:name w:val="页眉 Char"/>
    <w:basedOn w:val="10"/>
    <w:link w:val="6"/>
    <w:qFormat/>
    <w:uiPriority w:val="99"/>
    <w:rPr>
      <w:rFonts w:ascii="Times New Roman" w:hAnsi="Times New Roman" w:eastAsia="宋体" w:cs="Times New Roman"/>
      <w:sz w:val="18"/>
      <w:szCs w:val="18"/>
    </w:rPr>
  </w:style>
  <w:style w:type="character" w:customStyle="1" w:styleId="13">
    <w:name w:val="页脚 Char"/>
    <w:basedOn w:val="10"/>
    <w:link w:val="5"/>
    <w:qFormat/>
    <w:uiPriority w:val="99"/>
    <w:rPr>
      <w:rFonts w:ascii="Times New Roman" w:hAnsi="Times New Roman" w:eastAsia="宋体" w:cs="Times New Roman"/>
      <w:sz w:val="18"/>
      <w:szCs w:val="18"/>
    </w:rPr>
  </w:style>
  <w:style w:type="character" w:customStyle="1" w:styleId="14">
    <w:name w:val="批注框文本 Char"/>
    <w:basedOn w:val="10"/>
    <w:link w:val="4"/>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纯文本 Char"/>
    <w:link w:val="3"/>
    <w:qFormat/>
    <w:uiPriority w:val="0"/>
    <w:rPr>
      <w:rFonts w:ascii="宋体" w:hAnsi="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7414</Words>
  <Characters>7781</Characters>
  <Lines>1</Lines>
  <Paragraphs>1</Paragraphs>
  <TotalTime>1</TotalTime>
  <ScaleCrop>false</ScaleCrop>
  <LinksUpToDate>false</LinksUpToDate>
  <CharactersWithSpaces>7900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mlh52058</cp:lastModifiedBy>
  <dcterms:modified xsi:type="dcterms:W3CDTF">2022-12-27T06:14:17Z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2052-11.1.0.12980</vt:lpwstr>
  </property>
</Properties>
</file>