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6"/>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沧州亿宸金属轧制设备有限公司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1133-2021-EO-2022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河北省沧州市南皮县刘八里乡尹官屯村</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季玲玲</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河北省沧州市南皮县刘八里乡尹官屯村</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梁经理</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17631709973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1873304555</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E：金属轧制设备用精密铸钢件的加工所涉及场所的相关环境管理活动</w:t>
            </w:r>
          </w:p>
          <w:p>
            <w:pPr>
              <w:rPr>
                <w:rFonts w:ascii="宋体"/>
                <w:bCs/>
                <w:sz w:val="24"/>
              </w:rPr>
            </w:pPr>
            <w:r>
              <w:rPr>
                <w:rFonts w:ascii="宋体"/>
                <w:bCs/>
                <w:sz w:val="24"/>
              </w:rPr>
              <w:t>O：金属轧制设备用精密铸钢件的加工所涉及场所的相关职业健康安全管理活动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rFonts w:hint="eastAsia" w:eastAsia="宋体"/>
                <w:bCs/>
                <w:sz w:val="24"/>
                <w:lang w:val="en-US" w:eastAsia="zh-CN"/>
              </w:rPr>
            </w:pPr>
            <w:bookmarkStart w:id="12" w:name="删减条约"/>
            <w:bookmarkEnd w:id="12"/>
            <w:r>
              <w:rPr>
                <w:rFonts w:hint="eastAsia"/>
                <w:bCs/>
                <w:sz w:val="24"/>
                <w:lang w:val="en-US" w:eastAsia="zh-CN"/>
              </w:rPr>
              <w:t>无</w:t>
            </w:r>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Cs/>
                <w:sz w:val="24"/>
              </w:rPr>
            </w:pPr>
            <w:bookmarkStart w:id="13" w:name="专业代码"/>
            <w:r>
              <w:rPr>
                <w:bCs/>
                <w:sz w:val="24"/>
              </w:rPr>
              <w:t>E：17.05.02</w:t>
            </w:r>
          </w:p>
          <w:p>
            <w:pPr>
              <w:rPr>
                <w:bCs/>
                <w:sz w:val="24"/>
              </w:rPr>
            </w:pPr>
            <w:r>
              <w:rPr>
                <w:bCs/>
                <w:sz w:val="24"/>
              </w:rPr>
              <w:t>O：17.05.02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hint="eastAsia" w:ascii="宋体" w:eastAsia="宋体"/>
                <w:bCs/>
                <w:sz w:val="24"/>
                <w:lang w:val="en-US" w:eastAsia="zh-CN"/>
              </w:rPr>
            </w:pPr>
            <w:r>
              <w:rPr>
                <w:rFonts w:hint="eastAsia" w:ascii="宋体"/>
                <w:bCs/>
                <w:sz w:val="24"/>
                <w:lang w:val="en-US" w:eastAsia="zh-CN"/>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hint="eastAsia" w:ascii="宋体" w:eastAsia="宋体"/>
                <w:bCs/>
                <w:sz w:val="24"/>
                <w:lang w:val="en-US" w:eastAsia="zh-CN"/>
              </w:rPr>
            </w:pPr>
            <w:r>
              <w:rPr>
                <w:rFonts w:hint="eastAsia" w:ascii="宋体"/>
                <w:bCs/>
                <w:sz w:val="24"/>
                <w:lang w:val="en-US" w:eastAsia="zh-CN"/>
              </w:rPr>
              <w:t>无</w:t>
            </w: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hint="eastAsia" w:ascii="宋体" w:eastAsia="宋体"/>
                <w:bCs/>
                <w:sz w:val="24"/>
                <w:lang w:val="en-US" w:eastAsia="zh-CN"/>
              </w:rPr>
            </w:pPr>
            <w:r>
              <w:rPr>
                <w:rFonts w:hint="eastAsia" w:ascii="宋体"/>
                <w:bCs/>
                <w:sz w:val="24"/>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hint="eastAsia" w:ascii="宋体" w:eastAsia="宋体"/>
                <w:bCs/>
                <w:sz w:val="24"/>
                <w:lang w:val="en-US" w:eastAsia="zh-CN"/>
              </w:rPr>
            </w:pPr>
            <w:r>
              <w:rPr>
                <w:rFonts w:hint="eastAsia" w:ascii="宋体"/>
                <w:bCs/>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35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E:35,</w:t>
            </w:r>
          </w:p>
          <w:p>
            <w:pPr>
              <w:spacing w:before="156" w:line="240" w:lineRule="exact"/>
              <w:jc w:val="left"/>
              <w:rPr>
                <w:rFonts w:ascii="宋体"/>
                <w:bCs/>
                <w:szCs w:val="21"/>
              </w:rPr>
            </w:pPr>
            <w:r>
              <w:rPr>
                <w:rFonts w:ascii="宋体"/>
                <w:bCs/>
                <w:szCs w:val="21"/>
              </w:rPr>
              <w:t>O:35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第一阶段：现场审核    人/日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ascii="宋体" w:hAnsi="宋体" w:cs="宋体"/>
                <w:bCs/>
                <w:sz w:val="24"/>
              </w:rPr>
            </w:pPr>
            <w:r>
              <w:rPr>
                <w:rFonts w:hint="eastAsia" w:ascii="宋体" w:hAnsi="宋体" w:cs="宋体"/>
                <w:bCs/>
                <w:sz w:val="24"/>
              </w:rPr>
              <w:t>一阶段经现场审核发现存在问题：</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ascii="宋体" w:hAnsi="宋体" w:cs="宋体"/>
                <w:bCs/>
                <w:sz w:val="24"/>
              </w:rPr>
            </w:pPr>
            <w:r>
              <w:rPr>
                <w:rFonts w:hint="eastAsia" w:ascii="宋体" w:hAnsi="宋体" w:cs="宋体"/>
                <w:bCs/>
                <w:sz w:val="24"/>
              </w:rPr>
              <w:t>一阶段组长对二阶段审核建议：</w:t>
            </w:r>
          </w:p>
          <w:p>
            <w:pPr>
              <w:spacing w:before="47" w:beforeLines="15" w:after="47" w:afterLines="15"/>
              <w:rPr>
                <w:rFonts w:ascii="宋体" w:hAnsi="宋体" w:cs="宋体"/>
                <w:bCs/>
                <w:sz w:val="24"/>
              </w:rPr>
            </w:pPr>
          </w:p>
          <w:p>
            <w:pPr>
              <w:pStyle w:val="2"/>
              <w:ind w:firstLine="0" w:firstLineChars="0"/>
              <w:rPr>
                <w:rFonts w:ascii="宋体" w:hAnsi="宋体" w:cs="宋体"/>
                <w:bCs/>
                <w:sz w:val="24"/>
              </w:rPr>
            </w:pPr>
            <w:r>
              <w:rPr>
                <w:rFonts w:hint="eastAsia" w:ascii="宋体" w:hAnsi="宋体" w:cs="宋体"/>
                <w:bCs/>
                <w:sz w:val="24"/>
              </w:rPr>
              <w:t>审核组长/日期：</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color w:val="000000"/>
                <w:sz w:val="24"/>
              </w:rPr>
              <w:t xml:space="preserve">人/日数□增加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项    分布</w:t>
            </w:r>
            <w:r>
              <w:rPr>
                <w:bCs/>
                <w:sz w:val="24"/>
              </w:rPr>
              <w:t>部门</w:t>
            </w:r>
            <w:r>
              <w:rPr>
                <w:rFonts w:hint="eastAsia"/>
                <w:bCs/>
                <w:sz w:val="24"/>
              </w:rPr>
              <w:t xml:space="preserve">：           </w:t>
            </w:r>
          </w:p>
          <w:p>
            <w:pPr>
              <w:spacing w:line="400" w:lineRule="exact"/>
              <w:rPr>
                <w:bCs/>
                <w:sz w:val="24"/>
              </w:rPr>
            </w:pPr>
            <w:r>
              <w:rPr>
                <w:rFonts w:hint="eastAsia"/>
                <w:bCs/>
                <w:sz w:val="24"/>
              </w:rPr>
              <w:t>不符合标准及条款：</w:t>
            </w:r>
          </w:p>
          <w:p>
            <w:pPr>
              <w:spacing w:line="400" w:lineRule="exact"/>
              <w:rPr>
                <w:bCs/>
                <w:sz w:val="24"/>
              </w:rPr>
            </w:pPr>
            <w:r>
              <w:rPr>
                <w:bCs/>
                <w:sz w:val="24"/>
              </w:rPr>
              <w:t>不符合性质</w:t>
            </w:r>
            <w:r>
              <w:rPr>
                <w:rFonts w:hint="eastAsia"/>
                <w:bCs/>
                <w:sz w:val="24"/>
              </w:rPr>
              <w:t>：□一般不符合   □严重不符合</w:t>
            </w:r>
          </w:p>
          <w:p>
            <w:pPr>
              <w:pStyle w:val="2"/>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ascii="宋体" w:hAnsi="宋体"/>
                <w:sz w:val="24"/>
                <w:u w:val="single"/>
              </w:rPr>
            </w:pPr>
            <w:r>
              <w:rPr>
                <w:rFonts w:hint="eastAsia" w:ascii="宋体" w:hAnsi="宋体"/>
                <w:sz w:val="24"/>
              </w:rPr>
              <w:t>下次审核建议：</w:t>
            </w:r>
          </w:p>
          <w:p>
            <w:pPr>
              <w:pStyle w:val="2"/>
              <w:ind w:firstLine="0" w:firstLineChars="0"/>
              <w:rPr>
                <w:rFonts w:ascii="宋体" w:hAnsi="宋体" w:cs="宋体"/>
                <w:bCs/>
                <w:sz w:val="24"/>
              </w:rPr>
            </w:pPr>
            <w:r>
              <w:rPr>
                <w:rFonts w:hint="eastAsia" w:ascii="宋体" w:hAnsi="宋体" w:cs="宋体"/>
                <w:bCs/>
                <w:sz w:val="24"/>
              </w:rPr>
              <w:t>远程审核（适用时）：</w:t>
            </w:r>
          </w:p>
          <w:p>
            <w:pPr>
              <w:pStyle w:val="2"/>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2"/>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2"/>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rPr>
              <w:t>□推荐认证注册  □QMS □EMS □OHSMS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2"/>
              <w:ind w:firstLine="480"/>
              <w:rPr>
                <w:sz w:val="24"/>
              </w:rPr>
            </w:pPr>
          </w:p>
          <w:p>
            <w:pPr>
              <w:pStyle w:val="2"/>
              <w:ind w:firstLine="0" w:firstLineChars="0"/>
              <w:rPr>
                <w:bCs/>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 xml:space="preserve">□增加 □减少到    人；组织结构□变化 </w:t>
            </w:r>
            <w:r>
              <w:rPr>
                <w:rFonts w:hint="eastAsia" w:ascii="宋体" w:hAnsi="宋体"/>
                <w:color w:val="000000"/>
              </w:rPr>
              <w:sym w:font="Wingdings 2" w:char="0052"/>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 xml:space="preserve">主要负责人□变更 </w:t>
            </w:r>
            <w:r>
              <w:rPr>
                <w:rFonts w:hint="eastAsia" w:ascii="宋体" w:hAnsi="宋体"/>
                <w:color w:val="000000"/>
              </w:rPr>
              <w:sym w:font="Wingdings 2" w:char="0052"/>
            </w:r>
            <w:r>
              <w:rPr>
                <w:rFonts w:hint="eastAsia" w:ascii="宋体" w:hAnsi="宋体"/>
                <w:color w:val="000000"/>
              </w:rPr>
              <w:t xml:space="preserve">无；管理者代表 □变更 </w:t>
            </w:r>
            <w:r>
              <w:rPr>
                <w:rFonts w:hint="eastAsia" w:ascii="宋体" w:hAnsi="宋体"/>
                <w:color w:val="000000"/>
              </w:rPr>
              <w:sym w:font="Wingdings 2" w:char="0052"/>
            </w:r>
            <w:r>
              <w:rPr>
                <w:rFonts w:hint="eastAsia" w:ascii="宋体" w:hAnsi="宋体"/>
                <w:color w:val="000000"/>
              </w:rPr>
              <w:t xml:space="preserve">无；主要联系人□变更 </w:t>
            </w:r>
            <w:r>
              <w:rPr>
                <w:rFonts w:hint="eastAsia" w:ascii="宋体" w:hAnsi="宋体"/>
                <w:color w:val="000000"/>
              </w:rPr>
              <w:sym w:font="Wingdings 2" w:char="0052"/>
            </w:r>
            <w:r>
              <w:rPr>
                <w:rFonts w:hint="eastAsia" w:ascii="宋体" w:hAnsi="宋体"/>
                <w:color w:val="000000"/>
              </w:rPr>
              <w:t>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center"/>
          </w:tcPr>
          <w:p>
            <w:pPr>
              <w:ind w:right="420"/>
              <w:jc w:val="both"/>
              <w:rPr>
                <w:rFonts w:hint="eastAsia" w:ascii="宋体" w:eastAsia="宋体"/>
                <w:bCs/>
                <w:sz w:val="24"/>
                <w:lang w:val="en-US" w:eastAsia="zh-CN"/>
              </w:rPr>
            </w:pPr>
            <w:r>
              <w:rPr>
                <w:rFonts w:hint="eastAsia" w:ascii="宋体"/>
                <w:bCs/>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管理层(含员工代表）：EO: 4.1理解组织及其环境、4.2理解相关方的需求和期望、4.3 确定管理体系的范围、4.4环境管理体系及其过程、5.1领导作用和承诺、5.2环境/职业健康安全方针、5.3组织的岗位、职责和权限、6.1应对风险和机遇的措施、6.2环境/职业健康安全目标及其实现的策划、 9.3管理评审、10.1改进、10.3持续改进</w:t>
            </w:r>
          </w:p>
          <w:p>
            <w:pPr>
              <w:pStyle w:val="2"/>
              <w:ind w:firstLine="0" w:firstLineChars="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生技部</w:t>
            </w:r>
            <w:r>
              <w:rPr>
                <w:rFonts w:hint="eastAsia" w:ascii="宋体" w:hAnsi="宋体" w:eastAsia="宋体" w:cs="Times New Roman"/>
                <w:color w:val="000000"/>
                <w:kern w:val="2"/>
                <w:sz w:val="24"/>
                <w:szCs w:val="24"/>
                <w:lang w:val="en-US" w:eastAsia="zh-CN" w:bidi="ar-SA"/>
              </w:rPr>
              <w:tab/>
            </w:r>
            <w:r>
              <w:rPr>
                <w:rFonts w:hint="eastAsia" w:ascii="宋体" w:hAnsi="宋体" w:eastAsia="宋体" w:cs="Times New Roman"/>
                <w:color w:val="000000"/>
                <w:kern w:val="2"/>
                <w:sz w:val="24"/>
                <w:szCs w:val="24"/>
                <w:lang w:val="en-US" w:eastAsia="zh-CN" w:bidi="ar-SA"/>
              </w:rPr>
              <w:t>EO:5.3组织的岗位、职责和权限、6.2环境/职业健康安全目标及其实现的策划、6.1.2环境因素/危险源辨识与评价、8.1运行策划和控制、8.2应急准备和响应</w:t>
            </w:r>
          </w:p>
          <w:p>
            <w:pPr>
              <w:pStyle w:val="2"/>
              <w:ind w:firstLine="0" w:firstLineChars="0"/>
              <w:rPr>
                <w:rFonts w:hint="eastAsia"/>
                <w:sz w:val="24"/>
              </w:rPr>
            </w:pPr>
            <w:r>
              <w:rPr>
                <w:rFonts w:hint="eastAsia" w:ascii="宋体" w:hAnsi="宋体" w:eastAsia="宋体" w:cs="Times New Roman"/>
                <w:color w:val="000000"/>
                <w:kern w:val="2"/>
                <w:sz w:val="24"/>
                <w:szCs w:val="24"/>
                <w:lang w:val="en-US" w:eastAsia="zh-CN" w:bidi="ar-SA"/>
              </w:rPr>
              <w:t>办公室</w:t>
            </w:r>
            <w:r>
              <w:rPr>
                <w:rFonts w:hint="eastAsia" w:ascii="宋体" w:hAnsi="宋体" w:eastAsia="宋体" w:cs="Times New Roman"/>
                <w:color w:val="000000"/>
                <w:kern w:val="2"/>
                <w:sz w:val="24"/>
                <w:szCs w:val="24"/>
                <w:lang w:val="en-US" w:eastAsia="zh-CN" w:bidi="ar-SA"/>
              </w:rPr>
              <w:tab/>
            </w:r>
            <w:r>
              <w:rPr>
                <w:rFonts w:hint="eastAsia" w:ascii="宋体" w:hAnsi="宋体" w:eastAsia="宋体" w:cs="Times New Roman"/>
                <w:color w:val="000000"/>
                <w:kern w:val="2"/>
                <w:sz w:val="24"/>
                <w:szCs w:val="24"/>
                <w:lang w:val="en-US" w:eastAsia="zh-CN" w:bidi="ar-SA"/>
              </w:rPr>
              <w:t>EO: 5.3组织的岗位、职责和权限、6.2环境/职业健康安全目标及其实现的策划、6.1.2环境因素/危险源辨识与评价、6.1.3合规义务、8.1运行策划和控制、8.2应急准备和响应、9.1.1监视、测量、分析和评价 总则、9.1.2合规性评价、9.2 内部审核、10.2不符合和纠正措施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lang w:val="en-US" w:eastAsia="zh-CN"/>
              </w:rPr>
              <w:t>2</w:t>
            </w:r>
            <w:r>
              <w:rPr>
                <w:rFonts w:hint="eastAsia" w:ascii="宋体" w:hAnsi="宋体"/>
                <w:bCs/>
                <w:sz w:val="24"/>
              </w:rPr>
              <w:t>项    分布</w:t>
            </w:r>
            <w:r>
              <w:rPr>
                <w:rFonts w:ascii="宋体" w:hAnsi="宋体"/>
                <w:bCs/>
                <w:sz w:val="24"/>
              </w:rPr>
              <w:t>部门</w:t>
            </w:r>
            <w:r>
              <w:rPr>
                <w:rFonts w:hint="eastAsia" w:ascii="宋体" w:hAnsi="宋体"/>
                <w:bCs/>
                <w:sz w:val="24"/>
              </w:rPr>
              <w:t>：</w:t>
            </w:r>
            <w:r>
              <w:rPr>
                <w:rFonts w:hint="eastAsia" w:ascii="宋体" w:hAnsi="宋体"/>
                <w:bCs/>
                <w:sz w:val="24"/>
                <w:lang w:val="en-US" w:eastAsia="zh-CN"/>
              </w:rPr>
              <w:t>办公室/生技部</w:t>
            </w:r>
            <w:r>
              <w:rPr>
                <w:rFonts w:hint="eastAsia" w:ascii="宋体" w:hAnsi="宋体"/>
                <w:bCs/>
                <w:sz w:val="24"/>
              </w:rPr>
              <w:t xml:space="preserve">           </w:t>
            </w:r>
          </w:p>
          <w:p>
            <w:pPr>
              <w:spacing w:line="400" w:lineRule="exact"/>
              <w:rPr>
                <w:rFonts w:hint="default" w:ascii="宋体" w:hAnsi="宋体" w:eastAsia="宋体"/>
                <w:bCs/>
                <w:sz w:val="24"/>
                <w:lang w:val="en-US" w:eastAsia="zh-CN"/>
              </w:rPr>
            </w:pPr>
            <w:r>
              <w:rPr>
                <w:rFonts w:hint="eastAsia" w:ascii="宋体" w:hAnsi="宋体"/>
                <w:bCs/>
                <w:sz w:val="24"/>
              </w:rPr>
              <w:t>不符合标准及条款：GB/T45001-2020/ISO45001：2018标准</w:t>
            </w:r>
            <w:r>
              <w:rPr>
                <w:rFonts w:hint="eastAsia" w:ascii="宋体" w:hAnsi="宋体"/>
                <w:bCs/>
                <w:sz w:val="24"/>
                <w:lang w:val="en-US" w:eastAsia="zh-CN"/>
              </w:rPr>
              <w:t>9.1.1；GB/T24001-2016/ISO 14001:2015和GB/T45001-2020/ISO45001：2018标准 8.1</w:t>
            </w:r>
          </w:p>
          <w:p>
            <w:pPr>
              <w:rPr>
                <w:rFonts w:ascii="宋体" w:hAnsi="宋体"/>
                <w:bCs/>
                <w:sz w:val="24"/>
              </w:rPr>
            </w:pPr>
            <w:r>
              <w:rPr>
                <w:rFonts w:ascii="宋体" w:hAnsi="宋体"/>
                <w:bCs/>
                <w:sz w:val="24"/>
              </w:rPr>
              <w:t>不符合性质</w:t>
            </w:r>
            <w:r>
              <w:rPr>
                <w:rFonts w:hint="eastAsia" w:ascii="宋体" w:hAnsi="宋体"/>
                <w:bCs/>
                <w:sz w:val="24"/>
              </w:rPr>
              <w:t>：</w:t>
            </w:r>
            <w:r>
              <w:rPr>
                <w:rFonts w:hint="eastAsia" w:ascii="宋体" w:hAnsi="宋体"/>
                <w:bCs/>
                <w:sz w:val="24"/>
              </w:rPr>
              <w:sym w:font="Wingdings 2" w:char="0052"/>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w:t>
            </w:r>
            <w:r>
              <w:rPr>
                <w:rFonts w:hint="eastAsia" w:ascii="宋体" w:hAnsi="宋体"/>
                <w:bCs/>
                <w:sz w:val="24"/>
                <w:lang w:val="en-US" w:eastAsia="zh-CN"/>
              </w:rPr>
              <w:t>1</w:t>
            </w:r>
            <w:r>
              <w:rPr>
                <w:rFonts w:hint="eastAsia" w:ascii="宋体" w:hAnsi="宋体"/>
                <w:bCs/>
                <w:sz w:val="24"/>
              </w:rPr>
              <w:t>项。</w:t>
            </w:r>
          </w:p>
          <w:p>
            <w:pPr>
              <w:pStyle w:val="2"/>
              <w:spacing w:line="240" w:lineRule="auto"/>
              <w:ind w:firstLine="480"/>
              <w:rPr>
                <w:sz w:val="21"/>
                <w:szCs w:val="21"/>
              </w:rPr>
            </w:pPr>
            <w:bookmarkStart w:id="18" w:name="_GoBack"/>
            <w:bookmarkEnd w:id="18"/>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保持    □待改进    □撤消    □暂停     □恢复</w:t>
            </w:r>
          </w:p>
          <w:p>
            <w:pPr>
              <w:spacing w:line="400" w:lineRule="exact"/>
              <w:rPr>
                <w:rFonts w:hint="eastAsia" w:ascii="宋体" w:hAnsi="宋体" w:eastAsia="宋体"/>
                <w:sz w:val="24"/>
                <w:u w:val="single"/>
                <w:lang w:val="en-US" w:eastAsia="zh-CN"/>
              </w:rPr>
            </w:pPr>
            <w:r>
              <w:rPr>
                <w:rFonts w:hint="eastAsia" w:ascii="宋体" w:hAnsi="宋体"/>
                <w:sz w:val="24"/>
              </w:rPr>
              <w:t xml:space="preserve">□对下次审核的建议： </w:t>
            </w:r>
            <w:r>
              <w:rPr>
                <w:rFonts w:hint="eastAsia" w:ascii="宋体" w:hAnsi="宋体"/>
                <w:sz w:val="24"/>
                <w:lang w:val="en-US" w:eastAsia="zh-CN"/>
              </w:rPr>
              <w:t>无</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hint="eastAsia" w:ascii="宋体" w:hAnsi="宋体" w:eastAsia="宋体"/>
                <w:sz w:val="24"/>
                <w:u w:val="single"/>
                <w:lang w:val="en-US" w:eastAsia="zh-CN"/>
              </w:rPr>
            </w:pPr>
            <w:r>
              <w:rPr>
                <w:rFonts w:hint="eastAsia" w:ascii="宋体" w:hAnsi="宋体"/>
                <w:b/>
                <w:kern w:val="0"/>
                <w:sz w:val="20"/>
                <w:szCs w:val="20"/>
              </w:rPr>
              <w:pict>
                <v:shape id="_x0000_s1027" o:spid="_x0000_s1027" o:spt="75" alt="6b9eb1077b00879d12e15dedebb39bf" type="#_x0000_t75" style="position:absolute;left:0pt;margin-left:217.45pt;margin-top:-19.05pt;height:99.3pt;width:28.5pt;rotation:-5570560f;z-index:251660288;mso-width-relative:page;mso-height-relative:page;" filled="f" o:preferrelative="t" stroked="f" coordsize="21600,21600">
                  <v:path/>
                  <v:fill on="f" focussize="0,0"/>
                  <v:stroke on="f"/>
                  <v:imagedata r:id="rId6" cropleft="44094f" croptop="23844f" cropright="15577f" cropbottom="28339f" chromakey="#A4A5A7" o:title="6b9eb1077b00879d12e15dedebb39bf"/>
                  <o:lock v:ext="edit" aspectratio="t"/>
                </v:shape>
              </w:pict>
            </w:r>
            <w:r>
              <w:rPr>
                <w:rFonts w:hint="eastAsia" w:ascii="宋体" w:hAnsi="宋体"/>
                <w:b/>
                <w:kern w:val="0"/>
                <w:sz w:val="20"/>
                <w:szCs w:val="20"/>
              </w:rPr>
              <w:pict>
                <v:shape id="_x0000_s1026" o:spid="_x0000_s1026" o:spt="75" alt="6b9eb1077b00879d12e15dedebb39bf" type="#_x0000_t75" style="position:absolute;left:0pt;margin-left:117.15pt;margin-top:-11.65pt;height:88.65pt;width:31.1pt;rotation:-5898240f;z-index:251659264;mso-width-relative:page;mso-height-relative:page;" filled="f" o:preferrelative="t" stroked="f" coordsize="21600,21600">
                  <v:path/>
                  <v:fill on="f" focussize="0,0"/>
                  <v:stroke on="f"/>
                  <v:imagedata r:id="rId6" cropleft="43085f" croptop="5219f" cropright="16050f" cropbottom="46632f" chromakey="#A4A5A7" o:title="6b9eb1077b00879d12e15dedebb39bf"/>
                  <o:lock v:ext="edit" aspectratio="t"/>
                </v:shape>
              </w:pict>
            </w:r>
            <w:r>
              <w:rPr>
                <w:rFonts w:hint="eastAsia" w:ascii="宋体" w:hAnsi="宋体"/>
                <w:sz w:val="24"/>
              </w:rPr>
              <w:t>□改进建议:</w:t>
            </w:r>
            <w:r>
              <w:rPr>
                <w:rFonts w:hint="eastAsia" w:ascii="宋体" w:hAnsi="宋体"/>
                <w:sz w:val="24"/>
                <w:lang w:val="en-US" w:eastAsia="zh-CN"/>
              </w:rPr>
              <w:t>无</w:t>
            </w:r>
          </w:p>
          <w:p>
            <w:pPr>
              <w:pStyle w:val="2"/>
              <w:ind w:firstLine="0" w:firstLineChars="0"/>
              <w:rPr>
                <w:rFonts w:ascii="宋体" w:hAnsi="宋体"/>
                <w:sz w:val="24"/>
              </w:rPr>
            </w:pPr>
          </w:p>
          <w:p>
            <w:pPr>
              <w:pStyle w:val="2"/>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2"/>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2"/>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2"/>
              <w:ind w:firstLine="0" w:firstLineChars="0"/>
              <w:rPr>
                <w:rFonts w:ascii="宋体" w:hAnsi="宋体"/>
                <w:sz w:val="24"/>
              </w:rPr>
            </w:pPr>
          </w:p>
          <w:p>
            <w:pPr>
              <w:pStyle w:val="2"/>
              <w:ind w:firstLine="0" w:firstLineChars="0"/>
              <w:rPr>
                <w:rFonts w:ascii="宋体"/>
                <w:bCs/>
                <w:sz w:val="24"/>
              </w:rPr>
            </w:pPr>
            <w:r>
              <w:rPr>
                <w:rFonts w:hint="eastAsia" w:ascii="宋体" w:hAnsi="宋体" w:cs="宋体"/>
                <w:bCs/>
                <w:sz w:val="24"/>
              </w:rPr>
              <w:t>审核组长/日期：</w:t>
            </w:r>
          </w:p>
        </w:tc>
      </w:tr>
    </w:tbl>
    <w:p>
      <w:pPr>
        <w:pStyle w:val="2"/>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4"/>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4"/>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4"/>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ExNTRhZmMwYTZhMGE0NzY5YTQ4OGYyNzNkZGE0NDYifQ=="/>
  </w:docVars>
  <w:rsids>
    <w:rsidRoot w:val="00000000"/>
    <w:rsid w:val="55501A11"/>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1">
    <w:name w:val="页脚 Char"/>
    <w:basedOn w:val="8"/>
    <w:link w:val="4"/>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1</TotalTime>
  <ScaleCrop>false</ScaleCrop>
  <LinksUpToDate>false</LinksUpToDate>
  <CharactersWithSpaces>2341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春华秋实</cp:lastModifiedBy>
  <cp:lastPrinted>2015-12-21T05:08:00Z</cp:lastPrinted>
  <dcterms:modified xsi:type="dcterms:W3CDTF">2022-12-26T07:59:23Z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2052-11.1.0.12980</vt:lpwstr>
  </property>
</Properties>
</file>