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1133-2021-EO-2022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沧州亿宸金属轧制设备有限公司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pPr>
    </w:p>
    <w:p>
      <w:pPr>
        <w:pStyle w:val="12"/>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沧州亿宸金属轧制设备有限公司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河北省沧州市南皮县刘八里乡尹官屯村</w:t>
            </w:r>
            <w:bookmarkEnd w:id="6"/>
          </w:p>
        </w:tc>
        <w:tc>
          <w:tcPr>
            <w:tcW w:w="1242" w:type="dxa"/>
            <w:vMerge w:val="restart"/>
            <w:vAlign w:val="center"/>
          </w:tcPr>
          <w:p>
            <w:r>
              <w:rPr>
                <w:rFonts w:hint="eastAsia"/>
              </w:rPr>
              <w:t>邮编</w:t>
            </w:r>
          </w:p>
        </w:tc>
        <w:tc>
          <w:tcPr>
            <w:tcW w:w="1771" w:type="dxa"/>
          </w:tcPr>
          <w:p>
            <w:bookmarkStart w:id="7" w:name="注册邮编"/>
            <w:r>
              <w:t>061500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河北省沧州市南皮县刘八里乡尹官屯村</w:t>
            </w:r>
            <w:bookmarkEnd w:id="8"/>
          </w:p>
        </w:tc>
        <w:tc>
          <w:tcPr>
            <w:tcW w:w="1242" w:type="dxa"/>
            <w:vMerge w:val="continue"/>
            <w:vAlign w:val="center"/>
          </w:tcPr>
          <w:p/>
        </w:tc>
        <w:tc>
          <w:tcPr>
            <w:tcW w:w="1771" w:type="dxa"/>
          </w:tcPr>
          <w:p>
            <w:bookmarkStart w:id="9" w:name="办公邮编"/>
            <w:r>
              <w:t>061500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梁经理</w:t>
            </w:r>
            <w:bookmarkEnd w:id="10"/>
          </w:p>
        </w:tc>
        <w:tc>
          <w:tcPr>
            <w:tcW w:w="1313" w:type="dxa"/>
            <w:vAlign w:val="center"/>
          </w:tcPr>
          <w:p>
            <w:r>
              <w:rPr>
                <w:rFonts w:hint="eastAsia"/>
              </w:rPr>
              <w:t>电话.</w:t>
            </w:r>
          </w:p>
        </w:tc>
        <w:tc>
          <w:tcPr>
            <w:tcW w:w="2180" w:type="dxa"/>
            <w:vAlign w:val="center"/>
          </w:tcPr>
          <w:p>
            <w:bookmarkStart w:id="11" w:name="联系人电话"/>
            <w:r>
              <w:t>17631709973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季玲玲</w:t>
            </w:r>
            <w:bookmarkEnd w:id="13"/>
          </w:p>
        </w:tc>
        <w:tc>
          <w:tcPr>
            <w:tcW w:w="1313" w:type="dxa"/>
            <w:vAlign w:val="center"/>
          </w:tcPr>
          <w:p>
            <w:r>
              <w:rPr>
                <w:rFonts w:hint="eastAsia"/>
              </w:rPr>
              <w:t>管理者代表</w:t>
            </w:r>
          </w:p>
        </w:tc>
        <w:tc>
          <w:tcPr>
            <w:tcW w:w="2180" w:type="dxa"/>
          </w:tcPr>
          <w:p>
            <w:bookmarkStart w:id="14" w:name="管理者代表"/>
            <w:r>
              <w:t>张智慧</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生铁----电炉熔化----离心浇注------调质炉调质------机加工------部分工件焊接----检验----成品</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2022年12月26日 上午至2022年12月26日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河北省沧州市南皮县刘八里乡尹官屯村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E：金属轧制设备用精密铸钢件的加工所涉及场所的相关环境管理活动</w:t>
            </w:r>
          </w:p>
          <w:p>
            <w:r>
              <w:t>O：金属轧制设备用精密铸钢件的加工所涉及场所的相关职业健康安全管理活动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E：17.05.02</w:t>
            </w:r>
          </w:p>
          <w:p>
            <w:r>
              <w:t>O：17.05.02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r>
              <w:rPr>
                <w:rFonts w:hint="eastAsia" w:hAnsi="宋体"/>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2021年6月1日</w:t>
            </w:r>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6~10</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12</w:t>
            </w:r>
            <w:r>
              <w:rPr>
                <w:rFonts w:hint="eastAsia"/>
              </w:rPr>
              <w:t>月</w:t>
            </w:r>
            <w:r>
              <w:rPr>
                <w:rFonts w:hint="eastAsia"/>
                <w:lang w:val="en-US" w:eastAsia="zh-CN"/>
              </w:rPr>
              <w:t>19</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36"/>
        <w:gridCol w:w="2180"/>
        <w:gridCol w:w="630"/>
        <w:gridCol w:w="2420"/>
        <w:gridCol w:w="141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jc w:val="center"/>
            </w:pPr>
            <w:r>
              <w:rPr>
                <w:rFonts w:hint="eastAsia"/>
              </w:rPr>
              <w:t>场所编号</w:t>
            </w:r>
          </w:p>
          <w:p>
            <w:pPr>
              <w:jc w:val="center"/>
            </w:pPr>
            <w:r>
              <w:rPr>
                <w:rFonts w:hint="eastAsia"/>
              </w:rPr>
              <w:t>(分证书序号）</w:t>
            </w:r>
          </w:p>
        </w:tc>
        <w:tc>
          <w:tcPr>
            <w:tcW w:w="1936" w:type="dxa"/>
            <w:shd w:val="clear" w:color="auto" w:fill="F3F3F3"/>
            <w:tcMar>
              <w:left w:w="57" w:type="dxa"/>
              <w:right w:w="57" w:type="dxa"/>
            </w:tcMar>
          </w:tcPr>
          <w:p>
            <w:pPr>
              <w:jc w:val="center"/>
            </w:pPr>
            <w:r>
              <w:rPr>
                <w:rFonts w:hint="eastAsia"/>
              </w:rPr>
              <w:t>组织名称及注册场所地址</w:t>
            </w:r>
          </w:p>
        </w:tc>
        <w:tc>
          <w:tcPr>
            <w:tcW w:w="2180" w:type="dxa"/>
            <w:shd w:val="clear" w:color="auto" w:fill="F3F3F3"/>
            <w:tcMar>
              <w:left w:w="57" w:type="dxa"/>
              <w:right w:w="57" w:type="dxa"/>
            </w:tcMar>
          </w:tcPr>
          <w:p>
            <w:pPr>
              <w:jc w:val="center"/>
            </w:pPr>
            <w:r>
              <w:rPr>
                <w:rFonts w:hint="eastAsia"/>
              </w:rPr>
              <w:t>经营场所的地址</w:t>
            </w:r>
          </w:p>
          <w:p>
            <w:pPr>
              <w:jc w:val="center"/>
            </w:pPr>
            <w:r>
              <w:rPr>
                <w:rFonts w:hint="eastAsia"/>
              </w:rPr>
              <w:t>（多现场和临时现场）</w:t>
            </w:r>
          </w:p>
        </w:tc>
        <w:tc>
          <w:tcPr>
            <w:tcW w:w="630" w:type="dxa"/>
            <w:shd w:val="clear" w:color="auto" w:fill="F3F3F3"/>
            <w:tcMar>
              <w:left w:w="57" w:type="dxa"/>
              <w:right w:w="57" w:type="dxa"/>
            </w:tcMar>
          </w:tcPr>
          <w:p>
            <w:pPr>
              <w:jc w:val="center"/>
            </w:pPr>
            <w:r>
              <w:rPr>
                <w:rFonts w:hint="eastAsia"/>
              </w:rPr>
              <w:t>员工人数</w:t>
            </w:r>
          </w:p>
        </w:tc>
        <w:tc>
          <w:tcPr>
            <w:tcW w:w="2420" w:type="dxa"/>
            <w:shd w:val="clear" w:color="auto" w:fill="F3F3F3"/>
            <w:tcMar>
              <w:left w:w="57" w:type="dxa"/>
              <w:right w:w="57" w:type="dxa"/>
            </w:tcMar>
          </w:tcPr>
          <w:p>
            <w:pPr>
              <w:jc w:val="center"/>
            </w:pPr>
            <w:r>
              <w:rPr>
                <w:rFonts w:hint="eastAsia"/>
              </w:rPr>
              <w:t>审核范围（产品和过程）</w:t>
            </w:r>
          </w:p>
          <w:p>
            <w:pPr>
              <w:jc w:val="center"/>
            </w:pPr>
          </w:p>
          <w:p>
            <w:pPr>
              <w:jc w:val="center"/>
            </w:pPr>
          </w:p>
        </w:tc>
        <w:tc>
          <w:tcPr>
            <w:tcW w:w="1411" w:type="dxa"/>
            <w:shd w:val="clear" w:color="auto" w:fill="F3F3F3"/>
            <w:tcMar>
              <w:left w:w="57" w:type="dxa"/>
              <w:right w:w="57" w:type="dxa"/>
            </w:tcMar>
          </w:tcPr>
          <w:p>
            <w:pPr>
              <w:jc w:val="center"/>
            </w:pPr>
            <w:r>
              <w:rPr>
                <w:rFonts w:hint="eastAsia"/>
              </w:rPr>
              <w:t>标准</w:t>
            </w:r>
          </w:p>
        </w:tc>
        <w:tc>
          <w:tcPr>
            <w:tcW w:w="668" w:type="dxa"/>
            <w:tcBorders>
              <w:bottom w:val="single" w:color="auto" w:sz="4" w:space="0"/>
            </w:tcBorders>
            <w:shd w:val="clear" w:color="auto" w:fill="F3F3F3"/>
            <w:tcMar>
              <w:left w:w="57" w:type="dxa"/>
              <w:right w:w="57" w:type="dxa"/>
            </w:tcMar>
          </w:tcPr>
          <w:p>
            <w:pPr>
              <w:jc w:val="center"/>
            </w:pPr>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936" w:type="dxa"/>
            <w:vAlign w:val="top"/>
          </w:tcPr>
          <w:p>
            <w:pPr>
              <w:spacing w:before="40" w:after="40"/>
              <w:rPr>
                <w:rFonts w:ascii="Times New Roman" w:hAnsi="Times New Roman" w:eastAsia="黑体" w:cs="Times New Roman"/>
                <w:b w:val="0"/>
                <w:bCs/>
                <w:kern w:val="2"/>
                <w:sz w:val="21"/>
                <w:szCs w:val="21"/>
                <w:lang w:val="de-DE" w:eastAsia="ja-JP" w:bidi="ar-SA"/>
              </w:rPr>
            </w:pPr>
            <w:r>
              <w:rPr>
                <w:rFonts w:ascii="宋体"/>
                <w:b w:val="0"/>
                <w:bCs/>
                <w:color w:val="000000"/>
                <w:szCs w:val="21"/>
              </w:rPr>
              <w:t>沧州亿宸金属轧制设备有限公司</w:t>
            </w:r>
            <w:r>
              <w:rPr>
                <w:rFonts w:hint="eastAsia" w:ascii="宋体"/>
                <w:b w:val="0"/>
                <w:bCs/>
                <w:color w:val="000000"/>
                <w:szCs w:val="21"/>
                <w:lang w:val="en-US" w:eastAsia="zh-CN"/>
              </w:rPr>
              <w:t>/</w:t>
            </w:r>
            <w:r>
              <w:rPr>
                <w:rFonts w:ascii="宋体"/>
                <w:b w:val="0"/>
                <w:bCs/>
                <w:color w:val="000000"/>
                <w:szCs w:val="21"/>
              </w:rPr>
              <w:t>河北省沧州市南皮县刘八里乡尹官屯村</w:t>
            </w:r>
          </w:p>
        </w:tc>
        <w:tc>
          <w:tcPr>
            <w:tcW w:w="2180" w:type="dxa"/>
            <w:vAlign w:val="top"/>
          </w:tcPr>
          <w:p>
            <w:pPr>
              <w:spacing w:before="40" w:after="40"/>
              <w:rPr>
                <w:rFonts w:ascii="Times New Roman" w:hAnsi="Times New Roman" w:eastAsia="黑体" w:cs="Times New Roman"/>
                <w:b w:val="0"/>
                <w:bCs/>
                <w:kern w:val="2"/>
                <w:sz w:val="21"/>
                <w:szCs w:val="21"/>
                <w:lang w:val="de-DE" w:eastAsia="ja-JP" w:bidi="ar-SA"/>
              </w:rPr>
            </w:pPr>
            <w:r>
              <w:rPr>
                <w:rFonts w:ascii="宋体"/>
                <w:b w:val="0"/>
                <w:bCs/>
                <w:color w:val="000000"/>
                <w:szCs w:val="21"/>
              </w:rPr>
              <w:t>河北省沧州市南皮县刘八里乡尹官屯村</w:t>
            </w:r>
          </w:p>
        </w:tc>
        <w:tc>
          <w:tcPr>
            <w:tcW w:w="630" w:type="dxa"/>
            <w:vAlign w:val="top"/>
          </w:tcPr>
          <w:p>
            <w:pPr>
              <w:spacing w:before="40" w:after="40"/>
              <w:jc w:val="center"/>
              <w:rPr>
                <w:rFonts w:hint="default" w:ascii="Times New Roman" w:hAnsi="Times New Roman" w:eastAsia="黑体" w:cs="Times New Roman"/>
                <w:b w:val="0"/>
                <w:bCs/>
                <w:kern w:val="2"/>
                <w:sz w:val="21"/>
                <w:szCs w:val="21"/>
                <w:lang w:val="en-US" w:eastAsia="ja-JP" w:bidi="ar-SA"/>
              </w:rPr>
            </w:pPr>
            <w:r>
              <w:rPr>
                <w:rFonts w:hint="eastAsia" w:ascii="Times New Roman" w:hAnsi="Times New Roman" w:eastAsia="黑体" w:cs="Times New Roman"/>
                <w:b w:val="0"/>
                <w:bCs/>
                <w:kern w:val="2"/>
                <w:sz w:val="21"/>
                <w:szCs w:val="21"/>
                <w:lang w:val="en-US" w:eastAsia="zh-CN" w:bidi="ar-SA"/>
              </w:rPr>
              <w:t>35</w:t>
            </w:r>
          </w:p>
        </w:tc>
        <w:tc>
          <w:tcPr>
            <w:tcW w:w="2420" w:type="dxa"/>
            <w:vAlign w:val="center"/>
          </w:tcPr>
          <w:p>
            <w:r>
              <w:t>E：金属轧制设备用精密铸钢件的加工所涉及场所的相关环境管理活动</w:t>
            </w:r>
          </w:p>
          <w:p>
            <w:pPr>
              <w:pStyle w:val="21"/>
              <w:rPr>
                <w:rFonts w:ascii="Times New Roman" w:hAnsi="Times New Roman" w:eastAsia="黑体" w:cs="Arial"/>
                <w:b w:val="0"/>
                <w:bCs/>
                <w:kern w:val="2"/>
                <w:sz w:val="21"/>
                <w:szCs w:val="21"/>
                <w:lang w:val="en-US" w:eastAsia="ja-JP" w:bidi="ar-SA"/>
              </w:rPr>
            </w:pPr>
            <w:r>
              <w:t>O：金属轧制设备用精密铸钢件的加工所涉及场所的相关职业健康安全管理活动</w:t>
            </w:r>
          </w:p>
        </w:tc>
        <w:tc>
          <w:tcPr>
            <w:tcW w:w="1411" w:type="dxa"/>
            <w:vAlign w:val="center"/>
          </w:tcPr>
          <w:p>
            <w:pPr>
              <w:rPr>
                <w:rFonts w:ascii="宋体" w:hAnsi="宋体"/>
                <w:b w:val="0"/>
                <w:bCs/>
                <w:sz w:val="21"/>
                <w:szCs w:val="21"/>
              </w:rPr>
            </w:pPr>
            <w:r>
              <w:rPr>
                <w:rFonts w:hint="eastAsia" w:ascii="宋体" w:hAnsi="宋体"/>
                <w:b w:val="0"/>
                <w:bCs/>
                <w:sz w:val="21"/>
                <w:szCs w:val="21"/>
              </w:rPr>
              <w:t>GB/T24001-2016/ISO 14001:2015</w:t>
            </w:r>
          </w:p>
          <w:p>
            <w:pPr>
              <w:spacing w:before="40" w:after="40"/>
              <w:rPr>
                <w:rFonts w:ascii="Times New Roman" w:hAnsi="Times New Roman" w:eastAsia="黑体" w:cs="Times New Roman"/>
                <w:b w:val="0"/>
                <w:bCs/>
                <w:kern w:val="2"/>
                <w:sz w:val="21"/>
                <w:szCs w:val="21"/>
                <w:lang w:val="en-US" w:eastAsia="ja-JP" w:bidi="ar-SA"/>
              </w:rPr>
            </w:pPr>
            <w:r>
              <w:rPr>
                <w:rFonts w:hint="eastAsia" w:ascii="宋体" w:hAnsi="宋体"/>
                <w:b w:val="0"/>
                <w:bCs/>
                <w:sz w:val="21"/>
                <w:szCs w:val="21"/>
              </w:rPr>
              <w:t>GB/T45001-2020/ISO45001：2020标准</w:t>
            </w:r>
          </w:p>
        </w:tc>
        <w:tc>
          <w:tcPr>
            <w:tcW w:w="668" w:type="dxa"/>
            <w:shd w:val="clear" w:color="auto" w:fill="FFFFFF"/>
            <w:vAlign w:val="top"/>
          </w:tcPr>
          <w:sdt>
            <w:sdtPr>
              <w:rPr>
                <w:rFonts w:eastAsia="黑体"/>
                <w:b w:val="0"/>
                <w:bCs/>
                <w:szCs w:val="21"/>
              </w:rPr>
              <w:id w:val="271604670"/>
            </w:sdtPr>
            <w:sdtEndPr>
              <w:rPr>
                <w:rFonts w:eastAsia="黑体"/>
                <w:b w:val="0"/>
                <w:bCs/>
                <w:szCs w:val="21"/>
              </w:rPr>
            </w:sdtEndPr>
            <w:sdtContent>
              <w:p>
                <w:pPr>
                  <w:rPr>
                    <w:rFonts w:eastAsia="黑体"/>
                    <w:b w:val="0"/>
                    <w:bCs/>
                    <w:szCs w:val="21"/>
                  </w:rPr>
                </w:pPr>
                <w:r>
                  <w:rPr>
                    <w:rFonts w:hint="eastAsia" w:ascii="宋体" w:hAnsi="宋体" w:eastAsia="宋体" w:cs="宋体"/>
                    <w:b w:val="0"/>
                    <w:bCs/>
                    <w:szCs w:val="21"/>
                  </w:rPr>
                  <w:t>■</w:t>
                </w:r>
              </w:p>
            </w:sdtContent>
          </w:sdt>
          <w:p>
            <w:pPr>
              <w:rPr>
                <w:rFonts w:ascii="Times New Roman" w:hAnsi="Times New Roman" w:eastAsia="黑体" w:cs="Times New Roman"/>
                <w:b w:val="0"/>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936" w:type="dxa"/>
            <w:vAlign w:val="center"/>
          </w:tcPr>
          <w:p>
            <w:pPr>
              <w:rPr>
                <w:lang w:eastAsia="ja-JP"/>
              </w:rPr>
            </w:pPr>
          </w:p>
        </w:tc>
        <w:tc>
          <w:tcPr>
            <w:tcW w:w="2180" w:type="dxa"/>
            <w:vAlign w:val="center"/>
          </w:tcPr>
          <w:p>
            <w:pPr>
              <w:rPr>
                <w:lang w:eastAsia="ja-JP"/>
              </w:rPr>
            </w:pPr>
          </w:p>
        </w:tc>
        <w:tc>
          <w:tcPr>
            <w:tcW w:w="630" w:type="dxa"/>
            <w:vAlign w:val="center"/>
          </w:tcPr>
          <w:p>
            <w:pPr>
              <w:rPr>
                <w:lang w:eastAsia="ja-JP"/>
              </w:rPr>
            </w:pPr>
          </w:p>
        </w:tc>
        <w:tc>
          <w:tcPr>
            <w:tcW w:w="2420" w:type="dxa"/>
            <w:vAlign w:val="center"/>
          </w:tcPr>
          <w:p>
            <w:pPr>
              <w:rPr>
                <w:lang w:eastAsia="ja-JP"/>
              </w:rPr>
            </w:pPr>
          </w:p>
        </w:tc>
        <w:tc>
          <w:tcPr>
            <w:tcW w:w="141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936" w:type="dxa"/>
            <w:vAlign w:val="center"/>
          </w:tcPr>
          <w:p>
            <w:pPr>
              <w:rPr>
                <w:lang w:eastAsia="ja-JP"/>
              </w:rPr>
            </w:pPr>
          </w:p>
        </w:tc>
        <w:tc>
          <w:tcPr>
            <w:tcW w:w="2180" w:type="dxa"/>
            <w:vAlign w:val="center"/>
          </w:tcPr>
          <w:p>
            <w:pPr>
              <w:rPr>
                <w:lang w:eastAsia="ja-JP"/>
              </w:rPr>
            </w:pPr>
          </w:p>
        </w:tc>
        <w:tc>
          <w:tcPr>
            <w:tcW w:w="630" w:type="dxa"/>
            <w:vAlign w:val="center"/>
          </w:tcPr>
          <w:p>
            <w:pPr>
              <w:rPr>
                <w:lang w:eastAsia="ja-JP"/>
              </w:rPr>
            </w:pPr>
          </w:p>
        </w:tc>
        <w:tc>
          <w:tcPr>
            <w:tcW w:w="2420" w:type="dxa"/>
            <w:vAlign w:val="center"/>
          </w:tcPr>
          <w:p>
            <w:pPr>
              <w:rPr>
                <w:lang w:eastAsia="ja-JP"/>
              </w:rPr>
            </w:pPr>
          </w:p>
        </w:tc>
        <w:tc>
          <w:tcPr>
            <w:tcW w:w="141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936" w:type="dxa"/>
            <w:vAlign w:val="center"/>
          </w:tcPr>
          <w:p>
            <w:pPr>
              <w:rPr>
                <w:lang w:eastAsia="ja-JP"/>
              </w:rPr>
            </w:pPr>
          </w:p>
        </w:tc>
        <w:tc>
          <w:tcPr>
            <w:tcW w:w="2180" w:type="dxa"/>
            <w:vAlign w:val="center"/>
          </w:tcPr>
          <w:p>
            <w:pPr>
              <w:rPr>
                <w:lang w:eastAsia="ja-JP"/>
              </w:rPr>
            </w:pPr>
          </w:p>
        </w:tc>
        <w:tc>
          <w:tcPr>
            <w:tcW w:w="630" w:type="dxa"/>
            <w:vAlign w:val="center"/>
          </w:tcPr>
          <w:p>
            <w:pPr>
              <w:rPr>
                <w:lang w:eastAsia="ja-JP"/>
              </w:rPr>
            </w:pPr>
          </w:p>
        </w:tc>
        <w:tc>
          <w:tcPr>
            <w:tcW w:w="2420" w:type="dxa"/>
            <w:vAlign w:val="center"/>
          </w:tcPr>
          <w:p>
            <w:pPr>
              <w:rPr>
                <w:lang w:eastAsia="ja-JP"/>
              </w:rPr>
            </w:pPr>
          </w:p>
        </w:tc>
        <w:tc>
          <w:tcPr>
            <w:tcW w:w="141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936" w:type="dxa"/>
            <w:vAlign w:val="center"/>
          </w:tcPr>
          <w:p>
            <w:pPr>
              <w:rPr>
                <w:lang w:eastAsia="ja-JP"/>
              </w:rPr>
            </w:pPr>
          </w:p>
        </w:tc>
        <w:tc>
          <w:tcPr>
            <w:tcW w:w="2180" w:type="dxa"/>
            <w:vAlign w:val="center"/>
          </w:tcPr>
          <w:p>
            <w:pPr>
              <w:rPr>
                <w:lang w:eastAsia="ja-JP"/>
              </w:rPr>
            </w:pPr>
          </w:p>
        </w:tc>
        <w:tc>
          <w:tcPr>
            <w:tcW w:w="630" w:type="dxa"/>
            <w:vAlign w:val="center"/>
          </w:tcPr>
          <w:p>
            <w:pPr>
              <w:rPr>
                <w:lang w:eastAsia="ja-JP"/>
              </w:rPr>
            </w:pPr>
          </w:p>
        </w:tc>
        <w:tc>
          <w:tcPr>
            <w:tcW w:w="2420" w:type="dxa"/>
            <w:vAlign w:val="center"/>
          </w:tcPr>
          <w:p>
            <w:pPr>
              <w:rPr>
                <w:lang w:eastAsia="ja-JP"/>
              </w:rPr>
            </w:pPr>
          </w:p>
        </w:tc>
        <w:tc>
          <w:tcPr>
            <w:tcW w:w="141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温红玲</w:t>
            </w:r>
          </w:p>
        </w:tc>
        <w:tc>
          <w:tcPr>
            <w:tcW w:w="1089" w:type="dxa"/>
            <w:vAlign w:val="center"/>
          </w:tcPr>
          <w:p>
            <w:r>
              <w:t>组长</w:t>
            </w:r>
          </w:p>
        </w:tc>
        <w:tc>
          <w:tcPr>
            <w:tcW w:w="711" w:type="dxa"/>
            <w:vAlign w:val="center"/>
          </w:tcPr>
          <w:p>
            <w:r>
              <w:t>女</w:t>
            </w:r>
          </w:p>
        </w:tc>
        <w:tc>
          <w:tcPr>
            <w:tcW w:w="3870" w:type="dxa"/>
            <w:vAlign w:val="center"/>
          </w:tcPr>
          <w:p>
            <w:r>
              <w:t>2021-N1EMS-1210533</w:t>
            </w:r>
          </w:p>
          <w:p>
            <w:r>
              <w:t>2021-N1OHSMS-1210533</w:t>
            </w:r>
          </w:p>
        </w:tc>
        <w:tc>
          <w:tcPr>
            <w:tcW w:w="2179" w:type="dxa"/>
            <w:vAlign w:val="center"/>
          </w:tcPr>
          <w:p>
            <w:r>
              <w:t>E:17.05.02</w:t>
            </w:r>
          </w:p>
          <w:p>
            <w:r>
              <w:t>O:17.05.02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喻荣秋</w:t>
            </w:r>
          </w:p>
        </w:tc>
        <w:tc>
          <w:tcPr>
            <w:tcW w:w="1089" w:type="dxa"/>
            <w:vAlign w:val="center"/>
          </w:tcPr>
          <w:p>
            <w:r>
              <w:t>组员</w:t>
            </w:r>
          </w:p>
        </w:tc>
        <w:tc>
          <w:tcPr>
            <w:tcW w:w="711" w:type="dxa"/>
            <w:vAlign w:val="center"/>
          </w:tcPr>
          <w:p>
            <w:r>
              <w:t>女</w:t>
            </w:r>
          </w:p>
        </w:tc>
        <w:tc>
          <w:tcPr>
            <w:tcW w:w="3870" w:type="dxa"/>
            <w:vAlign w:val="center"/>
          </w:tcPr>
          <w:p>
            <w:r>
              <w:t>2021-N1EMS-1274747</w:t>
            </w:r>
          </w:p>
          <w:p>
            <w:r>
              <w:t>2022-N0OHSMS-1274747</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经验证，上次审核不符合项已整改，措施有效。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default"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幼圆" w:eastAsia="幼圆"/>
                <w:sz w:val="24"/>
                <w:szCs w:val="24"/>
                <w:lang w:eastAsia="zh-CN"/>
              </w:rPr>
              <w:drawing>
                <wp:anchor distT="0" distB="0" distL="114300" distR="114300" simplePos="0" relativeHeight="251662336" behindDoc="0" locked="0" layoutInCell="1" allowOverlap="1">
                  <wp:simplePos x="0" y="0"/>
                  <wp:positionH relativeFrom="column">
                    <wp:posOffset>231775</wp:posOffset>
                  </wp:positionH>
                  <wp:positionV relativeFrom="paragraph">
                    <wp:posOffset>47625</wp:posOffset>
                  </wp:positionV>
                  <wp:extent cx="1165860" cy="268605"/>
                  <wp:effectExtent l="0" t="0" r="2540" b="10795"/>
                  <wp:wrapNone/>
                  <wp:docPr id="7" name="图片 3" descr="3944e666c2b5159f4a4ed775f4fe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3944e666c2b5159f4a4ed775f4fe658"/>
                          <pic:cNvPicPr>
                            <a:picLocks noChangeAspect="1"/>
                          </pic:cNvPicPr>
                        </pic:nvPicPr>
                        <pic:blipFill>
                          <a:blip r:embed="rId6">
                            <a:clrChange>
                              <a:clrFrom>
                                <a:srgbClr val="FFFFFF">
                                  <a:alpha val="100000"/>
                                </a:srgbClr>
                              </a:clrFrom>
                              <a:clrTo>
                                <a:srgbClr val="FFFFFF">
                                  <a:alpha val="100000"/>
                                  <a:alpha val="0"/>
                                </a:srgbClr>
                              </a:clrTo>
                            </a:clrChange>
                            <a:lum bright="-42000" contrast="11998"/>
                          </a:blip>
                          <a:srcRect b="19031"/>
                          <a:stretch>
                            <a:fillRect/>
                          </a:stretch>
                        </pic:blipFill>
                        <pic:spPr>
                          <a:xfrm>
                            <a:off x="0" y="0"/>
                            <a:ext cx="1165860" cy="26860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b/>
                <w:kern w:val="0"/>
                <w:sz w:val="20"/>
                <w:szCs w:val="20"/>
              </w:rPr>
              <w:drawing>
                <wp:anchor distT="0" distB="0" distL="114300" distR="114300" simplePos="0" relativeHeight="251663360" behindDoc="0" locked="0" layoutInCell="1" allowOverlap="1">
                  <wp:simplePos x="0" y="0"/>
                  <wp:positionH relativeFrom="column">
                    <wp:posOffset>530225</wp:posOffset>
                  </wp:positionH>
                  <wp:positionV relativeFrom="paragraph">
                    <wp:posOffset>-413385</wp:posOffset>
                  </wp:positionV>
                  <wp:extent cx="305435" cy="1064260"/>
                  <wp:effectExtent l="11430" t="7620" r="3810" b="55245"/>
                  <wp:wrapNone/>
                  <wp:docPr id="8" name="图片 6" descr="6b9eb1077b00879d12e15dedebb39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6b9eb1077b00879d12e15dedebb39bf"/>
                          <pic:cNvPicPr>
                            <a:picLocks noChangeAspect="1"/>
                          </pic:cNvPicPr>
                        </pic:nvPicPr>
                        <pic:blipFill>
                          <a:blip r:embed="rId7">
                            <a:clrChange>
                              <a:clrFrom>
                                <a:srgbClr val="A4A5A7"/>
                              </a:clrFrom>
                              <a:clrTo>
                                <a:srgbClr val="A4A5A7">
                                  <a:alpha val="0"/>
                                </a:srgbClr>
                              </a:clrTo>
                            </a:clrChange>
                          </a:blip>
                          <a:srcRect l="67282" t="36383" r="23769" b="43242"/>
                          <a:stretch>
                            <a:fillRect/>
                          </a:stretch>
                        </pic:blipFill>
                        <pic:spPr>
                          <a:xfrm rot="-5100000">
                            <a:off x="0" y="0"/>
                            <a:ext cx="305435" cy="1064260"/>
                          </a:xfrm>
                          <a:prstGeom prst="rect">
                            <a:avLst/>
                          </a:prstGeom>
                          <a:noFill/>
                          <a:ln>
                            <a:noFill/>
                          </a:ln>
                        </pic:spPr>
                      </pic:pic>
                    </a:graphicData>
                  </a:graphic>
                </wp:anchor>
              </w:drawing>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w:t>
                  </w:r>
                  <w:r>
                    <w:rPr>
                      <w:rFonts w:hint="eastAsia"/>
                    </w:rPr>
                    <w:sym w:font="Wingdings 2" w:char="0052"/>
                  </w:r>
                  <w:r>
                    <w:rPr>
                      <w:rFonts w:hint="eastAsia"/>
                    </w:rPr>
                    <w:t>政治</w:t>
                  </w:r>
                  <w:r>
                    <w:rPr>
                      <w:rFonts w:hint="eastAsia"/>
                    </w:rPr>
                    <w:sym w:font="Wingdings 2" w:char="0052"/>
                  </w:r>
                  <w:r>
                    <w:rPr>
                      <w:rFonts w:hint="eastAsia"/>
                    </w:rPr>
                    <w:t>监管□财务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知识□绩效□工艺</w:t>
                  </w:r>
                  <w:r>
                    <w:rPr>
                      <w:rFonts w:hint="eastAsia"/>
                    </w:rPr>
                    <w:sym w:font="Wingdings 2" w:char="0052"/>
                  </w:r>
                  <w:r>
                    <w:rPr>
                      <w:rFonts w:hint="eastAsia"/>
                    </w:rPr>
                    <w:t>设备</w:t>
                  </w:r>
                  <w:r>
                    <w:rPr>
                      <w:rFonts w:hint="eastAsia"/>
                    </w:rPr>
                    <w:sym w:font="Wingdings 2" w:char="0052"/>
                  </w:r>
                  <w:r>
                    <w:rPr>
                      <w:rFonts w:hint="eastAsia"/>
                    </w:rPr>
                    <w:t>人员能力□</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sym w:font="Wingdings 2" w:char="0052"/>
                  </w:r>
                  <w:r>
                    <w:rPr>
                      <w:rFonts w:hint="eastAsia"/>
                    </w:rPr>
                    <w:t>主管部门</w:t>
                  </w:r>
                </w:p>
              </w:tc>
              <w:tc>
                <w:tcPr>
                  <w:tcW w:w="6912" w:type="dxa"/>
                  <w:vAlign w:val="top"/>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sym w:font="Wingdings 2" w:char="0052"/>
                  </w:r>
                  <w:r>
                    <w:rPr>
                      <w:rFonts w:hint="eastAsia"/>
                    </w:rPr>
                    <w:t>供方</w:t>
                  </w:r>
                </w:p>
              </w:tc>
              <w:tc>
                <w:tcPr>
                  <w:tcW w:w="6912" w:type="dxa"/>
                  <w:vAlign w:val="top"/>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sym w:font="Wingdings 2" w:char="0052"/>
                  </w:r>
                  <w:r>
                    <w:rPr>
                      <w:rFonts w:hint="eastAsia"/>
                    </w:rPr>
                    <w:t>顾客</w:t>
                  </w:r>
                </w:p>
              </w:tc>
              <w:tc>
                <w:tcPr>
                  <w:tcW w:w="6912" w:type="dxa"/>
                  <w:vAlign w:val="top"/>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t>□社区</w:t>
                  </w:r>
                </w:p>
              </w:tc>
              <w:tc>
                <w:tcPr>
                  <w:tcW w:w="6912" w:type="dxa"/>
                  <w:vAlign w:val="top"/>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sym w:font="Wingdings 2" w:char="0052"/>
                  </w:r>
                  <w:r>
                    <w:rPr>
                      <w:rFonts w:hint="eastAsia"/>
                    </w:rPr>
                    <w:t>员工</w:t>
                  </w:r>
                </w:p>
              </w:tc>
              <w:tc>
                <w:tcPr>
                  <w:tcW w:w="6912" w:type="dxa"/>
                  <w:vAlign w:val="top"/>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rPr>
                    <w:t>□投资方</w:t>
                  </w:r>
                </w:p>
              </w:tc>
              <w:tc>
                <w:tcPr>
                  <w:tcW w:w="6912" w:type="dxa"/>
                  <w:vAlign w:val="top"/>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采购□人力资源</w:t>
            </w:r>
            <w:r>
              <w:rPr>
                <w:rFonts w:hint="eastAsia"/>
              </w:rPr>
              <w:sym w:font="Wingdings 2" w:char="0052"/>
            </w:r>
            <w:r>
              <w:rPr>
                <w:rFonts w:hint="eastAsia"/>
              </w:rPr>
              <w:t>营销和市场</w:t>
            </w:r>
            <w:r>
              <w:rPr>
                <w:rFonts w:hint="eastAsia"/>
              </w:rPr>
              <w:sym w:font="Wingdings 2" w:char="0052"/>
            </w:r>
            <w:r>
              <w:rPr>
                <w:rFonts w:hint="eastAsia"/>
              </w:rPr>
              <w:t>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52"/>
            </w:r>
            <w:r>
              <w:rPr>
                <w:rFonts w:hint="eastAsia"/>
              </w:rPr>
              <w:t>达标排放□消防控制□危化品管理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sym w:font="Wingdings 2" w:char="0052"/>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widowControl/>
              <w:spacing w:before="40"/>
              <w:jc w:val="left"/>
              <w:rPr>
                <w:rFonts w:hint="eastAsia"/>
                <w:color w:val="000000"/>
                <w:szCs w:val="18"/>
              </w:rPr>
            </w:pPr>
            <w:r>
              <w:rPr>
                <w:rFonts w:hint="eastAsia"/>
              </w:rPr>
              <w:t>最高管理者制定了文件化的管理体系方针：</w:t>
            </w:r>
            <w:r>
              <w:rPr>
                <w:rFonts w:hint="eastAsia"/>
                <w:color w:val="000000"/>
                <w:szCs w:val="18"/>
              </w:rPr>
              <w:t>用心服务质量为先，预防污染保护环境；</w:t>
            </w:r>
          </w:p>
          <w:p>
            <w:pPr>
              <w:shd w:val="clear" w:color="auto" w:fill="EBF1DE" w:themeFill="accent3" w:themeFillTint="32"/>
              <w:rPr>
                <w:u w:val="single"/>
              </w:rPr>
            </w:pPr>
            <w:r>
              <w:rPr>
                <w:rFonts w:hint="eastAsia"/>
                <w:color w:val="000000"/>
                <w:szCs w:val="18"/>
              </w:rPr>
              <w:t>关爱员工健康安全，持续改进追求卓越。</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国家政策改变、外部环境变化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遵守相关法律法规、采取各种环保措施</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资源消耗□废水排放</w:t>
            </w:r>
            <w:r>
              <w:rPr>
                <w:rFonts w:hint="eastAsia"/>
              </w:rPr>
              <w:sym w:font="Wingdings 2" w:char="0052"/>
            </w:r>
            <w:r>
              <w:rPr>
                <w:rFonts w:hint="eastAsia"/>
              </w:rPr>
              <w:t>废气排放</w:t>
            </w:r>
            <w:r>
              <w:rPr>
                <w:rFonts w:hint="eastAsia"/>
              </w:rPr>
              <w:sym w:font="Wingdings 2" w:char="0052"/>
            </w:r>
            <w:r>
              <w:rPr>
                <w:rFonts w:hint="eastAsia"/>
              </w:rPr>
              <w:t>粉尘排放</w:t>
            </w:r>
            <w:r>
              <w:rPr>
                <w:rFonts w:hint="eastAsia"/>
              </w:rPr>
              <w:sym w:font="Wingdings 2" w:char="0052"/>
            </w:r>
            <w:r>
              <w:rPr>
                <w:rFonts w:hint="eastAsia"/>
              </w:rPr>
              <w:t>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rPr>
                <w:rFonts w:hint="default" w:eastAsia="宋体"/>
                <w:lang w:val="en-US" w:eastAsia="zh-CN"/>
              </w:rPr>
            </w:pPr>
            <w:r>
              <w:rPr>
                <w:rFonts w:hint="eastAsia"/>
              </w:rPr>
              <w:sym w:font="Wingdings 2" w:char="0052"/>
            </w:r>
            <w:r>
              <w:rPr>
                <w:rFonts w:hint="eastAsia"/>
              </w:rPr>
              <w:t>排污许可证编号：</w:t>
            </w:r>
            <w:r>
              <w:rPr>
                <w:rFonts w:hint="eastAsia"/>
                <w:lang w:val="en-US" w:eastAsia="zh-CN"/>
              </w:rPr>
              <w:t>91130927MA08GMN40M001Q</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环境影响报告表日期：</w:t>
            </w:r>
            <w:r>
              <w:rPr>
                <w:rFonts w:hint="eastAsia"/>
                <w:lang w:val="en-US" w:eastAsia="zh-CN"/>
              </w:rPr>
              <w:t>2018年3月</w:t>
            </w:r>
          </w:p>
          <w:p>
            <w:pPr>
              <w:shd w:val="clear" w:color="auto" w:fill="EBF1DE" w:themeFill="accent3" w:themeFillTint="32"/>
            </w:pPr>
            <w:r>
              <w:rPr>
                <w:rFonts w:hint="eastAsia"/>
              </w:rPr>
              <w:sym w:font="Wingdings 2" w:char="00A3"/>
            </w: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rPr>
              <w:sym w:font="Wingdings 2" w:char="0052"/>
            </w:r>
            <w:r>
              <w:rPr>
                <w:rFonts w:hint="eastAsia"/>
              </w:rPr>
              <w:t>除尘设备</w:t>
            </w:r>
            <w:r>
              <w:rPr>
                <w:rFonts w:hint="eastAsia"/>
              </w:rPr>
              <w:sym w:font="Wingdings 2" w:char="0052"/>
            </w:r>
            <w:r>
              <w:rPr>
                <w:rFonts w:hint="eastAsia"/>
              </w:rPr>
              <w:t>设备降噪</w:t>
            </w:r>
            <w:r>
              <w:rPr>
                <w:rFonts w:hint="eastAsia"/>
              </w:rPr>
              <w:sym w:font="Wingdings 2" w:char="0052"/>
            </w:r>
            <w:r>
              <w:rPr>
                <w:rFonts w:hint="eastAsia"/>
              </w:rPr>
              <w:t>危废合法处置□使用节能设备□危化品控制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jc w:val="left"/>
                    <w:rPr>
                      <w:rFonts w:hint="eastAsia" w:ascii="宋体" w:hAnsi="宋体" w:eastAsia="宋体" w:cs="Times New Roman"/>
                      <w:b/>
                      <w:bCs/>
                      <w:color w:val="auto"/>
                      <w:kern w:val="2"/>
                      <w:sz w:val="21"/>
                      <w:szCs w:val="21"/>
                      <w:lang w:val="en-US" w:eastAsia="zh-CN" w:bidi="ar-SA"/>
                    </w:rPr>
                  </w:pPr>
                  <w:r>
                    <w:rPr>
                      <w:rFonts w:hint="eastAsia" w:ascii="宋体" w:hAnsi="宋体" w:cs="Times New Roman"/>
                      <w:sz w:val="21"/>
                      <w:szCs w:val="21"/>
                      <w:lang w:val="en-US" w:eastAsia="zh-CN"/>
                    </w:rPr>
                    <w:t>固废处理达标排放</w:t>
                  </w:r>
                </w:p>
              </w:tc>
              <w:tc>
                <w:tcPr>
                  <w:tcW w:w="3136" w:type="dxa"/>
                  <w:shd w:val="clear" w:color="auto" w:fill="auto"/>
                  <w:vAlign w:val="center"/>
                </w:tcPr>
                <w:p>
                  <w:pPr>
                    <w:shd w:val="clear" w:color="auto" w:fill="EBF1DE" w:themeFill="accent3" w:themeFillTint="32"/>
                    <w:rPr>
                      <w:rFonts w:ascii="Times New Roman" w:hAnsi="Times New Roman" w:eastAsia="宋体" w:cs="Times New Roman"/>
                      <w:kern w:val="2"/>
                      <w:sz w:val="21"/>
                      <w:szCs w:val="24"/>
                      <w:lang w:val="en-GB" w:eastAsia="zh-CN" w:bidi="ar-SA"/>
                    </w:rPr>
                  </w:pPr>
                  <w:r>
                    <w:rPr>
                      <w:rFonts w:hint="eastAsia" w:ascii="宋体" w:hAnsi="宋体"/>
                      <w:lang w:val="en-US" w:eastAsia="zh-CN"/>
                    </w:rPr>
                    <w:t>分类收集，集中处理</w:t>
                  </w:r>
                </w:p>
              </w:tc>
              <w:tc>
                <w:tcPr>
                  <w:tcW w:w="1350" w:type="dxa"/>
                  <w:shd w:val="clear" w:color="auto" w:fill="auto"/>
                  <w:vAlign w:val="center"/>
                </w:tcPr>
                <w:p>
                  <w:pPr>
                    <w:shd w:val="clear" w:color="auto" w:fill="EBF1DE" w:themeFill="accent3" w:themeFillTint="32"/>
                    <w:rPr>
                      <w:rFonts w:hint="eastAsia" w:ascii="Times New Roman" w:hAnsi="Times New Roman" w:eastAsia="宋体" w:cs="Times New Roman"/>
                      <w:kern w:val="2"/>
                      <w:sz w:val="21"/>
                      <w:szCs w:val="24"/>
                      <w:lang w:val="en-GB" w:eastAsia="zh-CN" w:bidi="ar-SA"/>
                    </w:rPr>
                  </w:pPr>
                  <w:r>
                    <w:rPr>
                      <w:rFonts w:hint="eastAsia"/>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jc w:val="left"/>
                    <w:rPr>
                      <w:rFonts w:hint="default" w:ascii="宋体" w:hAnsi="宋体" w:eastAsia="宋体" w:cs="Times New Roman"/>
                      <w:kern w:val="2"/>
                      <w:sz w:val="21"/>
                      <w:szCs w:val="21"/>
                      <w:lang w:val="en-US" w:eastAsia="zh-CN" w:bidi="ar-SA"/>
                    </w:rPr>
                  </w:pPr>
                  <w:r>
                    <w:rPr>
                      <w:rFonts w:hint="eastAsia" w:ascii="宋体" w:hAnsi="宋体" w:cs="Times New Roman"/>
                      <w:sz w:val="21"/>
                      <w:szCs w:val="21"/>
                      <w:lang w:val="en-US" w:eastAsia="zh-CN"/>
                    </w:rPr>
                    <w:t>噪声、废气合规排放</w:t>
                  </w:r>
                </w:p>
              </w:tc>
              <w:tc>
                <w:tcPr>
                  <w:tcW w:w="3136" w:type="dxa"/>
                  <w:shd w:val="clear" w:color="auto" w:fill="auto"/>
                  <w:vAlign w:val="center"/>
                </w:tcPr>
                <w:p>
                  <w:pPr>
                    <w:shd w:val="clear" w:color="auto" w:fill="EBF1DE" w:themeFill="accent3" w:themeFillTint="32"/>
                    <w:rPr>
                      <w:rFonts w:hint="default"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设备设施处理，减少降低排出</w:t>
                  </w:r>
                </w:p>
              </w:tc>
              <w:tc>
                <w:tcPr>
                  <w:tcW w:w="1350" w:type="dxa"/>
                  <w:shd w:val="clear" w:color="auto" w:fill="auto"/>
                  <w:vAlign w:val="center"/>
                </w:tcPr>
                <w:p>
                  <w:pPr>
                    <w:shd w:val="clear" w:color="auto" w:fill="EBF1DE" w:themeFill="accent3"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生技部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jc w:val="left"/>
                    <w:rPr>
                      <w:rFonts w:hint="eastAsia" w:ascii="宋体" w:hAnsi="宋体" w:eastAsia="宋体" w:cs="Times New Roman"/>
                      <w:kern w:val="2"/>
                      <w:sz w:val="21"/>
                      <w:szCs w:val="21"/>
                      <w:lang w:val="en-US" w:eastAsia="zh-CN" w:bidi="ar-SA"/>
                    </w:rPr>
                  </w:pPr>
                  <w:r>
                    <w:rPr>
                      <w:rFonts w:hint="eastAsia" w:ascii="宋体" w:hAnsi="宋体" w:cs="Times New Roman"/>
                      <w:sz w:val="21"/>
                      <w:szCs w:val="21"/>
                      <w:lang w:val="en-US" w:eastAsia="zh-CN"/>
                    </w:rPr>
                    <w:t>杜绝火灾事故</w:t>
                  </w:r>
                </w:p>
              </w:tc>
              <w:tc>
                <w:tcPr>
                  <w:tcW w:w="3136"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lang w:val="en-US" w:eastAsia="zh-CN"/>
                    </w:rPr>
                    <w:t>火灾应急预案、消防培训</w:t>
                  </w:r>
                </w:p>
              </w:tc>
              <w:tc>
                <w:tcPr>
                  <w:tcW w:w="1350" w:type="dxa"/>
                  <w:shd w:val="clear" w:color="auto" w:fill="auto"/>
                  <w:vAlign w:val="center"/>
                </w:tcPr>
                <w:p>
                  <w:pPr>
                    <w:shd w:val="clear" w:color="auto" w:fill="EBF1DE" w:themeFill="accent3"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8000.4</w:t>
            </w:r>
            <w:r>
              <w:rPr>
                <w:rFonts w:hint="eastAsia"/>
              </w:rPr>
              <w:t>平方米；生产车间</w:t>
            </w:r>
            <w:r>
              <w:rPr>
                <w:rFonts w:hint="eastAsia"/>
                <w:lang w:val="en-US" w:eastAsia="zh-CN"/>
              </w:rPr>
              <w:t>2</w:t>
            </w:r>
            <w:r>
              <w:rPr>
                <w:rFonts w:hint="eastAsia"/>
              </w:rPr>
              <w:t>个；库房</w:t>
            </w:r>
            <w:r>
              <w:rPr>
                <w:rFonts w:hint="eastAsia"/>
                <w:lang w:val="en-US" w:eastAsia="zh-CN"/>
              </w:rPr>
              <w:t>1</w:t>
            </w:r>
            <w:r>
              <w:rPr>
                <w:rFonts w:hint="eastAsia"/>
              </w:rPr>
              <w:t>个；实验室个；</w:t>
            </w:r>
          </w:p>
          <w:p>
            <w:pPr>
              <w:shd w:val="clear" w:color="auto" w:fill="EBF1DE" w:themeFill="accent3" w:themeFillTint="32"/>
              <w:rPr>
                <w:rFonts w:hint="default" w:eastAsia="宋体"/>
                <w:u w:val="single"/>
                <w:lang w:val="en-US" w:eastAsia="zh-CN"/>
              </w:rPr>
            </w:pPr>
            <w:r>
              <w:rPr>
                <w:rFonts w:hint="eastAsia"/>
              </w:rPr>
              <w:t>主要生产设备有：</w:t>
            </w:r>
            <w:r>
              <w:rPr>
                <w:rFonts w:hint="eastAsia"/>
                <w:u w:val="single"/>
              </w:rPr>
              <w:t>中频感应电炉</w:t>
            </w:r>
            <w:r>
              <w:rPr>
                <w:rFonts w:hint="eastAsia"/>
                <w:u w:val="single"/>
                <w:lang w:eastAsia="zh-CN"/>
              </w:rPr>
              <w:t>、调质炉、离心机、数控车床</w:t>
            </w:r>
            <w:r>
              <w:rPr>
                <w:rFonts w:hint="eastAsia"/>
                <w:u w:val="single"/>
                <w:lang w:val="en-US" w:eastAsia="zh-CN"/>
              </w:rPr>
              <w:t>等</w:t>
            </w:r>
          </w:p>
          <w:p>
            <w:pPr>
              <w:shd w:val="clear" w:color="auto" w:fill="EBF1DE" w:themeFill="accent3" w:themeFillTint="32"/>
              <w:rPr>
                <w:u w:val="single"/>
              </w:rPr>
            </w:pPr>
            <w:r>
              <w:rPr>
                <w:rFonts w:hint="eastAsia"/>
              </w:rPr>
              <w:t>主要环保设备有：</w:t>
            </w:r>
            <w:r>
              <w:rPr>
                <w:rFonts w:hint="eastAsia"/>
                <w:u w:val="single"/>
              </w:rPr>
              <w:t>布袋除尘器</w:t>
            </w:r>
            <w:r>
              <w:rPr>
                <w:rFonts w:hint="eastAsia"/>
                <w:u w:val="single"/>
                <w:lang w:eastAsia="zh-CN"/>
              </w:rPr>
              <w:t>、</w:t>
            </w:r>
            <w:r>
              <w:rPr>
                <w:rFonts w:hint="eastAsia"/>
                <w:u w:val="single"/>
              </w:rPr>
              <w:t>焊烟净化器</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lang w:val="en-US" w:eastAsia="zh-CN"/>
              </w:rPr>
              <w:t>无</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环境管理方案、运行控制程序</w:t>
                  </w: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p>
              </w:tc>
              <w:tc>
                <w:tcPr>
                  <w:tcW w:w="32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pacing w:line="360" w:lineRule="exact"/>
                    <w:rPr>
                      <w:rFonts w:hint="eastAsia" w:ascii="宋体" w:hAnsi="宋体"/>
                      <w:szCs w:val="21"/>
                    </w:rPr>
                  </w:pPr>
                  <w:r>
                    <w:rPr>
                      <w:rFonts w:hint="eastAsia" w:ascii="宋体" w:hAnsi="宋体"/>
                      <w:szCs w:val="21"/>
                    </w:rPr>
                    <w:t xml:space="preserve">环境管理方案、运行控制程序   </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3265" w:type="dxa"/>
                  <w:vAlign w:val="center"/>
                </w:tcPr>
                <w:p>
                  <w:pPr>
                    <w:spacing w:line="360" w:lineRule="exac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default" w:eastAsia="宋体"/>
                <w:lang w:val="en-US" w:eastAsia="zh-CN"/>
              </w:rPr>
            </w:pPr>
            <w:r>
              <w:rPr>
                <w:rFonts w:hint="eastAsia"/>
              </w:rPr>
              <w:t>特种设备检测报告，如：</w:t>
            </w:r>
            <w:r>
              <w:rPr>
                <w:rFonts w:hint="eastAsia"/>
                <w:u w:val="single"/>
                <w:lang w:val="en-US" w:eastAsia="zh-CN"/>
              </w:rPr>
              <w:t>起重机检验报告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A3"/>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于2022年5月24日进行了火灾应急演练；并总结了预案的可行性和有效性。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5</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《环境监测报告》编号：No.E-342260-H-2022-06004 190312842260。</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通过年度策划于2022年9月15日实施了环境管理体系内部审核，对环境管理体系的符合性和有效性进行了审核。内审发现的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最高管理者已按策划的时间间隔，在2022年9月29日对组织的环境管理体系进行了评审，以确保其持续的适宜性、充分性和有效性；管理评审输入、输出均按要求提供。并对提出的改进措施进行了落实。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vAlign w:val="top"/>
                </w:tcPr>
                <w:p>
                  <w:r>
                    <w:rPr>
                      <w:rFonts w:hint="eastAsia"/>
                      <w:lang w:eastAsia="zh-CN"/>
                    </w:rPr>
                    <w:sym w:font="Wingdings 2" w:char="0052"/>
                  </w:r>
                  <w:r>
                    <w:rPr>
                      <w:rFonts w:hint="eastAsia"/>
                    </w:rPr>
                    <w:t xml:space="preserve">法律法规 </w:t>
                  </w:r>
                  <w:r>
                    <w:rPr>
                      <w:rFonts w:hint="eastAsia"/>
                      <w:lang w:eastAsia="zh-CN"/>
                    </w:rPr>
                    <w:sym w:font="Wingdings 2" w:char="0052"/>
                  </w:r>
                  <w:r>
                    <w:rPr>
                      <w:rFonts w:hint="eastAsia"/>
                    </w:rPr>
                    <w:t xml:space="preserve">技术 </w:t>
                  </w:r>
                  <w:r>
                    <w:rPr>
                      <w:rFonts w:hint="eastAsia"/>
                      <w:lang w:eastAsia="zh-CN"/>
                    </w:rPr>
                    <w:sym w:font="Wingdings 2" w:char="0052"/>
                  </w:r>
                  <w:r>
                    <w:rPr>
                      <w:rFonts w:hint="eastAsia"/>
                    </w:rPr>
                    <w:t xml:space="preserve">竞争 </w:t>
                  </w:r>
                  <w:r>
                    <w:rPr>
                      <w:rFonts w:hint="eastAsia"/>
                      <w:lang w:eastAsia="zh-CN"/>
                    </w:rPr>
                    <w:sym w:font="Wingdings 2" w:char="0052"/>
                  </w:r>
                  <w:r>
                    <w:rPr>
                      <w:rFonts w:hint="eastAsia"/>
                    </w:rPr>
                    <w:t xml:space="preserve">市场 </w:t>
                  </w:r>
                  <w:r>
                    <w:rPr>
                      <w:rFonts w:hint="eastAsia"/>
                      <w:lang w:eastAsia="zh-CN"/>
                    </w:rPr>
                    <w:sym w:font="Wingdings 2" w:char="0052"/>
                  </w:r>
                  <w:r>
                    <w:rPr>
                      <w:rFonts w:hint="eastAsia"/>
                    </w:rPr>
                    <w:t>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vAlign w:val="top"/>
                </w:tcPr>
                <w:p>
                  <w:r>
                    <w:rPr>
                      <w:rFonts w:hint="eastAsia"/>
                      <w:lang w:eastAsia="zh-CN"/>
                    </w:rPr>
                    <w:sym w:font="Wingdings 2" w:char="0052"/>
                  </w:r>
                  <w:r>
                    <w:rPr>
                      <w:rFonts w:hint="eastAsia"/>
                    </w:rPr>
                    <w:t xml:space="preserve">认知 </w:t>
                  </w:r>
                  <w:r>
                    <w:rPr>
                      <w:rFonts w:hint="eastAsia"/>
                      <w:lang w:eastAsia="zh-CN"/>
                    </w:rPr>
                    <w:sym w:font="Wingdings 2" w:char="0052"/>
                  </w:r>
                  <w:r>
                    <w:rPr>
                      <w:rFonts w:hint="eastAsia"/>
                    </w:rPr>
                    <w:t xml:space="preserve">价值观  </w:t>
                  </w:r>
                  <w:r>
                    <w:rPr>
                      <w:rFonts w:hint="eastAsia"/>
                      <w:lang w:eastAsia="zh-CN"/>
                    </w:rPr>
                    <w:sym w:font="Wingdings 2" w:char="0052"/>
                  </w:r>
                  <w:r>
                    <w:rPr>
                      <w:rFonts w:hint="eastAsia"/>
                    </w:rPr>
                    <w:t xml:space="preserve">文化  </w:t>
                  </w:r>
                  <w:r>
                    <w:rPr>
                      <w:rFonts w:hint="eastAsia"/>
                      <w:lang w:eastAsia="zh-CN"/>
                    </w:rPr>
                    <w:sym w:font="Wingdings 2" w:char="0052"/>
                  </w:r>
                  <w:r>
                    <w:rPr>
                      <w:rFonts w:hint="eastAsia"/>
                    </w:rPr>
                    <w:t xml:space="preserve">知识 </w:t>
                  </w:r>
                  <w:r>
                    <w:rPr>
                      <w:rFonts w:hint="eastAsia"/>
                      <w:lang w:eastAsia="zh-CN"/>
                    </w:rPr>
                    <w:sym w:font="Wingdings 2" w:char="0052"/>
                  </w:r>
                  <w:r>
                    <w:rPr>
                      <w:rFonts w:hint="eastAsia"/>
                    </w:rPr>
                    <w:t xml:space="preserve">绩效 □工艺 </w:t>
                  </w:r>
                  <w:r>
                    <w:rPr>
                      <w:rFonts w:hint="eastAsia"/>
                      <w:lang w:eastAsia="zh-CN"/>
                    </w:rPr>
                    <w:sym w:font="Wingdings 2" w:char="0052"/>
                  </w:r>
                  <w:r>
                    <w:rPr>
                      <w:rFonts w:hint="eastAsia"/>
                    </w:rPr>
                    <w:t xml:space="preserve">设备 </w:t>
                  </w:r>
                  <w:r>
                    <w:rPr>
                      <w:rFonts w:hint="eastAsia"/>
                      <w:lang w:eastAsia="zh-CN"/>
                    </w:rPr>
                    <w:sym w:font="Wingdings 2" w:char="0052"/>
                  </w:r>
                  <w:r>
                    <w:rPr>
                      <w:rFonts w:hint="eastAsia"/>
                    </w:rPr>
                    <w:t xml:space="preserve">人员能力 </w:t>
                  </w:r>
                </w:p>
                <w:p>
                  <w:r>
                    <w:rPr>
                      <w:rFonts w:hint="eastAsia"/>
                      <w:lang w:eastAsia="zh-CN"/>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w:t>
            </w:r>
            <w:r>
              <w:rPr>
                <w:rFonts w:hint="eastAsia"/>
              </w:rPr>
              <w:sym w:font="Wingdings 2" w:char="0052"/>
            </w:r>
            <w:r>
              <w:rPr>
                <w:rFonts w:hint="eastAsia"/>
              </w:rPr>
              <w:t>消防控制□危化品管理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rPr>
                <w:u w:val="single"/>
              </w:rPr>
            </w:pPr>
            <w:r>
              <w:rPr>
                <w:rFonts w:hint="eastAsia"/>
                <w:u w:val="single"/>
              </w:rPr>
              <w:t>用心服务质量为先，预防污染保护环境；关爱员工健康安全，持续改进追求卓越。</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职业健康的主管部门是——办公室</w:t>
            </w:r>
          </w:p>
          <w:p>
            <w:r>
              <w:rPr>
                <w:rFonts w:hint="eastAsia"/>
              </w:rPr>
              <w:t>安全的主管部门是——办公室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r>
              <w:rPr>
                <w:rFonts w:hint="eastAsia"/>
              </w:rPr>
              <w:t>员工代表是——梁卫卫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作业过程</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制定安全操作规程、安全措施并严格执行</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52"/>
            </w:r>
            <w:r>
              <w:rPr>
                <w:rFonts w:hint="eastAsia"/>
              </w:rPr>
              <w:t>噪声□粉尘□危险作业□高低温□危化品泄露□压力容器爆炸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w:t>
            </w:r>
            <w:r>
              <w:rPr>
                <w:rFonts w:hint="eastAsia"/>
              </w:rPr>
              <w:sym w:font="Wingdings 2" w:char="0052"/>
            </w:r>
            <w:r>
              <w:rPr>
                <w:rFonts w:hint="eastAsia"/>
              </w:rPr>
              <w:t>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jc w:val="left"/>
                    <w:rPr>
                      <w:rFonts w:hint="eastAsia" w:ascii="宋体" w:hAnsi="宋体" w:eastAsia="宋体" w:cs="Times New Roman"/>
                      <w:b/>
                      <w:bCs/>
                      <w:color w:val="auto"/>
                      <w:kern w:val="2"/>
                      <w:sz w:val="21"/>
                      <w:szCs w:val="21"/>
                      <w:lang w:val="en-US" w:eastAsia="zh-CN" w:bidi="ar-SA"/>
                    </w:rPr>
                  </w:pPr>
                  <w:r>
                    <w:rPr>
                      <w:rFonts w:hint="eastAsia" w:ascii="宋体" w:hAnsi="宋体"/>
                      <w:sz w:val="21"/>
                      <w:szCs w:val="21"/>
                    </w:rPr>
                    <w:t>杜绝重大工伤事故</w:t>
                  </w:r>
                </w:p>
              </w:tc>
              <w:tc>
                <w:tcPr>
                  <w:tcW w:w="3136" w:type="dxa"/>
                  <w:shd w:val="clear" w:color="auto" w:fill="auto"/>
                  <w:vAlign w:val="center"/>
                </w:tcPr>
                <w:p>
                  <w:pPr>
                    <w:rPr>
                      <w:rFonts w:ascii="Times New Roman" w:hAnsi="Times New Roman" w:eastAsia="宋体" w:cs="Times New Roman"/>
                      <w:kern w:val="2"/>
                      <w:sz w:val="21"/>
                      <w:szCs w:val="24"/>
                      <w:lang w:val="en-GB" w:eastAsia="zh-CN" w:bidi="ar-SA"/>
                    </w:rPr>
                  </w:pPr>
                  <w:r>
                    <w:rPr>
                      <w:rFonts w:hint="eastAsia"/>
                      <w:lang w:val="en-US" w:eastAsia="zh-CN"/>
                    </w:rPr>
                    <w:t>佩戴劳保用品，安全防护、做好培训，制定制度</w:t>
                  </w:r>
                </w:p>
              </w:tc>
              <w:tc>
                <w:tcPr>
                  <w:tcW w:w="1350" w:type="dxa"/>
                  <w:shd w:val="clear" w:color="auto" w:fill="auto"/>
                  <w:vAlign w:val="center"/>
                </w:tcPr>
                <w:p>
                  <w:pPr>
                    <w:rPr>
                      <w:rFonts w:hint="eastAsia" w:ascii="Times New Roman" w:hAnsi="Times New Roman" w:eastAsia="宋体" w:cs="Times New Roman"/>
                      <w:kern w:val="2"/>
                      <w:sz w:val="21"/>
                      <w:szCs w:val="24"/>
                      <w:lang w:val="en-GB" w:eastAsia="zh-CN" w:bidi="ar-SA"/>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jc w:val="left"/>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杜绝火灾事故</w:t>
                  </w:r>
                </w:p>
              </w:tc>
              <w:tc>
                <w:tcPr>
                  <w:tcW w:w="3136" w:type="dxa"/>
                  <w:shd w:val="clear" w:color="auto" w:fill="auto"/>
                  <w:vAlign w:val="center"/>
                </w:tcPr>
                <w:p>
                  <w:pPr>
                    <w:rPr>
                      <w:rFonts w:ascii="宋体" w:hAnsi="宋体" w:eastAsia="宋体" w:cs="Times New Roman"/>
                      <w:kern w:val="2"/>
                      <w:sz w:val="21"/>
                      <w:szCs w:val="24"/>
                      <w:lang w:val="en-US" w:eastAsia="zh-CN" w:bidi="ar-SA"/>
                    </w:rPr>
                  </w:pPr>
                  <w:r>
                    <w:rPr>
                      <w:rFonts w:hint="eastAsia" w:ascii="宋体" w:hAnsi="宋体"/>
                      <w:lang w:val="en-US" w:eastAsia="zh-CN"/>
                    </w:rPr>
                    <w:t>火灾应急演练，消防培训</w:t>
                  </w:r>
                </w:p>
              </w:tc>
              <w:tc>
                <w:tcPr>
                  <w:tcW w:w="1350" w:type="dxa"/>
                  <w:shd w:val="clear" w:color="auto" w:fill="auto"/>
                  <w:vAlign w:val="center"/>
                </w:tcPr>
                <w:p>
                  <w:pPr>
                    <w:rPr>
                      <w:rFonts w:hint="eastAsia" w:ascii="宋体" w:hAnsi="宋体" w:eastAsia="宋体" w:cs="Times New Roman"/>
                      <w:kern w:val="2"/>
                      <w:sz w:val="21"/>
                      <w:szCs w:val="24"/>
                      <w:lang w:val="en-US" w:eastAsia="zh-CN" w:bidi="ar-SA"/>
                    </w:rPr>
                  </w:pPr>
                  <w:r>
                    <w:rPr>
                      <w:rFonts w:hint="eastAsia" w:ascii="宋体" w:hAnsi="宋体"/>
                      <w:lang w:val="en-US" w:eastAsia="zh-CN"/>
                    </w:rPr>
                    <w:t>办公室</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rPr>
            </w:pPr>
            <w:r>
              <w:rPr>
                <w:rFonts w:hint="eastAsia"/>
              </w:rPr>
              <w:t>建筑面积8000.4平方米；生产车间2个；库房1个；实验室个；</w:t>
            </w:r>
          </w:p>
          <w:p>
            <w:pPr>
              <w:rPr>
                <w:u w:val="single"/>
              </w:rPr>
            </w:pPr>
            <w:r>
              <w:rPr>
                <w:rFonts w:hint="eastAsia"/>
              </w:rPr>
              <w:t>主要生产设备有：</w:t>
            </w:r>
            <w:r>
              <w:rPr>
                <w:rFonts w:hint="eastAsia"/>
                <w:u w:val="single"/>
              </w:rPr>
              <w:t>中频感应电炉、调质炉、离心机、数控车床等</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sym w:font="Wingdings 2" w:char="00A3"/>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sym w:font="Wingdings 2" w:char="00A3"/>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sym w:font="Wingdings 2" w:char="0052"/>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sym w:font="Wingdings 2" w:char="00A3"/>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sym w:font="Wingdings 2" w:char="0052"/>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sym w:font="Wingdings 2" w:char="0052"/>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A3"/>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A3"/>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A3"/>
                  </w: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w:t>
                  </w:r>
                  <w:r>
                    <w:rPr>
                      <w:rFonts w:hint="eastAsia"/>
                    </w:rPr>
                    <w:sym w:font="Wingdings 2" w:char="00A3"/>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rPr>
                    <w:sym w:font="Wingdings 2" w:char="0052"/>
                  </w:r>
                  <w:r>
                    <w:rPr>
                      <w:rFonts w:hint="eastAsia"/>
                    </w:rPr>
                    <w:t>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w:t>
                  </w:r>
                  <w:r>
                    <w:rPr>
                      <w:rFonts w:hint="eastAsia"/>
                    </w:rPr>
                    <w:sym w:font="Wingdings 2" w:char="0052"/>
                  </w:r>
                  <w:r>
                    <w:rPr>
                      <w:rFonts w:hint="eastAsia"/>
                    </w:rPr>
                    <w:t>空间隔离□防暑降温用品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vAlign w:val="top"/>
                </w:tcPr>
                <w:p>
                  <w:pPr>
                    <w:spacing w:line="360" w:lineRule="exact"/>
                    <w:rPr>
                      <w:rFonts w:hint="eastAsia" w:ascii="宋体" w:hAnsi="宋体"/>
                      <w:szCs w:val="21"/>
                    </w:rPr>
                  </w:pPr>
                  <w:r>
                    <w:rPr>
                      <w:rFonts w:hint="eastAsia" w:ascii="宋体" w:hAnsi="宋体"/>
                      <w:szCs w:val="21"/>
                    </w:rPr>
                    <w:t xml:space="preserve">管理方案、运行控制程序   </w:t>
                  </w:r>
                </w:p>
                <w:p>
                  <w:pPr>
                    <w:jc w:val="left"/>
                    <w:rPr>
                      <w:rFonts w:hint="eastAsia" w:ascii="Times New Roman" w:hAnsi="Times New Roman" w:eastAsia="宋体" w:cs="Times New Roman"/>
                      <w:kern w:val="2"/>
                      <w:sz w:val="21"/>
                      <w:szCs w:val="24"/>
                      <w:lang w:val="en-US" w:eastAsia="zh-CN" w:bidi="ar-SA"/>
                    </w:rPr>
                  </w:pPr>
                  <w:r>
                    <w:rPr>
                      <w:rFonts w:hint="eastAsia" w:ascii="宋体" w:hAnsi="宋体"/>
                      <w:szCs w:val="21"/>
                    </w:rPr>
                    <w:t>应急预案及 应急演练</w:t>
                  </w:r>
                </w:p>
              </w:tc>
              <w:tc>
                <w:tcPr>
                  <w:tcW w:w="2205" w:type="dxa"/>
                  <w:vAlign w:val="top"/>
                </w:tcPr>
                <w:p>
                  <w:pPr>
                    <w:jc w:val="left"/>
                    <w:rPr>
                      <w:rFonts w:hint="eastAsia" w:ascii="Times New Roman" w:hAnsi="Times New Roman" w:eastAsia="宋体" w:cs="Times New Roman"/>
                      <w:kern w:val="2"/>
                      <w:sz w:val="21"/>
                      <w:szCs w:val="24"/>
                      <w:lang w:val="en-US" w:eastAsia="zh-CN" w:bidi="ar-SA"/>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起重机检验报告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sym w:font="Wingdings 2" w:char="0052"/>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于2022年3月18日</w:t>
            </w:r>
            <w:r>
              <w:rPr>
                <w:rFonts w:hint="eastAsia"/>
                <w:lang w:val="en-US" w:eastAsia="zh-CN"/>
              </w:rPr>
              <w:t>/2022年4月20日/</w:t>
            </w:r>
            <w:r>
              <w:rPr>
                <w:rFonts w:hint="eastAsia"/>
              </w:rPr>
              <w:t>2022年5月24日进行了触电事故</w:t>
            </w:r>
            <w:r>
              <w:rPr>
                <w:rFonts w:hint="eastAsia"/>
                <w:lang w:val="en-US" w:eastAsia="zh-CN"/>
              </w:rPr>
              <w:t>/工伤事故/</w:t>
            </w:r>
            <w:r>
              <w:rPr>
                <w:rFonts w:hint="eastAsia"/>
              </w:rPr>
              <w:t>火灾应急演练；并总结了预案的可行性和有效性。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定期（每年）：2022年9月5日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通过年度策划于2022年9月15日实施了职业健康安全管理体系内部审核，对职业健康安全管理体系的符合性和有效性进行了审核。内审发现的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最高管理者已按策划的时间间隔，在2022年9月29日对组织的职业健康安全管理体系进行了评审，以确保其持续的适宜性、充分性和有效性；管理评审输入、输出均按要求提供。并对提出的改进措施进行了落实。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w:t>
            </w:r>
            <w:bookmarkStart w:id="34" w:name="_GoBack"/>
            <w:bookmarkEnd w:id="34"/>
            <w:r>
              <w:rPr>
                <w:rFonts w:hint="eastAsia"/>
              </w:rPr>
              <w:t>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3</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中國龍中黑體">
    <w:altName w:val="黑体"/>
    <w:panose1 w:val="00000000000000000000"/>
    <w:charset w:val="88"/>
    <w:family w:val="modern"/>
    <w:pitch w:val="default"/>
    <w:sig w:usb0="00000000" w:usb1="00000000" w:usb2="0000003F" w:usb3="00000000" w:csb0="0010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5071745</wp:posOffset>
              </wp:positionH>
              <wp:positionV relativeFrom="paragraph">
                <wp:posOffset>123190</wp:posOffset>
              </wp:positionV>
              <wp:extent cx="1249680" cy="256540"/>
              <wp:effectExtent l="0" t="0" r="7620" b="10160"/>
              <wp:wrapNone/>
              <wp:docPr id="1" name="文本框 1"/>
              <wp:cNvGraphicFramePr/>
              <a:graphic xmlns:a="http://schemas.openxmlformats.org/drawingml/2006/main">
                <a:graphicData uri="http://schemas.microsoft.com/office/word/2010/wordprocessingShape">
                  <wps:wsp>
                    <wps:cNvSpPr txBox="1"/>
                    <wps:spPr>
                      <a:xfrm>
                        <a:off x="0" y="0"/>
                        <a:ext cx="1249680" cy="256540"/>
                      </a:xfrm>
                      <a:prstGeom prst="rect">
                        <a:avLst/>
                      </a:prstGeom>
                      <a:solidFill>
                        <a:srgbClr val="FFFFFF"/>
                      </a:solidFill>
                      <a:ln>
                        <a:noFill/>
                      </a:ln>
                    </wps:spPr>
                    <wps:txb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wps:txbx>
                    <wps:bodyPr upright="1"/>
                  </wps:wsp>
                </a:graphicData>
              </a:graphic>
            </wp:anchor>
          </w:drawing>
        </mc:Choice>
        <mc:Fallback>
          <w:pict>
            <v:shape id="_x0000_s1026" o:spid="_x0000_s1026" o:spt="202" type="#_x0000_t202" style="position:absolute;left:0pt;margin-left:399.35pt;margin-top:9.7pt;height:20.2pt;width:98.4pt;z-index:251659264;mso-width-relative:page;mso-height-relative:page;" fillcolor="#FFFFFF" filled="t" stroked="f" coordsize="21600,21600" o:gfxdata="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vmK93XAAAACQEAAA8AAAAAAAAAAQAgAAAAIgAAAGRycy9kb3ducmV2Lnht&#10;bFBLAQIUABQAAAAIAIdO4kBeG0v5wQEAAHcDAAAOAAAAAAAAAAEAIAAAACYBAABkcnMvZTJvRG9j&#10;LnhtbFBLBQYAAAAABgAGAFkBAABZBQAAAAA=&#10;">
              <v:fill on="t" focussize="0,0"/>
              <v:stroke on="f"/>
              <v:imagedata o:title=""/>
              <o:lock v:ext="edit" aspectratio="f"/>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mc:Fallback>
      </mc:AlternateConten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000000"/>
    <w:rsid w:val="37817773"/>
    <w:rsid w:val="3D0D141C"/>
    <w:rsid w:val="4BC456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中國龍中黑體"/>
      <w:sz w:val="24"/>
      <w:szCs w:val="20"/>
      <w:lang w:eastAsia="zh-TW"/>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18651</Words>
  <Characters>19393</Characters>
  <Lines>150</Lines>
  <Paragraphs>42</Paragraphs>
  <TotalTime>1</TotalTime>
  <ScaleCrop>false</ScaleCrop>
  <LinksUpToDate>false</LinksUpToDate>
  <CharactersWithSpaces>19514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2023-01-30T05:45:44Z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5CD50699E525446D9F370D5649135DDF</vt:lpwstr>
  </property>
  <property fmtid="{D5CDD505-2E9C-101B-9397-08002B2CF9AE}" pid="3" name="KSOProductBuildVer">
    <vt:lpwstr>2052-11.1.0.13703</vt:lpwstr>
  </property>
</Properties>
</file>