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生技部</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张智方</w:t>
            </w:r>
            <w:r>
              <w:rPr>
                <w:rFonts w:hint="eastAsia" w:ascii="宋体" w:hAnsi="宋体" w:eastAsia="宋体" w:cs="宋体"/>
                <w:sz w:val="21"/>
                <w:szCs w:val="21"/>
              </w:rPr>
              <w:t xml:space="preserve">        陪同人员：梁卫卫</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bidi="ar-SA"/>
              </w:rPr>
              <w:t>审核员：温红玲</w:t>
            </w:r>
            <w:r>
              <w:rPr>
                <w:rFonts w:hint="eastAsia" w:ascii="宋体" w:hAnsi="宋体" w:cs="宋体"/>
                <w:bCs w:val="0"/>
                <w:spacing w:val="0"/>
                <w:kern w:val="2"/>
                <w:sz w:val="21"/>
                <w:szCs w:val="21"/>
                <w:lang w:val="en-US" w:eastAsia="zh-CN" w:bidi="ar-SA"/>
              </w:rPr>
              <w:t>A</w:t>
            </w:r>
            <w:r>
              <w:rPr>
                <w:rFonts w:hint="eastAsia" w:ascii="宋体" w:hAnsi="宋体" w:eastAsia="宋体" w:cs="宋体"/>
                <w:bCs w:val="0"/>
                <w:spacing w:val="0"/>
                <w:kern w:val="2"/>
                <w:sz w:val="21"/>
                <w:szCs w:val="21"/>
                <w:lang w:val="en-US" w:eastAsia="zh-CN" w:bidi="ar-SA"/>
              </w:rPr>
              <w:t>（远程微信沟通） 喻荣秋</w:t>
            </w:r>
            <w:r>
              <w:rPr>
                <w:rFonts w:hint="eastAsia" w:ascii="宋体" w:hAnsi="宋体" w:eastAsia="宋体" w:cs="宋体"/>
                <w:bCs w:val="0"/>
                <w:spacing w:val="0"/>
                <w:kern w:val="2"/>
                <w:sz w:val="21"/>
                <w:szCs w:val="21"/>
                <w:u w:val="none"/>
                <w:lang w:val="en-US" w:eastAsia="zh-CN" w:bidi="ar-SA"/>
              </w:rPr>
              <w:t xml:space="preserve">B（远程微信沟通，B：OHSMS实习） </w:t>
            </w:r>
            <w:r>
              <w:rPr>
                <w:rFonts w:hint="eastAsia" w:ascii="宋体" w:hAnsi="宋体" w:eastAsia="宋体" w:cs="宋体"/>
                <w:bCs w:val="0"/>
                <w:spacing w:val="0"/>
                <w:kern w:val="2"/>
                <w:sz w:val="21"/>
                <w:szCs w:val="21"/>
                <w:lang w:val="en-US" w:eastAsia="zh-CN" w:bidi="ar-SA"/>
              </w:rPr>
              <w:t xml:space="preserve">          审核时间：2022.12.</w:t>
            </w:r>
            <w:r>
              <w:rPr>
                <w:rFonts w:hint="eastAsia" w:ascii="宋体" w:hAnsi="宋体" w:cs="宋体"/>
                <w:bCs w:val="0"/>
                <w:spacing w:val="0"/>
                <w:kern w:val="2"/>
                <w:sz w:val="21"/>
                <w:szCs w:val="21"/>
                <w:lang w:val="en-US" w:eastAsia="zh-CN" w:bidi="ar-SA"/>
              </w:rPr>
              <w:t>26</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cs="宋体"/>
                <w:sz w:val="21"/>
                <w:szCs w:val="21"/>
                <w:lang w:val="en-US" w:eastAsia="zh-CN"/>
              </w:rPr>
              <w:t>O</w:t>
            </w:r>
            <w:r>
              <w:rPr>
                <w:rFonts w:hint="eastAsia" w:ascii="宋体" w:hAnsi="宋体" w:eastAsia="宋体" w:cs="宋体"/>
                <w:sz w:val="21"/>
                <w:szCs w:val="21"/>
              </w:rPr>
              <w:t>:5.3组织的岗位、职责和权限、6.2职业健康安全目标、6.1.2危险源辨识与评价、8.1运行策划和控制、8.2应急准备和响应</w:t>
            </w:r>
            <w:bookmarkStart w:id="0" w:name="_GoBack"/>
            <w:bookmarkEnd w:id="0"/>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960" w:type="dxa"/>
          </w:tcPr>
          <w:p>
            <w:pPr>
              <w:rPr>
                <w:rFonts w:hint="eastAsia" w:ascii="宋体" w:hAnsi="宋体" w:eastAsia="宋体" w:cs="宋体"/>
                <w:sz w:val="21"/>
                <w:szCs w:val="21"/>
              </w:rPr>
            </w:pPr>
            <w:r>
              <w:rPr>
                <w:rFonts w:hint="eastAsia" w:ascii="宋体" w:hAnsi="宋体" w:cs="宋体"/>
                <w:sz w:val="21"/>
                <w:szCs w:val="21"/>
                <w:lang w:eastAsia="zh-CN"/>
              </w:rPr>
              <w:t>O</w:t>
            </w:r>
            <w:r>
              <w:rPr>
                <w:rFonts w:hint="eastAsia" w:ascii="宋体" w:hAnsi="宋体" w:eastAsia="宋体" w:cs="宋体"/>
                <w:sz w:val="21"/>
                <w:szCs w:val="21"/>
              </w:rPr>
              <w:t>5.3</w:t>
            </w:r>
          </w:p>
          <w:p>
            <w:pPr>
              <w:rPr>
                <w:rFonts w:hint="eastAsia" w:ascii="宋体" w:hAnsi="宋体" w:eastAsia="宋体" w:cs="宋体"/>
                <w:sz w:val="21"/>
                <w:szCs w:val="21"/>
              </w:rPr>
            </w:pPr>
          </w:p>
        </w:tc>
        <w:tc>
          <w:tcPr>
            <w:tcW w:w="10004" w:type="dxa"/>
          </w:tcPr>
          <w:p>
            <w:pPr>
              <w:adjustRightInd w:val="0"/>
              <w:snapToGrid w:val="0"/>
              <w:spacing w:line="320" w:lineRule="exact"/>
              <w:ind w:right="105" w:rightChars="50"/>
              <w:textAlignment w:val="baseline"/>
              <w:rPr>
                <w:rFonts w:hint="eastAsia" w:ascii="宋体" w:hAnsi="宋体" w:eastAsia="宋体" w:cs="宋体"/>
                <w:sz w:val="21"/>
                <w:szCs w:val="21"/>
              </w:rPr>
            </w:pPr>
            <w:r>
              <w:rPr>
                <w:rFonts w:hint="eastAsia" w:ascii="宋体" w:hAnsi="宋体" w:cs="宋体"/>
                <w:sz w:val="21"/>
                <w:szCs w:val="21"/>
                <w:lang w:val="en-US" w:eastAsia="zh-CN"/>
              </w:rPr>
              <w:t>生技部</w:t>
            </w:r>
            <w:r>
              <w:rPr>
                <w:rFonts w:hint="eastAsia" w:ascii="宋体" w:hAnsi="宋体" w:eastAsia="宋体" w:cs="宋体"/>
                <w:sz w:val="21"/>
                <w:szCs w:val="21"/>
              </w:rPr>
              <w:t>的职责权限</w:t>
            </w:r>
            <w:r>
              <w:rPr>
                <w:rFonts w:hint="eastAsia" w:ascii="宋体" w:hAnsi="宋体" w:cs="宋体"/>
                <w:sz w:val="21"/>
                <w:szCs w:val="21"/>
                <w:lang w:val="en-US" w:eastAsia="zh-CN"/>
              </w:rPr>
              <w:t>主要有</w:t>
            </w:r>
            <w:r>
              <w:rPr>
                <w:rFonts w:hint="eastAsia" w:ascii="宋体" w:hAnsi="宋体" w:eastAsia="宋体" w:cs="宋体"/>
                <w:sz w:val="21"/>
                <w:szCs w:val="21"/>
              </w:rPr>
              <w:t>：</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生产管理</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1.负责公司产品的策划全过程，并制作技术、工艺文件；对技术文件的正确性合理性负责。</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2.本部门为公司技术的最终裁定部门。</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3.负责组织公司员工的技术、工艺培训与技术评测。</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4.贯彻执行国家法律、法规、政策，确保公司管理体系和合同要求的目标有计划的实施。</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5 实施公司的质量、环境和职业健康安全方针、目标，确保及时地、安全地完成质量、环境和职业健康安全目标、指管理方案。</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6.负责制订和实施生产制造计划，对产品制造全过程进行组织策划。</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7.负责预防产品制造过程的环境污染，疾病和伤害，对生产过程中环境和职业健康安全运行有效控制。</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8.负责产品质量、环境和职业健康安全目标的实现，确保产品性能的适用性。</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9.实施对生产资源、仪器仪表、生产现场、工作环境及生产作业的科学管理。</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10.负责对生产现场的标识、搬运和顾客财产、产品防护与不合格品的控制。</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11.负责向有关部门提供核心零部件的质量、环境和职业健康安全等相关信息。</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12.负责有计划地对部门员工进行岗位技能及质量、环境和职业健康安全意识的培训教育。</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13负责保存质量、环境和职业健康安全记录的原始依据，确保产品符合技术要求。</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14.制定应急准备和响应计划，当现场出现紧急情况时，负责具体实施；</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15.负责本部门环境因素和危险源的识别、评价与控制管理工作。</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16. 严格执行公司设备相关的管理制度，负责公司生产设备的安装、维修保养、更换、拆机等工作。</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质量管理</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1.负责根据顾客要求和法律法规要求，对产品实现过程进行策划</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2.负责产品标准和客户要求，编制工艺文件、作业指导书和检验规程</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3.负责采购、生产过程中产品抽检、最终产品的质量验证，提交验证报告；</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4.负责不合格品的控制情况；组织对严重不合格品的评审处置，跟踪、验证各部门纠正措施和预防措施的落实情况。</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5.负责本部门质量、环境和职业健康安全目标完成情况的考核监督。</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6.组织建立公司信息管理系统，组织开展数据分析工作，处理有关质量、环境和职业健康安全信息。</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7.负责对公司的监视和测量设备进行检定/检验和管理。</w:t>
            </w:r>
          </w:p>
          <w:p>
            <w:pPr>
              <w:ind w:firstLine="315" w:firstLineChars="150"/>
              <w:rPr>
                <w:rFonts w:hint="eastAsia" w:ascii="宋体" w:hAnsi="宋体" w:eastAsia="宋体" w:cs="宋体"/>
                <w:sz w:val="21"/>
                <w:szCs w:val="21"/>
              </w:rPr>
            </w:pPr>
            <w:r>
              <w:rPr>
                <w:rFonts w:hint="eastAsia" w:ascii="宋体" w:hAnsi="宋体" w:eastAsia="宋体" w:cs="宋体"/>
                <w:sz w:val="21"/>
                <w:szCs w:val="21"/>
              </w:rPr>
              <w:t>8.负责本部门环境因素和危险源的识别、评价与控制管理工作。</w:t>
            </w:r>
          </w:p>
          <w:p>
            <w:pPr>
              <w:ind w:firstLine="315" w:firstLineChars="1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w:t>
            </w:r>
            <w:r>
              <w:rPr>
                <w:rFonts w:hint="eastAsia" w:ascii="宋体" w:hAnsi="宋体" w:cs="宋体"/>
                <w:sz w:val="21"/>
                <w:szCs w:val="21"/>
                <w:lang w:val="en-US" w:eastAsia="zh-CN"/>
              </w:rPr>
              <w:t>部门</w:t>
            </w:r>
            <w:r>
              <w:rPr>
                <w:rFonts w:hint="eastAsia" w:ascii="宋体" w:hAnsi="宋体" w:eastAsia="宋体" w:cs="宋体"/>
                <w:sz w:val="21"/>
                <w:szCs w:val="21"/>
                <w:lang w:val="en-US" w:eastAsia="zh-CN"/>
              </w:rPr>
              <w:t>负责人张智</w:t>
            </w:r>
            <w:r>
              <w:rPr>
                <w:rFonts w:hint="eastAsia" w:ascii="宋体" w:hAnsi="宋体" w:cs="宋体"/>
                <w:sz w:val="21"/>
                <w:szCs w:val="21"/>
                <w:lang w:val="en-US" w:eastAsia="zh-CN"/>
              </w:rPr>
              <w:t>方</w:t>
            </w:r>
            <w:r>
              <w:rPr>
                <w:rFonts w:hint="eastAsia" w:ascii="宋体" w:hAnsi="宋体" w:eastAsia="宋体" w:cs="宋体"/>
                <w:sz w:val="21"/>
                <w:szCs w:val="21"/>
                <w:lang w:val="en-US" w:eastAsia="zh-CN"/>
              </w:rPr>
              <w:t>沟通，描述的职责和权限与一体化管理体系的职能分配表基本一致。</w:t>
            </w:r>
          </w:p>
        </w:tc>
        <w:tc>
          <w:tcPr>
            <w:tcW w:w="1585"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目标及其实现的策划</w:t>
            </w:r>
          </w:p>
        </w:tc>
        <w:tc>
          <w:tcPr>
            <w:tcW w:w="960" w:type="dxa"/>
          </w:tcPr>
          <w:p>
            <w:pPr>
              <w:pStyle w:val="21"/>
              <w:jc w:val="both"/>
              <w:rPr>
                <w:rFonts w:hint="eastAsia" w:ascii="宋体" w:hAnsi="宋体" w:eastAsia="宋体" w:cs="宋体"/>
                <w:color w:val="auto"/>
                <w:kern w:val="2"/>
                <w:sz w:val="21"/>
                <w:szCs w:val="21"/>
              </w:rPr>
            </w:pPr>
            <w:r>
              <w:rPr>
                <w:rFonts w:hint="eastAsia" w:hAnsi="宋体" w:cs="宋体"/>
                <w:color w:val="auto"/>
                <w:kern w:val="2"/>
                <w:sz w:val="21"/>
                <w:szCs w:val="21"/>
                <w:lang w:eastAsia="zh-CN"/>
              </w:rPr>
              <w:t>O</w:t>
            </w:r>
            <w:r>
              <w:rPr>
                <w:rFonts w:hint="eastAsia" w:ascii="宋体" w:hAnsi="宋体" w:eastAsia="宋体" w:cs="宋体"/>
                <w:color w:val="auto"/>
                <w:kern w:val="2"/>
                <w:sz w:val="21"/>
                <w:szCs w:val="21"/>
              </w:rPr>
              <w:t>6.2</w:t>
            </w:r>
          </w:p>
          <w:p>
            <w:pPr>
              <w:rPr>
                <w:rFonts w:hint="eastAsia" w:ascii="宋体" w:hAnsi="宋体" w:eastAsia="宋体" w:cs="宋体"/>
                <w:sz w:val="21"/>
                <w:szCs w:val="21"/>
              </w:rPr>
            </w:pPr>
          </w:p>
          <w:p>
            <w:pPr>
              <w:rPr>
                <w:rFonts w:hint="eastAsia" w:ascii="宋体" w:hAnsi="宋体" w:eastAsia="宋体" w:cs="宋体"/>
                <w:sz w:val="21"/>
                <w:szCs w:val="21"/>
              </w:rPr>
            </w:pPr>
          </w:p>
        </w:tc>
        <w:tc>
          <w:tcPr>
            <w:tcW w:w="10004" w:type="dxa"/>
          </w:tcPr>
          <w:p>
            <w:pPr>
              <w:pStyle w:val="2"/>
              <w:spacing w:line="360" w:lineRule="auto"/>
              <w:ind w:firstLine="460" w:firstLineChars="200"/>
              <w:rPr>
                <w:rFonts w:hint="eastAsia" w:ascii="宋体" w:hAnsi="宋体" w:cs="宋体"/>
                <w:sz w:val="21"/>
                <w:szCs w:val="21"/>
                <w:lang w:val="en-US" w:eastAsia="zh-CN"/>
              </w:rPr>
            </w:pP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196850</wp:posOffset>
                  </wp:positionH>
                  <wp:positionV relativeFrom="paragraph">
                    <wp:posOffset>375920</wp:posOffset>
                  </wp:positionV>
                  <wp:extent cx="6214745" cy="2619375"/>
                  <wp:effectExtent l="0" t="0" r="8255" b="9525"/>
                  <wp:wrapNone/>
                  <wp:docPr id="16" name="图片 16" descr="167472657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74726570082"/>
                          <pic:cNvPicPr>
                            <a:picLocks noChangeAspect="1"/>
                          </pic:cNvPicPr>
                        </pic:nvPicPr>
                        <pic:blipFill>
                          <a:blip r:embed="rId6"/>
                          <a:stretch>
                            <a:fillRect/>
                          </a:stretch>
                        </pic:blipFill>
                        <pic:spPr>
                          <a:xfrm>
                            <a:off x="0" y="0"/>
                            <a:ext cx="6214745" cy="2619375"/>
                          </a:xfrm>
                          <a:prstGeom prst="rect">
                            <a:avLst/>
                          </a:prstGeom>
                        </pic:spPr>
                      </pic:pic>
                    </a:graphicData>
                  </a:graphic>
                </wp:anchor>
              </w:drawing>
            </w:r>
            <w:r>
              <w:rPr>
                <w:rFonts w:hint="eastAsia" w:ascii="宋体" w:hAnsi="宋体" w:cs="宋体"/>
                <w:sz w:val="21"/>
                <w:szCs w:val="21"/>
                <w:lang w:val="en-US" w:eastAsia="zh-CN"/>
              </w:rPr>
              <w:t>查提供有部门目标及2022年第1</w:t>
            </w:r>
            <w:r>
              <w:rPr>
                <w:rFonts w:hint="eastAsia" w:ascii="微软雅黑" w:hAnsi="微软雅黑" w:eastAsia="微软雅黑" w:cs="微软雅黑"/>
                <w:sz w:val="21"/>
                <w:szCs w:val="21"/>
                <w:lang w:val="en-US" w:eastAsia="zh-CN"/>
              </w:rPr>
              <w:t>~</w:t>
            </w:r>
            <w:r>
              <w:rPr>
                <w:rFonts w:hint="eastAsia" w:ascii="宋体" w:hAnsi="宋体" w:cs="宋体"/>
                <w:sz w:val="21"/>
                <w:szCs w:val="21"/>
                <w:lang w:val="en-US" w:eastAsia="zh-CN"/>
              </w:rPr>
              <w:t>3季度完成情况</w:t>
            </w:r>
            <w:r>
              <w:rPr>
                <w:rFonts w:hint="eastAsia" w:ascii="宋体" w:hAnsi="宋体" w:eastAsia="宋体" w:cs="宋体"/>
                <w:sz w:val="21"/>
                <w:szCs w:val="21"/>
                <w:lang w:eastAsia="zh-CN"/>
              </w:rPr>
              <w:t>：</w:t>
            </w:r>
            <w:r>
              <w:rPr>
                <w:rFonts w:hint="eastAsia" w:ascii="宋体" w:hAnsi="宋体" w:cs="宋体"/>
                <w:sz w:val="21"/>
                <w:szCs w:val="21"/>
                <w:lang w:val="en-US" w:eastAsia="zh-CN"/>
              </w:rPr>
              <w:t>目标均已完成。</w:t>
            </w: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default" w:ascii="宋体" w:hAnsi="宋体" w:cs="宋体"/>
                <w:sz w:val="21"/>
                <w:szCs w:val="21"/>
                <w:lang w:val="en-US" w:eastAsia="zh-CN"/>
              </w:rPr>
            </w:pPr>
          </w:p>
          <w:p>
            <w:pPr>
              <w:pStyle w:val="2"/>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bidi="ar-SA"/>
              </w:rPr>
              <w:t>部门</w:t>
            </w:r>
            <w:r>
              <w:rPr>
                <w:rFonts w:hint="eastAsia" w:ascii="宋体" w:hAnsi="宋体" w:eastAsia="宋体" w:cs="宋体"/>
                <w:sz w:val="21"/>
                <w:szCs w:val="21"/>
              </w:rPr>
              <w:t>目标与分解基本合理，均有相应的统计方法、管理方案和监视频率，责任部门和责任人明确，基本满足控制要求。</w:t>
            </w:r>
          </w:p>
        </w:tc>
        <w:tc>
          <w:tcPr>
            <w:tcW w:w="1585"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危险源辨识与评价</w:t>
            </w:r>
          </w:p>
        </w:tc>
        <w:tc>
          <w:tcPr>
            <w:tcW w:w="960" w:type="dxa"/>
          </w:tcPr>
          <w:p>
            <w:pPr>
              <w:rPr>
                <w:rFonts w:hint="eastAsia" w:ascii="宋体" w:hAnsi="宋体" w:eastAsia="宋体" w:cs="宋体"/>
                <w:sz w:val="21"/>
                <w:szCs w:val="21"/>
              </w:rPr>
            </w:pPr>
            <w:r>
              <w:rPr>
                <w:rFonts w:hint="eastAsia" w:ascii="宋体" w:hAnsi="宋体" w:cs="宋体"/>
                <w:sz w:val="21"/>
                <w:szCs w:val="21"/>
                <w:lang w:eastAsia="zh-CN"/>
              </w:rPr>
              <w:t>O</w:t>
            </w:r>
            <w:r>
              <w:rPr>
                <w:rFonts w:hint="eastAsia" w:ascii="宋体" w:hAnsi="宋体" w:eastAsia="宋体" w:cs="宋体"/>
                <w:sz w:val="21"/>
                <w:szCs w:val="21"/>
              </w:rPr>
              <w:t>6.1.2</w:t>
            </w:r>
          </w:p>
          <w:p>
            <w:pPr>
              <w:rPr>
                <w:rFonts w:hint="eastAsia" w:ascii="宋体" w:hAnsi="宋体" w:eastAsia="宋体" w:cs="宋体"/>
                <w:sz w:val="21"/>
                <w:szCs w:val="21"/>
              </w:rPr>
            </w:pPr>
          </w:p>
        </w:tc>
        <w:tc>
          <w:tcPr>
            <w:tcW w:w="10004" w:type="dxa"/>
          </w:tcPr>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组织根据手册6.1.2条款、《危险源识别及风险评价控制程序》要求，由</w:t>
            </w:r>
            <w:r>
              <w:rPr>
                <w:rFonts w:hint="eastAsia" w:ascii="宋体" w:hAnsi="宋体" w:cs="宋体"/>
                <w:bCs w:val="0"/>
                <w:spacing w:val="0"/>
                <w:kern w:val="2"/>
                <w:sz w:val="21"/>
                <w:szCs w:val="21"/>
                <w:lang w:val="en-US" w:eastAsia="zh-CN" w:bidi="ar-SA"/>
              </w:rPr>
              <w:t>办公室</w:t>
            </w:r>
            <w:r>
              <w:rPr>
                <w:rFonts w:hint="eastAsia" w:ascii="宋体" w:hAnsi="宋体" w:eastAsia="宋体" w:cs="宋体"/>
                <w:bCs w:val="0"/>
                <w:spacing w:val="0"/>
                <w:kern w:val="2"/>
                <w:sz w:val="21"/>
                <w:szCs w:val="21"/>
                <w:lang w:val="en-US" w:eastAsia="zh-CN" w:bidi="ar-SA"/>
              </w:rPr>
              <w:t>负责编制《危险源风险辨识和评价表》，指导各职能部门（基层单位）开展危险、有害因素风险识别、评价，负责各职能部门（基层单位）风险评价记录的审查与控制效果有效性验证。</w:t>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drawing>
                <wp:anchor distT="0" distB="0" distL="114300" distR="114300" simplePos="0" relativeHeight="251664384" behindDoc="0" locked="0" layoutInCell="1" allowOverlap="1">
                  <wp:simplePos x="0" y="0"/>
                  <wp:positionH relativeFrom="column">
                    <wp:posOffset>4108450</wp:posOffset>
                  </wp:positionH>
                  <wp:positionV relativeFrom="paragraph">
                    <wp:posOffset>59055</wp:posOffset>
                  </wp:positionV>
                  <wp:extent cx="2169160" cy="1489075"/>
                  <wp:effectExtent l="0" t="0" r="2540" b="9525"/>
                  <wp:wrapNone/>
                  <wp:docPr id="39" name="图片 39" descr="167472741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674727410766"/>
                          <pic:cNvPicPr>
                            <a:picLocks noChangeAspect="1"/>
                          </pic:cNvPicPr>
                        </pic:nvPicPr>
                        <pic:blipFill>
                          <a:blip r:embed="rId7"/>
                          <a:stretch>
                            <a:fillRect/>
                          </a:stretch>
                        </pic:blipFill>
                        <pic:spPr>
                          <a:xfrm>
                            <a:off x="0" y="0"/>
                            <a:ext cx="2169160" cy="1489075"/>
                          </a:xfrm>
                          <a:prstGeom prst="rect">
                            <a:avLst/>
                          </a:prstGeom>
                        </pic:spPr>
                      </pic:pic>
                    </a:graphicData>
                  </a:graphic>
                </wp:anchor>
              </w:drawing>
            </w:r>
            <w:r>
              <w:rPr>
                <w:rFonts w:hint="eastAsia" w:ascii="宋体" w:hAnsi="宋体" w:eastAsia="宋体" w:cs="宋体"/>
                <w:bCs w:val="0"/>
                <w:spacing w:val="0"/>
                <w:kern w:val="2"/>
                <w:sz w:val="21"/>
                <w:szCs w:val="21"/>
                <w:lang w:val="en-US" w:eastAsia="zh-CN" w:bidi="ar-SA"/>
              </w:rPr>
              <w:drawing>
                <wp:anchor distT="0" distB="0" distL="114300" distR="114300" simplePos="0" relativeHeight="251663360" behindDoc="0" locked="0" layoutInCell="1" allowOverlap="1">
                  <wp:simplePos x="0" y="0"/>
                  <wp:positionH relativeFrom="column">
                    <wp:posOffset>2032635</wp:posOffset>
                  </wp:positionH>
                  <wp:positionV relativeFrom="paragraph">
                    <wp:posOffset>57785</wp:posOffset>
                  </wp:positionV>
                  <wp:extent cx="2071370" cy="1512570"/>
                  <wp:effectExtent l="0" t="0" r="11430" b="11430"/>
                  <wp:wrapNone/>
                  <wp:docPr id="38" name="图片 38" descr="167472736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674727360852"/>
                          <pic:cNvPicPr>
                            <a:picLocks noChangeAspect="1"/>
                          </pic:cNvPicPr>
                        </pic:nvPicPr>
                        <pic:blipFill>
                          <a:blip r:embed="rId8"/>
                          <a:stretch>
                            <a:fillRect/>
                          </a:stretch>
                        </pic:blipFill>
                        <pic:spPr>
                          <a:xfrm>
                            <a:off x="0" y="0"/>
                            <a:ext cx="2071370" cy="1512570"/>
                          </a:xfrm>
                          <a:prstGeom prst="rect">
                            <a:avLst/>
                          </a:prstGeom>
                        </pic:spPr>
                      </pic:pic>
                    </a:graphicData>
                  </a:graphic>
                </wp:anchor>
              </w:drawing>
            </w:r>
            <w:r>
              <w:rPr>
                <w:rFonts w:hint="eastAsia" w:ascii="宋体" w:hAnsi="宋体" w:eastAsia="宋体" w:cs="宋体"/>
                <w:bCs w:val="0"/>
                <w:spacing w:val="0"/>
                <w:kern w:val="2"/>
                <w:sz w:val="21"/>
                <w:szCs w:val="21"/>
                <w:lang w:val="en-US" w:eastAsia="zh-CN" w:bidi="ar-SA"/>
              </w:rPr>
              <w:drawing>
                <wp:anchor distT="0" distB="0" distL="114300" distR="114300" simplePos="0" relativeHeight="251662336" behindDoc="0" locked="0" layoutInCell="1" allowOverlap="1">
                  <wp:simplePos x="0" y="0"/>
                  <wp:positionH relativeFrom="column">
                    <wp:posOffset>-31115</wp:posOffset>
                  </wp:positionH>
                  <wp:positionV relativeFrom="paragraph">
                    <wp:posOffset>55245</wp:posOffset>
                  </wp:positionV>
                  <wp:extent cx="2137410" cy="1533525"/>
                  <wp:effectExtent l="0" t="0" r="8890" b="3175"/>
                  <wp:wrapNone/>
                  <wp:docPr id="37" name="图片 37" descr="16747273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674727300209"/>
                          <pic:cNvPicPr>
                            <a:picLocks noChangeAspect="1"/>
                          </pic:cNvPicPr>
                        </pic:nvPicPr>
                        <pic:blipFill>
                          <a:blip r:embed="rId9"/>
                          <a:stretch>
                            <a:fillRect/>
                          </a:stretch>
                        </pic:blipFill>
                        <pic:spPr>
                          <a:xfrm>
                            <a:off x="0" y="0"/>
                            <a:ext cx="2137410" cy="1533525"/>
                          </a:xfrm>
                          <a:prstGeom prst="rect">
                            <a:avLst/>
                          </a:prstGeom>
                        </pic:spPr>
                      </pic:pic>
                    </a:graphicData>
                  </a:graphic>
                </wp:anchor>
              </w:drawing>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组织有建立、更新《不可接受风险清单》。抽查组织不可接受风险内容如下：</w:t>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drawing>
                <wp:anchor distT="0" distB="0" distL="114300" distR="114300" simplePos="0" relativeHeight="251661312" behindDoc="0" locked="0" layoutInCell="1" allowOverlap="1">
                  <wp:simplePos x="0" y="0"/>
                  <wp:positionH relativeFrom="column">
                    <wp:posOffset>190500</wp:posOffset>
                  </wp:positionH>
                  <wp:positionV relativeFrom="paragraph">
                    <wp:posOffset>33655</wp:posOffset>
                  </wp:positionV>
                  <wp:extent cx="3644265" cy="2133600"/>
                  <wp:effectExtent l="0" t="0" r="635" b="0"/>
                  <wp:wrapNone/>
                  <wp:docPr id="33" name="图片 33" descr="167471859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74718593158"/>
                          <pic:cNvPicPr>
                            <a:picLocks noChangeAspect="1"/>
                          </pic:cNvPicPr>
                        </pic:nvPicPr>
                        <pic:blipFill>
                          <a:blip r:embed="rId10"/>
                          <a:stretch>
                            <a:fillRect/>
                          </a:stretch>
                        </pic:blipFill>
                        <pic:spPr>
                          <a:xfrm>
                            <a:off x="0" y="0"/>
                            <a:ext cx="3644265" cy="2133600"/>
                          </a:xfrm>
                          <a:prstGeom prst="rect">
                            <a:avLst/>
                          </a:prstGeom>
                        </pic:spPr>
                      </pic:pic>
                    </a:graphicData>
                  </a:graphic>
                </wp:anchor>
              </w:drawing>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bCs w:val="0"/>
                <w:spacing w:val="0"/>
                <w:kern w:val="2"/>
                <w:sz w:val="21"/>
                <w:szCs w:val="21"/>
                <w:lang w:val="en-US" w:eastAsia="zh-CN" w:bidi="ar-SA"/>
              </w:rPr>
              <w:t>组织的职业健康安全风险与危险源辨识清单判定的内容一致，</w:t>
            </w:r>
            <w:r>
              <w:rPr>
                <w:rFonts w:hint="eastAsia" w:ascii="宋体" w:hAnsi="宋体" w:cs="宋体"/>
                <w:bCs w:val="0"/>
                <w:spacing w:val="0"/>
                <w:kern w:val="2"/>
                <w:sz w:val="21"/>
                <w:szCs w:val="21"/>
                <w:lang w:val="en-US" w:eastAsia="zh-CN" w:bidi="ar-SA"/>
              </w:rPr>
              <w:t>生技部</w:t>
            </w:r>
            <w:r>
              <w:rPr>
                <w:rFonts w:hint="eastAsia" w:ascii="宋体" w:hAnsi="宋体" w:eastAsia="宋体" w:cs="宋体"/>
                <w:bCs w:val="0"/>
                <w:spacing w:val="0"/>
                <w:kern w:val="2"/>
                <w:sz w:val="21"/>
                <w:szCs w:val="21"/>
                <w:lang w:val="en-US" w:eastAsia="zh-CN" w:bidi="ar-SA"/>
              </w:rPr>
              <w:t>负责人</w:t>
            </w:r>
            <w:r>
              <w:rPr>
                <w:rFonts w:hint="eastAsia" w:ascii="宋体" w:hAnsi="宋体" w:cs="宋体"/>
                <w:bCs w:val="0"/>
                <w:spacing w:val="0"/>
                <w:kern w:val="2"/>
                <w:sz w:val="21"/>
                <w:szCs w:val="21"/>
                <w:lang w:val="en-US" w:eastAsia="zh-CN" w:bidi="ar-SA"/>
              </w:rPr>
              <w:t>张智方</w:t>
            </w:r>
            <w:r>
              <w:rPr>
                <w:rFonts w:hint="eastAsia" w:ascii="宋体" w:hAnsi="宋体" w:eastAsia="宋体" w:cs="宋体"/>
                <w:bCs w:val="0"/>
                <w:spacing w:val="0"/>
                <w:kern w:val="2"/>
                <w:sz w:val="21"/>
                <w:szCs w:val="21"/>
                <w:lang w:val="en-US" w:eastAsia="zh-CN" w:bidi="ar-SA"/>
              </w:rPr>
              <w:t>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1585"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运行控制</w:t>
            </w:r>
          </w:p>
        </w:tc>
        <w:tc>
          <w:tcPr>
            <w:tcW w:w="960" w:type="dxa"/>
          </w:tcPr>
          <w:p>
            <w:pPr>
              <w:rPr>
                <w:rFonts w:hint="eastAsia" w:ascii="宋体" w:hAnsi="宋体" w:eastAsia="宋体" w:cs="宋体"/>
                <w:spacing w:val="-16"/>
                <w:sz w:val="21"/>
                <w:szCs w:val="21"/>
              </w:rPr>
            </w:pPr>
            <w:r>
              <w:rPr>
                <w:rFonts w:hint="eastAsia" w:ascii="宋体" w:hAnsi="宋体" w:cs="宋体"/>
                <w:spacing w:val="-16"/>
                <w:sz w:val="21"/>
                <w:szCs w:val="21"/>
                <w:lang w:eastAsia="zh-CN"/>
              </w:rPr>
              <w:t>O</w:t>
            </w:r>
            <w:r>
              <w:rPr>
                <w:rFonts w:hint="eastAsia" w:ascii="宋体" w:hAnsi="宋体" w:eastAsia="宋体" w:cs="宋体"/>
                <w:spacing w:val="-16"/>
                <w:sz w:val="21"/>
                <w:szCs w:val="21"/>
              </w:rPr>
              <w:t>8.1</w:t>
            </w:r>
          </w:p>
          <w:p>
            <w:pPr>
              <w:rPr>
                <w:rFonts w:hint="eastAsia" w:ascii="宋体" w:hAnsi="宋体" w:eastAsia="宋体" w:cs="宋体"/>
                <w:sz w:val="21"/>
                <w:szCs w:val="21"/>
              </w:rPr>
            </w:pPr>
          </w:p>
        </w:tc>
        <w:tc>
          <w:tcPr>
            <w:tcW w:w="10004" w:type="dxa"/>
            <w:vAlign w:val="center"/>
          </w:tcPr>
          <w:p>
            <w:pPr>
              <w:spacing w:line="360" w:lineRule="auto"/>
              <w:ind w:firstLine="420" w:firstLineChars="200"/>
              <w:jc w:val="left"/>
              <w:rPr>
                <w:rFonts w:hint="eastAsia"/>
                <w:lang w:val="en-US" w:eastAsia="zh-CN"/>
              </w:rPr>
            </w:pPr>
            <w:r>
              <w:rPr>
                <w:rFonts w:hint="eastAsia"/>
                <w:lang w:val="en-US" w:eastAsia="zh-CN"/>
              </w:rPr>
              <w:t>与负责人沟通，负责对生产过程中潜在的不安全隐患和健康危害并采取控制措施的监督管理以及对相关方职业健康表现的监督管理。部门执行的运行控制文件包括：《环境和职业健康安全运行控制程序》等。</w:t>
            </w:r>
          </w:p>
          <w:p>
            <w:pPr>
              <w:spacing w:line="360" w:lineRule="auto"/>
              <w:ind w:firstLine="420" w:firstLineChars="200"/>
              <w:jc w:val="left"/>
              <w:rPr>
                <w:rFonts w:hint="eastAsia"/>
                <w:lang w:val="en-US" w:eastAsia="zh-CN"/>
              </w:rPr>
            </w:pPr>
            <w:r>
              <w:rPr>
                <w:rFonts w:hint="eastAsia"/>
                <w:lang w:val="en-US" w:eastAsia="zh-CN"/>
              </w:rPr>
              <w:t>运行控制情况：</w:t>
            </w:r>
          </w:p>
          <w:p>
            <w:pPr>
              <w:spacing w:line="360" w:lineRule="auto"/>
              <w:ind w:firstLine="420" w:firstLineChars="200"/>
              <w:jc w:val="left"/>
              <w:rPr>
                <w:rFonts w:hint="eastAsia"/>
                <w:lang w:val="en-US" w:eastAsia="zh-CN"/>
              </w:rPr>
            </w:pPr>
            <w:r>
              <w:rPr>
                <w:rFonts w:hint="eastAsia"/>
                <w:lang w:val="en-US" w:eastAsia="zh-CN"/>
              </w:rPr>
              <w:t>生产过程中使用设备有中频感应电炉、调质炉、离心机、数控车床、钻床、铣床、埋弧焊机、锯床、起重设备、布袋除尘器、焊烟净化器等，进行日常维护保养，定期检查风机电机和传动系统；清理吸附装置内杂物，检查吸附装置各部位气密性等，目前使用情况良好。</w:t>
            </w:r>
          </w:p>
          <w:p>
            <w:pPr>
              <w:spacing w:line="360" w:lineRule="auto"/>
              <w:ind w:firstLine="420" w:firstLineChars="200"/>
              <w:jc w:val="left"/>
              <w:rPr>
                <w:rFonts w:hint="eastAsia"/>
                <w:lang w:val="en-US" w:eastAsia="zh-CN"/>
              </w:rPr>
            </w:pPr>
            <w:r>
              <w:rPr>
                <w:rFonts w:hint="eastAsia"/>
                <w:lang w:val="en-US" w:eastAsia="zh-CN"/>
              </w:rPr>
              <w:t>查特种设备年检情况：</w:t>
            </w:r>
          </w:p>
          <w:p>
            <w:pPr>
              <w:spacing w:line="360" w:lineRule="auto"/>
              <w:ind w:firstLine="422" w:firstLineChars="200"/>
              <w:jc w:val="left"/>
              <w:rPr>
                <w:rFonts w:hint="default"/>
                <w:lang w:val="en-US" w:eastAsia="zh-CN"/>
              </w:rPr>
            </w:pPr>
            <w:r>
              <w:rPr>
                <w:rFonts w:hint="eastAsia"/>
                <w:b/>
                <w:bCs/>
                <w:color w:val="FF0000"/>
                <w:lang w:val="en-US" w:eastAsia="zh-CN"/>
              </w:rPr>
              <w:t>查提供“单位内编号：2008101791 桥式起重机报告”下次检验日期：2022年01月，已过期。</w:t>
            </w:r>
            <w:r>
              <w:rPr>
                <w:rFonts w:hint="eastAsia"/>
                <w:lang w:val="en-US" w:eastAsia="zh-CN"/>
              </w:rPr>
              <w:t>进一步检查其它起重设备年检均在有效期内。</w:t>
            </w:r>
          </w:p>
          <w:p>
            <w:pPr>
              <w:spacing w:line="360" w:lineRule="auto"/>
              <w:ind w:firstLine="420" w:firstLineChars="200"/>
              <w:jc w:val="left"/>
              <w:rPr>
                <w:rFonts w:hint="eastAsia"/>
                <w:lang w:val="en-US" w:eastAsia="zh-CN"/>
              </w:rPr>
            </w:pPr>
            <w:r>
              <w:rPr>
                <w:rFonts w:hint="eastAsia"/>
                <w:lang w:val="en-US" w:eastAsia="zh-CN"/>
              </w:rPr>
              <w:t>抽查职业健康安全运行的策划与控制实施</w:t>
            </w:r>
          </w:p>
          <w:p>
            <w:pPr>
              <w:spacing w:line="360" w:lineRule="auto"/>
              <w:ind w:firstLine="420" w:firstLineChars="200"/>
              <w:jc w:val="left"/>
              <w:rPr>
                <w:rFonts w:hint="eastAsia"/>
                <w:lang w:val="en-US" w:eastAsia="zh-CN"/>
              </w:rPr>
            </w:pPr>
            <w:r>
              <w:rPr>
                <w:rFonts w:hint="eastAsia"/>
                <w:lang w:val="en-US" w:eastAsia="zh-CN"/>
              </w:rPr>
              <w:t>1）机械伤害:</w:t>
            </w:r>
          </w:p>
          <w:p>
            <w:pPr>
              <w:spacing w:line="360" w:lineRule="auto"/>
              <w:ind w:firstLine="420" w:firstLineChars="200"/>
              <w:jc w:val="left"/>
              <w:rPr>
                <w:rFonts w:hint="eastAsia"/>
                <w:lang w:val="en-US" w:eastAsia="zh-CN"/>
              </w:rPr>
            </w:pPr>
            <w:r>
              <w:rPr>
                <w:rFonts w:hint="eastAsia"/>
                <w:lang w:val="en-US" w:eastAsia="zh-CN"/>
              </w:rPr>
              <w:t>对人员安全进行培训；加强设备管理；加强对操作制度的完善、加强防护措施，操作人员操作时，佩戴劳保防护用品等。</w:t>
            </w:r>
          </w:p>
          <w:p>
            <w:pPr>
              <w:spacing w:line="360" w:lineRule="auto"/>
              <w:ind w:firstLine="420" w:firstLineChars="200"/>
              <w:jc w:val="left"/>
              <w:rPr>
                <w:rFonts w:hint="eastAsia"/>
                <w:lang w:val="en-US" w:eastAsia="zh-CN"/>
              </w:rPr>
            </w:pPr>
            <w:r>
              <w:rPr>
                <w:rFonts w:hint="eastAsia"/>
                <w:lang w:val="en-US" w:eastAsia="zh-CN"/>
              </w:rPr>
              <w:t>2）高温灼伤：</w:t>
            </w:r>
          </w:p>
          <w:p>
            <w:pPr>
              <w:spacing w:line="360" w:lineRule="auto"/>
              <w:ind w:firstLine="420" w:firstLineChars="200"/>
              <w:jc w:val="left"/>
              <w:rPr>
                <w:rFonts w:hint="eastAsia"/>
                <w:lang w:val="en-US" w:eastAsia="zh-CN"/>
              </w:rPr>
            </w:pPr>
            <w:r>
              <w:rPr>
                <w:rFonts w:hint="eastAsia"/>
                <w:lang w:val="en-US" w:eastAsia="zh-CN"/>
              </w:rPr>
              <w:t>严格按照操作规程进行电炉操作，浇注；要求员工岗位工作穿长袖，佩戴好劳保手套等防护用品；现场配备烫伤药品。远程查看，在浇注车间，主要控制高温烫伤，现场有警示标识，操作员工均穿戴有工作服、佩戴有手套，操作符合要求。远程查看，设备设施都有行程开关，设施运行完好。</w:t>
            </w:r>
          </w:p>
          <w:p>
            <w:pPr>
              <w:numPr>
                <w:ilvl w:val="0"/>
                <w:numId w:val="1"/>
              </w:numPr>
              <w:spacing w:line="360" w:lineRule="auto"/>
              <w:ind w:firstLine="420" w:firstLineChars="200"/>
              <w:jc w:val="left"/>
              <w:rPr>
                <w:rFonts w:hint="eastAsia"/>
                <w:lang w:val="en-US" w:eastAsia="zh-CN"/>
              </w:rPr>
            </w:pPr>
            <w:r>
              <w:rPr>
                <w:rFonts w:hint="eastAsia"/>
                <w:lang w:val="en-US" w:eastAsia="zh-CN"/>
              </w:rPr>
              <w:t>火灾爆炸的控制：</w:t>
            </w:r>
          </w:p>
          <w:p>
            <w:pPr>
              <w:numPr>
                <w:ilvl w:val="0"/>
                <w:numId w:val="0"/>
              </w:numPr>
              <w:spacing w:line="360" w:lineRule="auto"/>
              <w:ind w:leftChars="200"/>
              <w:jc w:val="left"/>
              <w:rPr>
                <w:rFonts w:hint="eastAsia"/>
                <w:lang w:val="en-US" w:eastAsia="zh-CN"/>
              </w:rPr>
            </w:pPr>
            <w:r>
              <w:rPr>
                <w:rFonts w:hint="eastAsia"/>
                <w:lang w:val="en-US" w:eastAsia="zh-CN"/>
              </w:rPr>
              <w:t>a） 消防设备的配置；b）消防小组的成立；c）应急准备预案的制定；d）岗前培训；e)消防演习。</w:t>
            </w:r>
          </w:p>
          <w:p>
            <w:pPr>
              <w:spacing w:line="360" w:lineRule="auto"/>
              <w:ind w:firstLine="420" w:firstLineChars="200"/>
              <w:jc w:val="left"/>
              <w:rPr>
                <w:rFonts w:hint="eastAsia"/>
                <w:lang w:val="en-US" w:eastAsia="zh-CN"/>
              </w:rPr>
            </w:pPr>
            <w:r>
              <w:rPr>
                <w:rFonts w:hint="eastAsia"/>
                <w:lang w:val="en-US" w:eastAsia="zh-CN"/>
              </w:rPr>
              <w:t>办公区域配备有灭火器，办公室设备、电器状态良好，无安全隐患。</w:t>
            </w:r>
          </w:p>
          <w:p>
            <w:pPr>
              <w:spacing w:line="360" w:lineRule="auto"/>
              <w:ind w:firstLine="420" w:firstLineChars="200"/>
              <w:jc w:val="left"/>
              <w:rPr>
                <w:rFonts w:hint="eastAsia"/>
                <w:lang w:val="en-US" w:eastAsia="zh-CN"/>
              </w:rPr>
            </w:pPr>
            <w:r>
              <w:rPr>
                <w:rFonts w:hint="eastAsia"/>
                <w:lang w:val="en-US" w:eastAsia="zh-CN"/>
              </w:rPr>
              <w:t>公司制订了火灾预防管理规定、应急管理规定；在车间及办公场所均设置了消防栓、灭火器、消防斧、消防沙等；查，生技部员工定期参加了办公室组织的消防、应急、逃生培训和演习。</w:t>
            </w:r>
          </w:p>
          <w:p>
            <w:pPr>
              <w:spacing w:line="360" w:lineRule="auto"/>
              <w:ind w:firstLine="420" w:firstLineChars="200"/>
              <w:jc w:val="left"/>
              <w:rPr>
                <w:rFonts w:hint="eastAsia"/>
                <w:lang w:val="en-US" w:eastAsia="zh-CN"/>
              </w:rPr>
            </w:pPr>
            <w:r>
              <w:rPr>
                <w:rFonts w:hint="eastAsia"/>
                <w:lang w:val="en-US" w:eastAsia="zh-CN"/>
              </w:rPr>
              <w:t>火灾爆炸预防管理基本符合要求。</w:t>
            </w:r>
          </w:p>
          <w:p>
            <w:pPr>
              <w:spacing w:line="360" w:lineRule="auto"/>
              <w:ind w:firstLine="420" w:firstLineChars="200"/>
              <w:jc w:val="left"/>
              <w:rPr>
                <w:rFonts w:hint="eastAsia"/>
                <w:lang w:val="en-US" w:eastAsia="zh-CN"/>
              </w:rPr>
            </w:pPr>
            <w:r>
              <w:rPr>
                <w:rFonts w:hint="eastAsia"/>
                <w:lang w:val="en-US" w:eastAsia="zh-CN"/>
              </w:rPr>
              <w:t>4）触电管理：公司规定了安全供电的管理要求，所有电气设备定期进行维护；查，公司生产场地的电器设备、电缆、配电设施完好，设置规范，无不符合情况。</w:t>
            </w:r>
          </w:p>
          <w:p>
            <w:pPr>
              <w:spacing w:line="360" w:lineRule="auto"/>
              <w:ind w:firstLine="420" w:firstLineChars="200"/>
              <w:jc w:val="left"/>
              <w:rPr>
                <w:rFonts w:hint="eastAsia"/>
                <w:lang w:val="en-US" w:eastAsia="zh-CN"/>
              </w:rPr>
            </w:pPr>
            <w:r>
              <w:rPr>
                <w:rFonts w:hint="eastAsia"/>
                <w:lang w:val="en-US" w:eastAsia="zh-CN"/>
              </w:rPr>
              <w:t>5）噪声控制管理：</w:t>
            </w:r>
          </w:p>
          <w:p>
            <w:pPr>
              <w:spacing w:line="360" w:lineRule="auto"/>
              <w:ind w:firstLine="420" w:firstLineChars="200"/>
              <w:jc w:val="left"/>
              <w:rPr>
                <w:rFonts w:hint="eastAsia"/>
                <w:lang w:val="en-US" w:eastAsia="zh-CN"/>
              </w:rPr>
            </w:pPr>
            <w:r>
              <w:rPr>
                <w:rFonts w:hint="eastAsia"/>
                <w:lang w:val="en-US" w:eastAsia="zh-CN"/>
              </w:rPr>
              <w:t>主要为生产过程设备运行噪声。在岗位上采取耳塞的方式进行噪声防护，控制噪声对身体的影响。</w:t>
            </w:r>
          </w:p>
          <w:p>
            <w:pPr>
              <w:spacing w:line="360" w:lineRule="auto"/>
              <w:ind w:firstLine="420" w:firstLineChars="200"/>
              <w:jc w:val="left"/>
              <w:rPr>
                <w:rFonts w:hint="default"/>
                <w:lang w:val="en-US" w:eastAsia="zh-CN"/>
              </w:rPr>
            </w:pPr>
            <w:r>
              <w:rPr>
                <w:rFonts w:hint="eastAsia"/>
                <w:lang w:val="en-US" w:eastAsia="zh-CN"/>
              </w:rPr>
              <w:t>查看《环境/安全检查记录表》查提供有2022年第三季度消防安全检查记录，检查情况均符合要求。</w:t>
            </w:r>
          </w:p>
          <w:p>
            <w:pPr>
              <w:spacing w:line="360" w:lineRule="auto"/>
              <w:ind w:firstLine="420" w:firstLineChars="200"/>
              <w:jc w:val="left"/>
              <w:rPr>
                <w:rFonts w:hint="eastAsia"/>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264795</wp:posOffset>
                  </wp:positionH>
                  <wp:positionV relativeFrom="paragraph">
                    <wp:posOffset>41275</wp:posOffset>
                  </wp:positionV>
                  <wp:extent cx="3928110" cy="1118870"/>
                  <wp:effectExtent l="0" t="0" r="8890" b="11430"/>
                  <wp:wrapNone/>
                  <wp:docPr id="40" name="图片 40" descr="167472056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674720566874"/>
                          <pic:cNvPicPr>
                            <a:picLocks noChangeAspect="1"/>
                          </pic:cNvPicPr>
                        </pic:nvPicPr>
                        <pic:blipFill>
                          <a:blip r:embed="rId11"/>
                          <a:stretch>
                            <a:fillRect/>
                          </a:stretch>
                        </pic:blipFill>
                        <pic:spPr>
                          <a:xfrm>
                            <a:off x="0" y="0"/>
                            <a:ext cx="3928110" cy="1118870"/>
                          </a:xfrm>
                          <a:prstGeom prst="rect">
                            <a:avLst/>
                          </a:prstGeom>
                        </pic:spPr>
                      </pic:pic>
                    </a:graphicData>
                  </a:graphic>
                </wp:anchor>
              </w:drawing>
            </w: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r>
              <w:rPr>
                <w:rFonts w:hint="eastAsia"/>
                <w:lang w:val="en-US" w:eastAsia="zh-CN"/>
              </w:rPr>
              <w:t>在风险控制方面策划了：风险和机遇控制程序、绩效检测控制程序、管理制度、应急准备及响应程序等。</w:t>
            </w:r>
          </w:p>
          <w:p>
            <w:pPr>
              <w:spacing w:line="360" w:lineRule="auto"/>
              <w:ind w:firstLine="420" w:firstLineChars="200"/>
              <w:jc w:val="left"/>
              <w:rPr>
                <w:rFonts w:hint="eastAsia"/>
                <w:lang w:val="en-US" w:eastAsia="zh-CN"/>
              </w:rPr>
            </w:pPr>
            <w:r>
              <w:rPr>
                <w:rFonts w:hint="eastAsia"/>
                <w:lang w:val="en-US" w:eastAsia="zh-CN"/>
              </w:rPr>
              <w:t>查体系运行检查记录表</w:t>
            </w:r>
          </w:p>
          <w:p>
            <w:pPr>
              <w:pStyle w:val="2"/>
              <w:rPr>
                <w:rFonts w:hint="eastAsia"/>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285115</wp:posOffset>
                  </wp:positionH>
                  <wp:positionV relativeFrom="paragraph">
                    <wp:posOffset>207010</wp:posOffset>
                  </wp:positionV>
                  <wp:extent cx="4244340" cy="1366520"/>
                  <wp:effectExtent l="0" t="0" r="10160" b="5080"/>
                  <wp:wrapNone/>
                  <wp:docPr id="42" name="图片 42" descr="167472076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674720765565"/>
                          <pic:cNvPicPr>
                            <a:picLocks noChangeAspect="1"/>
                          </pic:cNvPicPr>
                        </pic:nvPicPr>
                        <pic:blipFill>
                          <a:blip r:embed="rId12"/>
                          <a:stretch>
                            <a:fillRect/>
                          </a:stretch>
                        </pic:blipFill>
                        <pic:spPr>
                          <a:xfrm>
                            <a:off x="0" y="0"/>
                            <a:ext cx="4244340" cy="136652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运行策划和控制符合要求</w:t>
            </w:r>
            <w:r>
              <w:rPr>
                <w:rFonts w:hint="eastAsia" w:ascii="宋体" w:hAnsi="宋体" w:cs="宋体"/>
                <w:sz w:val="21"/>
                <w:szCs w:val="21"/>
                <w:lang w:val="en-US" w:eastAsia="zh-CN"/>
              </w:rPr>
              <w:t>。</w:t>
            </w:r>
          </w:p>
        </w:tc>
        <w:tc>
          <w:tcPr>
            <w:tcW w:w="1585" w:type="dxa"/>
          </w:tcPr>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eastAsia="宋体"/>
                <w:lang w:val="en-US" w:eastAsia="zh-CN"/>
              </w:rPr>
            </w:pPr>
            <w:r>
              <w:rPr>
                <w:rFonts w:hint="eastAsia"/>
                <w:b/>
                <w:bCs w:val="0"/>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1"/>
                <w:szCs w:val="21"/>
              </w:rPr>
            </w:pPr>
            <w:r>
              <w:rPr>
                <w:rFonts w:hint="eastAsia" w:ascii="宋体" w:hAnsi="宋体" w:eastAsia="宋体" w:cs="宋体"/>
                <w:bCs/>
                <w:sz w:val="21"/>
                <w:szCs w:val="21"/>
              </w:rPr>
              <w:t>应急准备和响应</w:t>
            </w:r>
          </w:p>
        </w:tc>
        <w:tc>
          <w:tcPr>
            <w:tcW w:w="960" w:type="dxa"/>
            <w:vAlign w:val="top"/>
          </w:tcPr>
          <w:p>
            <w:pPr>
              <w:rPr>
                <w:rFonts w:hint="eastAsia" w:ascii="宋体" w:hAnsi="宋体" w:eastAsia="宋体" w:cs="宋体"/>
                <w:b/>
                <w:sz w:val="21"/>
                <w:szCs w:val="21"/>
              </w:rPr>
            </w:pPr>
            <w:r>
              <w:rPr>
                <w:rFonts w:hint="eastAsia" w:ascii="宋体" w:hAnsi="宋体" w:cs="宋体"/>
                <w:b/>
                <w:sz w:val="21"/>
                <w:szCs w:val="21"/>
                <w:lang w:eastAsia="zh-CN"/>
              </w:rPr>
              <w:t>O</w:t>
            </w:r>
            <w:r>
              <w:rPr>
                <w:rFonts w:hint="eastAsia" w:ascii="宋体" w:hAnsi="宋体" w:eastAsia="宋体" w:cs="宋体"/>
                <w:b/>
                <w:sz w:val="21"/>
                <w:szCs w:val="21"/>
              </w:rPr>
              <w:t>8.2</w:t>
            </w:r>
          </w:p>
          <w:p>
            <w:pPr>
              <w:rPr>
                <w:rFonts w:hint="eastAsia" w:ascii="宋体" w:hAnsi="宋体" w:eastAsia="宋体" w:cs="宋体"/>
                <w:sz w:val="21"/>
                <w:szCs w:val="21"/>
              </w:rPr>
            </w:pPr>
          </w:p>
        </w:tc>
        <w:tc>
          <w:tcPr>
            <w:tcW w:w="10004"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组织制定了《应急准备和响应控制程序》，识别紧急情况如下：触电事故/工伤事故/火灾应急</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，均规定了相应的应急响应措施，基本覆盖了重要环境因素和重要危险源的内容，符合控制要求，无修订记录。</w:t>
            </w:r>
          </w:p>
          <w:p>
            <w:pPr>
              <w:spacing w:line="360" w:lineRule="auto"/>
              <w:ind w:firstLine="420" w:firstLineChars="200"/>
              <w:jc w:val="left"/>
              <w:rPr>
                <w:rFonts w:hint="eastAsia" w:ascii="宋体" w:hAnsi="宋体" w:cs="宋体"/>
                <w:sz w:val="21"/>
                <w:szCs w:val="21"/>
                <w:lang w:val="en-US" w:eastAsia="zh-CN"/>
              </w:rPr>
            </w:pPr>
            <w:r>
              <w:rPr>
                <w:rFonts w:hint="eastAsia" w:ascii="宋体" w:hAnsi="宋体" w:eastAsia="宋体" w:cs="宋体"/>
                <w:sz w:val="21"/>
                <w:szCs w:val="21"/>
                <w:lang w:val="en-US" w:eastAsia="zh-CN"/>
              </w:rPr>
              <w:t>提供《202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年应急救援预案》，有组织人员结构、人员组成、通讯联络、应急物资准备、应急处置程序、注意事项等。编制：</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 xml:space="preserve">    审批：</w:t>
            </w:r>
            <w:r>
              <w:rPr>
                <w:rFonts w:hint="eastAsia" w:ascii="宋体" w:hAnsi="宋体" w:cs="宋体"/>
                <w:sz w:val="21"/>
                <w:szCs w:val="21"/>
                <w:lang w:val="en-US" w:eastAsia="zh-CN"/>
              </w:rPr>
              <w:t>张智慧</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于2022年3月18日/2022年4月20日/2022年5月24日参加了触电事故/工伤事故/火灾应急演练；</w:t>
            </w:r>
            <w:r>
              <w:rPr>
                <w:rFonts w:hint="eastAsia" w:ascii="宋体" w:hAnsi="宋体" w:cs="宋体"/>
                <w:sz w:val="21"/>
                <w:szCs w:val="21"/>
                <w:lang w:val="en-US" w:eastAsia="zh-CN"/>
              </w:rPr>
              <w:t>提供有演练记录，有演练方案评审，</w:t>
            </w:r>
            <w:r>
              <w:rPr>
                <w:rFonts w:hint="eastAsia" w:ascii="宋体" w:hAnsi="宋体" w:eastAsia="宋体" w:cs="宋体"/>
                <w:sz w:val="21"/>
                <w:szCs w:val="21"/>
                <w:lang w:val="en-US" w:eastAsia="zh-CN"/>
              </w:rPr>
              <w:t>对演练中发现的问题要求整改，并总结了预案的可行性和有效性</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向职业健康安全有关的相关方，包括在组织控制下工作的人员提供应急准备和响应相关的信息和培训。</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应急准备和响应控制：</w:t>
            </w:r>
            <w:r>
              <w:rPr>
                <w:rFonts w:hint="eastAsia" w:ascii="宋体" w:hAnsi="宋体" w:cs="宋体"/>
                <w:sz w:val="21"/>
                <w:szCs w:val="21"/>
                <w:lang w:val="en-US" w:eastAsia="zh-CN"/>
              </w:rPr>
              <w:t>基本</w:t>
            </w:r>
            <w:r>
              <w:rPr>
                <w:rFonts w:hint="eastAsia" w:ascii="宋体" w:hAnsi="宋体" w:eastAsia="宋体" w:cs="宋体"/>
                <w:sz w:val="21"/>
                <w:szCs w:val="21"/>
                <w:lang w:val="en-US" w:eastAsia="zh-CN"/>
              </w:rPr>
              <w:t>符合要求</w:t>
            </w:r>
            <w:r>
              <w:rPr>
                <w:rFonts w:hint="eastAsia" w:ascii="宋体" w:hAnsi="宋体" w:cs="宋体"/>
                <w:sz w:val="21"/>
                <w:szCs w:val="21"/>
                <w:lang w:val="en-US" w:eastAsia="zh-CN"/>
              </w:rPr>
              <w:t>。</w:t>
            </w:r>
          </w:p>
        </w:tc>
        <w:tc>
          <w:tcPr>
            <w:tcW w:w="1585" w:type="dxa"/>
            <w:vAlign w:val="top"/>
          </w:tcPr>
          <w:p>
            <w:pP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符合</w:t>
            </w:r>
          </w:p>
        </w:tc>
      </w:tr>
    </w:tbl>
    <w:p>
      <w:pPr>
        <w:rPr>
          <w:sz w:val="24"/>
          <w:szCs w:val="24"/>
        </w:rPr>
      </w:pPr>
    </w:p>
    <w:p>
      <w:pPr>
        <w:pStyle w:val="9"/>
        <w:rPr>
          <w:rFonts w:ascii="楷体" w:hAnsi="楷体" w:eastAsia="楷体"/>
          <w:sz w:val="24"/>
          <w:szCs w:val="24"/>
        </w:rPr>
      </w:pPr>
      <w:r>
        <w:rPr>
          <w:rFonts w:hint="eastAsia" w:ascii="楷体" w:hAnsi="楷体" w:eastAsia="楷体"/>
          <w:sz w:val="24"/>
          <w:szCs w:val="24"/>
        </w:rPr>
        <w:t>说明：不符合标注</w:t>
      </w:r>
      <w:r>
        <w:rPr>
          <w:rFonts w:ascii="楷体" w:hAnsi="楷体" w:eastAsia="楷体"/>
          <w:sz w:val="24"/>
          <w:szCs w:val="24"/>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rPr>
      <w:fldChar w:fldCharType="begin"/>
    </w:r>
    <w:r>
      <w:rPr>
        <w:b/>
      </w:rPr>
      <w:instrText xml:space="preserve">PAGE</w:instrText>
    </w:r>
    <w:r>
      <w:rPr>
        <w:b/>
      </w:rPr>
      <w:fldChar w:fldCharType="separate"/>
    </w:r>
    <w:r>
      <w:rPr>
        <w:b/>
      </w:rPr>
      <w:t>16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50</w:t>
    </w:r>
    <w:r>
      <w:rPr>
        <w:b/>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1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7"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fhE2AAA&#10;AAsBAAAPAAAAAAAAAAEAIAAAACIAAABkcnMvZG93bnJldi54bWxQSwECFAAUAAAACACHTuJAg+7s&#10;YuUBAAC5AwAADgAAAAAAAAABACAAAAAnAQAAZHJzL2Uyb0RvYy54bWxQSwUGAAAAAAYABgBZAQAA&#10;f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54750"/>
    <w:multiLevelType w:val="singleLevel"/>
    <w:tmpl w:val="2CC5475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81A84"/>
    <w:rsid w:val="0003373A"/>
    <w:rsid w:val="00041534"/>
    <w:rsid w:val="000425A9"/>
    <w:rsid w:val="00081A84"/>
    <w:rsid w:val="000A202A"/>
    <w:rsid w:val="000B190E"/>
    <w:rsid w:val="000B51BD"/>
    <w:rsid w:val="000B6109"/>
    <w:rsid w:val="000D44FA"/>
    <w:rsid w:val="000F28E3"/>
    <w:rsid w:val="00102CD8"/>
    <w:rsid w:val="00124C97"/>
    <w:rsid w:val="00136ECD"/>
    <w:rsid w:val="00144619"/>
    <w:rsid w:val="00160951"/>
    <w:rsid w:val="0017468B"/>
    <w:rsid w:val="00196DF2"/>
    <w:rsid w:val="001A1ADC"/>
    <w:rsid w:val="001C0D8B"/>
    <w:rsid w:val="001C1102"/>
    <w:rsid w:val="001C773B"/>
    <w:rsid w:val="001E0441"/>
    <w:rsid w:val="001F4A40"/>
    <w:rsid w:val="00214926"/>
    <w:rsid w:val="002166C2"/>
    <w:rsid w:val="00245408"/>
    <w:rsid w:val="00286363"/>
    <w:rsid w:val="002905E3"/>
    <w:rsid w:val="002946FC"/>
    <w:rsid w:val="002958A1"/>
    <w:rsid w:val="003074AB"/>
    <w:rsid w:val="003173CC"/>
    <w:rsid w:val="00321A4D"/>
    <w:rsid w:val="00390345"/>
    <w:rsid w:val="003B3C24"/>
    <w:rsid w:val="003B4493"/>
    <w:rsid w:val="003D58B4"/>
    <w:rsid w:val="003E4B09"/>
    <w:rsid w:val="003F7EC0"/>
    <w:rsid w:val="00403B68"/>
    <w:rsid w:val="00405F86"/>
    <w:rsid w:val="00436E67"/>
    <w:rsid w:val="004423E5"/>
    <w:rsid w:val="00443339"/>
    <w:rsid w:val="00446A9B"/>
    <w:rsid w:val="00466C74"/>
    <w:rsid w:val="00470C66"/>
    <w:rsid w:val="004A3A26"/>
    <w:rsid w:val="004B74DC"/>
    <w:rsid w:val="004C0DF7"/>
    <w:rsid w:val="004C513D"/>
    <w:rsid w:val="004D1BCC"/>
    <w:rsid w:val="004D2048"/>
    <w:rsid w:val="004D289B"/>
    <w:rsid w:val="004D57D3"/>
    <w:rsid w:val="004F6B93"/>
    <w:rsid w:val="005470C7"/>
    <w:rsid w:val="00556634"/>
    <w:rsid w:val="0058101D"/>
    <w:rsid w:val="00583277"/>
    <w:rsid w:val="005900D1"/>
    <w:rsid w:val="00590BDE"/>
    <w:rsid w:val="005A25D1"/>
    <w:rsid w:val="005B0199"/>
    <w:rsid w:val="005B10B8"/>
    <w:rsid w:val="005F0D5E"/>
    <w:rsid w:val="00606045"/>
    <w:rsid w:val="00610EBD"/>
    <w:rsid w:val="0063132B"/>
    <w:rsid w:val="0067407D"/>
    <w:rsid w:val="0068265A"/>
    <w:rsid w:val="00691117"/>
    <w:rsid w:val="00694C49"/>
    <w:rsid w:val="006A0082"/>
    <w:rsid w:val="006B10B6"/>
    <w:rsid w:val="006B7C6E"/>
    <w:rsid w:val="006D3266"/>
    <w:rsid w:val="006E5247"/>
    <w:rsid w:val="006E7714"/>
    <w:rsid w:val="0073002E"/>
    <w:rsid w:val="00741798"/>
    <w:rsid w:val="0075108F"/>
    <w:rsid w:val="007611C7"/>
    <w:rsid w:val="007757F3"/>
    <w:rsid w:val="00782349"/>
    <w:rsid w:val="00784B99"/>
    <w:rsid w:val="007A68F8"/>
    <w:rsid w:val="007E02F2"/>
    <w:rsid w:val="007F2EFB"/>
    <w:rsid w:val="00813448"/>
    <w:rsid w:val="00826FD8"/>
    <w:rsid w:val="0083146A"/>
    <w:rsid w:val="00852377"/>
    <w:rsid w:val="00861E6F"/>
    <w:rsid w:val="00874153"/>
    <w:rsid w:val="00882008"/>
    <w:rsid w:val="00895D52"/>
    <w:rsid w:val="008973EE"/>
    <w:rsid w:val="008A5727"/>
    <w:rsid w:val="008C6B14"/>
    <w:rsid w:val="008F2C11"/>
    <w:rsid w:val="00921516"/>
    <w:rsid w:val="00930DCB"/>
    <w:rsid w:val="00960AC6"/>
    <w:rsid w:val="00977300"/>
    <w:rsid w:val="00985282"/>
    <w:rsid w:val="00993396"/>
    <w:rsid w:val="009A15CA"/>
    <w:rsid w:val="009B2F77"/>
    <w:rsid w:val="009C1C84"/>
    <w:rsid w:val="009D5EB1"/>
    <w:rsid w:val="00A0088C"/>
    <w:rsid w:val="00A14B3E"/>
    <w:rsid w:val="00A3305F"/>
    <w:rsid w:val="00A47278"/>
    <w:rsid w:val="00A563BF"/>
    <w:rsid w:val="00A65FBF"/>
    <w:rsid w:val="00A8300A"/>
    <w:rsid w:val="00AB421F"/>
    <w:rsid w:val="00AC4D46"/>
    <w:rsid w:val="00AC4DC7"/>
    <w:rsid w:val="00AE7FE9"/>
    <w:rsid w:val="00AF0474"/>
    <w:rsid w:val="00AF7B1A"/>
    <w:rsid w:val="00B06FF4"/>
    <w:rsid w:val="00B07126"/>
    <w:rsid w:val="00B07FBF"/>
    <w:rsid w:val="00B247A6"/>
    <w:rsid w:val="00B31DEF"/>
    <w:rsid w:val="00B618FE"/>
    <w:rsid w:val="00B62EAC"/>
    <w:rsid w:val="00B65EFF"/>
    <w:rsid w:val="00B76DF3"/>
    <w:rsid w:val="00B839C3"/>
    <w:rsid w:val="00B86C45"/>
    <w:rsid w:val="00B94538"/>
    <w:rsid w:val="00BA0E12"/>
    <w:rsid w:val="00BA3CFF"/>
    <w:rsid w:val="00BC3858"/>
    <w:rsid w:val="00BF0588"/>
    <w:rsid w:val="00C00C1C"/>
    <w:rsid w:val="00C11848"/>
    <w:rsid w:val="00C41D0F"/>
    <w:rsid w:val="00C5637D"/>
    <w:rsid w:val="00C614E9"/>
    <w:rsid w:val="00C734F6"/>
    <w:rsid w:val="00C744C6"/>
    <w:rsid w:val="00C81D0C"/>
    <w:rsid w:val="00C82F21"/>
    <w:rsid w:val="00C85547"/>
    <w:rsid w:val="00C934EC"/>
    <w:rsid w:val="00CD358D"/>
    <w:rsid w:val="00CE205A"/>
    <w:rsid w:val="00D2172B"/>
    <w:rsid w:val="00D4614A"/>
    <w:rsid w:val="00D60988"/>
    <w:rsid w:val="00D6333B"/>
    <w:rsid w:val="00D92317"/>
    <w:rsid w:val="00D95EA6"/>
    <w:rsid w:val="00DC564E"/>
    <w:rsid w:val="00DE4E3D"/>
    <w:rsid w:val="00DE6B1E"/>
    <w:rsid w:val="00DF2B44"/>
    <w:rsid w:val="00DF65A9"/>
    <w:rsid w:val="00E03174"/>
    <w:rsid w:val="00E13678"/>
    <w:rsid w:val="00E21751"/>
    <w:rsid w:val="00E269ED"/>
    <w:rsid w:val="00E2724C"/>
    <w:rsid w:val="00E3362C"/>
    <w:rsid w:val="00E54AF9"/>
    <w:rsid w:val="00E86CB8"/>
    <w:rsid w:val="00EA7475"/>
    <w:rsid w:val="00EB0356"/>
    <w:rsid w:val="00EB1A81"/>
    <w:rsid w:val="00EB6052"/>
    <w:rsid w:val="00EC1CFC"/>
    <w:rsid w:val="00EC2171"/>
    <w:rsid w:val="00ED6C37"/>
    <w:rsid w:val="00ED6FDB"/>
    <w:rsid w:val="00EE118A"/>
    <w:rsid w:val="00EE61F4"/>
    <w:rsid w:val="00EF711A"/>
    <w:rsid w:val="00F06612"/>
    <w:rsid w:val="00F23394"/>
    <w:rsid w:val="00F40C9C"/>
    <w:rsid w:val="00F57A1C"/>
    <w:rsid w:val="00FA3A8F"/>
    <w:rsid w:val="00FB2C2B"/>
    <w:rsid w:val="00FB3F2D"/>
    <w:rsid w:val="00FD61CA"/>
    <w:rsid w:val="00FD722B"/>
    <w:rsid w:val="059D117F"/>
    <w:rsid w:val="085602B5"/>
    <w:rsid w:val="14B76E28"/>
    <w:rsid w:val="1C6568C1"/>
    <w:rsid w:val="1F060EEF"/>
    <w:rsid w:val="2A5529CB"/>
    <w:rsid w:val="2A9F38E6"/>
    <w:rsid w:val="2B850A04"/>
    <w:rsid w:val="366A0E54"/>
    <w:rsid w:val="38C22469"/>
    <w:rsid w:val="39796CE9"/>
    <w:rsid w:val="40355CEA"/>
    <w:rsid w:val="4A7A1365"/>
    <w:rsid w:val="53CF1694"/>
    <w:rsid w:val="59BE6363"/>
    <w:rsid w:val="5C9E45E6"/>
    <w:rsid w:val="5CC6257A"/>
    <w:rsid w:val="5EA27BB5"/>
    <w:rsid w:val="73BB0A21"/>
    <w:rsid w:val="77DF55E7"/>
    <w:rsid w:val="79943353"/>
    <w:rsid w:val="7CAE1F83"/>
    <w:rsid w:val="7F8018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nhideWhenUsed="0" w:uiPriority="0" w:semiHidden="0" w:name="Note Heading" w:locked="1"/>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qFormat="1" w:unhideWhenUsed="0"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0"/>
    <w:qFormat/>
    <w:uiPriority w:val="99"/>
    <w:pPr>
      <w:spacing w:line="360" w:lineRule="auto"/>
    </w:pPr>
    <w:rPr>
      <w:sz w:val="24"/>
    </w:rPr>
  </w:style>
  <w:style w:type="paragraph" w:styleId="5">
    <w:name w:val="Body Text Indent"/>
    <w:basedOn w:val="1"/>
    <w:link w:val="22"/>
    <w:qFormat/>
    <w:uiPriority w:val="99"/>
    <w:pPr>
      <w:spacing w:after="120"/>
      <w:ind w:left="420" w:leftChars="200"/>
    </w:pPr>
  </w:style>
  <w:style w:type="paragraph" w:styleId="6">
    <w:name w:val="Plain Text"/>
    <w:basedOn w:val="1"/>
    <w:link w:val="27"/>
    <w:qFormat/>
    <w:uiPriority w:val="99"/>
    <w:rPr>
      <w:rFonts w:ascii="宋体" w:hAnsi="Courier New"/>
      <w:sz w:val="24"/>
    </w:rPr>
  </w:style>
  <w:style w:type="paragraph" w:styleId="7">
    <w:name w:val="Date"/>
    <w:basedOn w:val="1"/>
    <w:next w:val="1"/>
    <w:qFormat/>
    <w:uiPriority w:val="0"/>
    <w:rPr>
      <w:szCs w:val="20"/>
    </w:rPr>
  </w:style>
  <w:style w:type="paragraph" w:styleId="8">
    <w:name w:val="Balloon Text"/>
    <w:basedOn w:val="1"/>
    <w:link w:val="15"/>
    <w:semiHidden/>
    <w:qFormat/>
    <w:uiPriority w:val="99"/>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styleId="12">
    <w:name w:val="Body Text First Indent"/>
    <w:basedOn w:val="4"/>
    <w:qFormat/>
    <w:uiPriority w:val="0"/>
    <w:pPr>
      <w:ind w:firstLine="420" w:firstLineChars="100"/>
    </w:pPr>
    <w:rPr>
      <w:szCs w:val="20"/>
    </w:rPr>
  </w:style>
  <w:style w:type="character" w:customStyle="1" w:styleId="15">
    <w:name w:val="Balloon Text Char"/>
    <w:basedOn w:val="14"/>
    <w:link w:val="8"/>
    <w:semiHidden/>
    <w:qFormat/>
    <w:locked/>
    <w:uiPriority w:val="99"/>
    <w:rPr>
      <w:rFonts w:ascii="Times New Roman" w:hAnsi="Times New Roman" w:eastAsia="宋体" w:cs="Times New Roman"/>
      <w:sz w:val="18"/>
      <w:szCs w:val="18"/>
    </w:rPr>
  </w:style>
  <w:style w:type="character" w:customStyle="1" w:styleId="16">
    <w:name w:val="Footer Char"/>
    <w:basedOn w:val="14"/>
    <w:link w:val="9"/>
    <w:qFormat/>
    <w:locked/>
    <w:uiPriority w:val="99"/>
    <w:rPr>
      <w:rFonts w:ascii="Times New Roman" w:hAnsi="Times New Roman" w:eastAsia="宋体" w:cs="Times New Roman"/>
      <w:sz w:val="18"/>
      <w:szCs w:val="18"/>
    </w:rPr>
  </w:style>
  <w:style w:type="character" w:customStyle="1" w:styleId="17">
    <w:name w:val="Header Char"/>
    <w:basedOn w:val="14"/>
    <w:link w:val="10"/>
    <w:qFormat/>
    <w:locked/>
    <w:uiPriority w:val="99"/>
    <w:rPr>
      <w:rFonts w:ascii="Times New Roman" w:hAnsi="Times New Roman" w:eastAsia="宋体" w:cs="Times New Roman"/>
      <w:sz w:val="18"/>
      <w:szCs w:val="18"/>
    </w:rPr>
  </w:style>
  <w:style w:type="character" w:customStyle="1" w:styleId="18">
    <w:name w:val="Char Char1"/>
    <w:qFormat/>
    <w:locked/>
    <w:uiPriority w:val="99"/>
    <w:rPr>
      <w:rFonts w:ascii="宋体" w:hAnsi="Courier New" w:eastAsia="宋体"/>
      <w:kern w:val="2"/>
      <w:sz w:val="21"/>
      <w:lang w:val="en-US" w:eastAsia="zh-CN"/>
    </w:rPr>
  </w:style>
  <w:style w:type="paragraph" w:styleId="19">
    <w:name w:val="List Paragraph"/>
    <w:basedOn w:val="1"/>
    <w:qFormat/>
    <w:uiPriority w:val="99"/>
    <w:pPr>
      <w:ind w:firstLine="420" w:firstLineChars="200"/>
    </w:pPr>
    <w:rPr>
      <w:sz w:val="24"/>
    </w:rPr>
  </w:style>
  <w:style w:type="character" w:customStyle="1" w:styleId="20">
    <w:name w:val="Body Text Char"/>
    <w:basedOn w:val="14"/>
    <w:link w:val="4"/>
    <w:semiHidden/>
    <w:qFormat/>
    <w:locked/>
    <w:uiPriority w:val="99"/>
    <w:rPr>
      <w:rFonts w:ascii="Times New Roman" w:hAnsi="Times New Roman" w:cs="Times New Roman"/>
      <w:sz w:val="20"/>
      <w:szCs w:val="20"/>
    </w:rPr>
  </w:style>
  <w:style w:type="paragraph" w:customStyle="1" w:styleId="2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2">
    <w:name w:val="Body Text Indent Char"/>
    <w:basedOn w:val="14"/>
    <w:link w:val="5"/>
    <w:semiHidden/>
    <w:qFormat/>
    <w:locked/>
    <w:uiPriority w:val="99"/>
    <w:rPr>
      <w:rFonts w:ascii="Times New Roman" w:hAnsi="Times New Roman" w:cs="Times New Roman"/>
      <w:sz w:val="20"/>
      <w:szCs w:val="20"/>
    </w:rPr>
  </w:style>
  <w:style w:type="paragraph" w:customStyle="1" w:styleId="23">
    <w:name w:val="东方正文"/>
    <w:basedOn w:val="1"/>
    <w:qFormat/>
    <w:uiPriority w:val="99"/>
    <w:pPr>
      <w:spacing w:line="400" w:lineRule="exact"/>
      <w:ind w:left="284" w:right="284"/>
    </w:pPr>
    <w:rPr>
      <w:sz w:val="24"/>
    </w:rPr>
  </w:style>
  <w:style w:type="character" w:customStyle="1" w:styleId="24">
    <w:name w:val="Char Char2"/>
    <w:qFormat/>
    <w:uiPriority w:val="99"/>
    <w:rPr>
      <w:rFonts w:ascii="Times New Roman" w:hAnsi="Times New Roman" w:eastAsia="宋体"/>
      <w:kern w:val="2"/>
      <w:sz w:val="18"/>
    </w:rPr>
  </w:style>
  <w:style w:type="character" w:customStyle="1" w:styleId="25">
    <w:name w:val="Char Char21"/>
    <w:qFormat/>
    <w:uiPriority w:val="99"/>
    <w:rPr>
      <w:rFonts w:ascii="Times New Roman" w:hAnsi="Times New Roman" w:eastAsia="宋体"/>
      <w:kern w:val="2"/>
      <w:sz w:val="18"/>
    </w:rPr>
  </w:style>
  <w:style w:type="character" w:customStyle="1" w:styleId="26">
    <w:name w:val="Plain Text Char"/>
    <w:basedOn w:val="14"/>
    <w:link w:val="6"/>
    <w:semiHidden/>
    <w:qFormat/>
    <w:locked/>
    <w:uiPriority w:val="99"/>
    <w:rPr>
      <w:rFonts w:ascii="宋体" w:hAnsi="Courier New" w:cs="Courier New"/>
      <w:sz w:val="21"/>
      <w:szCs w:val="21"/>
    </w:rPr>
  </w:style>
  <w:style w:type="character" w:customStyle="1" w:styleId="27">
    <w:name w:val="Plain Text Char1"/>
    <w:link w:val="6"/>
    <w:qFormat/>
    <w:locked/>
    <w:uiPriority w:val="99"/>
    <w:rPr>
      <w:rFonts w:ascii="宋体" w:hAnsi="Courier New" w:eastAsia="宋体"/>
      <w:kern w:val="2"/>
      <w:sz w:val="24"/>
      <w:lang w:val="en-US" w:eastAsia="zh-CN"/>
    </w:rPr>
  </w:style>
  <w:style w:type="paragraph" w:customStyle="1" w:styleId="28">
    <w:name w:val="_Style 2"/>
    <w:basedOn w:val="1"/>
    <w:qFormat/>
    <w:uiPriority w:val="99"/>
    <w:pPr>
      <w:widowControl/>
      <w:ind w:firstLine="420" w:firstLineChars="200"/>
      <w:jc w:val="left"/>
    </w:pPr>
    <w:rPr>
      <w:kern w:val="0"/>
      <w:sz w:val="20"/>
      <w:lang w:eastAsia="en-US"/>
    </w:rPr>
  </w:style>
  <w:style w:type="character" w:customStyle="1" w:styleId="29">
    <w:name w:val="fontstyle01"/>
    <w:basedOn w:val="14"/>
    <w:qFormat/>
    <w:uiPriority w:val="99"/>
    <w:rPr>
      <w:rFonts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2696</Words>
  <Characters>2927</Characters>
  <Lines>0</Lines>
  <Paragraphs>0</Paragraphs>
  <TotalTime>10</TotalTime>
  <ScaleCrop>false</ScaleCrop>
  <LinksUpToDate>false</LinksUpToDate>
  <CharactersWithSpaces>3095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2023-01-26T18:24:17Z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DA460C675C0342A7BB4C5CE0B53008B1</vt:lpwstr>
  </property>
</Properties>
</file>