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1050"/>
        <w:gridCol w:w="1084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66"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050"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842" w:type="dxa"/>
            <w:vAlign w:val="center"/>
          </w:tcPr>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受审核部门：管理</w:t>
            </w:r>
            <w:r>
              <w:rPr>
                <w:rFonts w:hint="eastAsia" w:ascii="宋体" w:hAnsi="宋体" w:eastAsia="宋体" w:cs="宋体"/>
                <w:sz w:val="21"/>
                <w:szCs w:val="21"/>
                <w:lang w:val="en-US" w:eastAsia="zh-CN"/>
              </w:rPr>
              <w:t>层</w:t>
            </w:r>
            <w:r>
              <w:rPr>
                <w:rFonts w:hint="eastAsia"/>
                <w:sz w:val="21"/>
                <w:szCs w:val="21"/>
                <w:lang w:val="en-US" w:eastAsia="zh-CN"/>
              </w:rPr>
              <w:t>（含员工代表）</w:t>
            </w:r>
            <w:r>
              <w:rPr>
                <w:rFonts w:hint="eastAsia" w:ascii="宋体" w:hAnsi="宋体" w:eastAsia="宋体" w:cs="宋体"/>
                <w:sz w:val="21"/>
                <w:szCs w:val="21"/>
                <w:lang w:val="en-US" w:eastAsia="zh-CN"/>
              </w:rPr>
              <w:t xml:space="preserve">   总经理：</w:t>
            </w:r>
            <w:r>
              <w:rPr>
                <w:rFonts w:hint="eastAsia" w:ascii="宋体" w:hAnsi="宋体" w:cs="宋体"/>
                <w:sz w:val="21"/>
                <w:szCs w:val="21"/>
                <w:lang w:val="en-US" w:eastAsia="zh-CN"/>
              </w:rPr>
              <w:t>张智方</w:t>
            </w:r>
            <w:r>
              <w:rPr>
                <w:rFonts w:hint="eastAsia" w:ascii="宋体" w:hAnsi="宋体" w:eastAsia="宋体" w:cs="宋体"/>
                <w:sz w:val="21"/>
                <w:szCs w:val="21"/>
                <w:lang w:val="en-US" w:eastAsia="zh-CN"/>
              </w:rPr>
              <w:t xml:space="preserve">  管代：</w:t>
            </w:r>
            <w:r>
              <w:rPr>
                <w:rFonts w:hint="eastAsia" w:ascii="宋体" w:hAnsi="宋体" w:cs="宋体"/>
                <w:sz w:val="21"/>
                <w:szCs w:val="21"/>
                <w:lang w:val="en-US" w:eastAsia="zh-CN"/>
              </w:rPr>
              <w:t>张智慧</w:t>
            </w:r>
            <w:r>
              <w:rPr>
                <w:rFonts w:hint="eastAsia" w:ascii="宋体" w:hAnsi="宋体" w:eastAsia="宋体" w:cs="宋体"/>
                <w:sz w:val="21"/>
                <w:szCs w:val="21"/>
                <w:lang w:val="en-US" w:eastAsia="zh-CN"/>
              </w:rPr>
              <w:t xml:space="preserve">  员工代表：</w:t>
            </w:r>
            <w:r>
              <w:rPr>
                <w:rFonts w:hint="eastAsia" w:ascii="宋体" w:hAnsi="宋体" w:cs="宋体"/>
                <w:sz w:val="21"/>
                <w:szCs w:val="21"/>
                <w:lang w:val="en-US" w:eastAsia="zh-CN"/>
              </w:rPr>
              <w:t>梁卫卫</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陪同人员</w:t>
            </w:r>
            <w:r>
              <w:rPr>
                <w:rFonts w:hint="eastAsia" w:ascii="宋体" w:hAnsi="宋体" w:eastAsia="宋体" w:cs="宋体"/>
                <w:sz w:val="21"/>
                <w:szCs w:val="21"/>
                <w:lang w:eastAsia="zh-CN"/>
              </w:rPr>
              <w:t>：</w:t>
            </w:r>
            <w:r>
              <w:rPr>
                <w:rFonts w:hint="eastAsia" w:ascii="宋体" w:hAnsi="宋体" w:cs="宋体"/>
                <w:sz w:val="21"/>
                <w:szCs w:val="21"/>
                <w:lang w:val="en-US" w:eastAsia="zh-CN"/>
              </w:rPr>
              <w:t>梁卫卫</w:t>
            </w:r>
          </w:p>
        </w:tc>
        <w:tc>
          <w:tcPr>
            <w:tcW w:w="851"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66" w:type="dxa"/>
            <w:vMerge w:val="continue"/>
            <w:vAlign w:val="center"/>
          </w:tcPr>
          <w:p>
            <w:pPr>
              <w:spacing w:line="360" w:lineRule="auto"/>
              <w:rPr>
                <w:rFonts w:hint="eastAsia" w:ascii="宋体" w:hAnsi="宋体" w:eastAsia="宋体" w:cs="宋体"/>
                <w:sz w:val="21"/>
                <w:szCs w:val="21"/>
              </w:rPr>
            </w:pPr>
          </w:p>
        </w:tc>
        <w:tc>
          <w:tcPr>
            <w:tcW w:w="1050" w:type="dxa"/>
            <w:vMerge w:val="continue"/>
            <w:vAlign w:val="center"/>
          </w:tcPr>
          <w:p>
            <w:pPr>
              <w:spacing w:line="360" w:lineRule="auto"/>
              <w:rPr>
                <w:rFonts w:hint="eastAsia" w:ascii="宋体" w:hAnsi="宋体" w:eastAsia="宋体" w:cs="宋体"/>
                <w:sz w:val="21"/>
                <w:szCs w:val="21"/>
              </w:rPr>
            </w:pPr>
          </w:p>
        </w:tc>
        <w:tc>
          <w:tcPr>
            <w:tcW w:w="10842" w:type="dxa"/>
            <w:vAlign w:val="center"/>
          </w:tcPr>
          <w:p>
            <w:pPr>
              <w:spacing w:before="120" w:line="360" w:lineRule="auto"/>
              <w:rPr>
                <w:rFonts w:hint="default"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cs="宋体"/>
                <w:sz w:val="21"/>
                <w:szCs w:val="21"/>
                <w:lang w:val="en-US" w:eastAsia="zh-CN"/>
              </w:rPr>
              <w:t>喻荣秋</w:t>
            </w:r>
            <w:r>
              <w:rPr>
                <w:rFonts w:hint="eastAsia" w:ascii="宋体" w:hAnsi="宋体" w:cs="宋体"/>
                <w:sz w:val="21"/>
                <w:szCs w:val="21"/>
                <w:u w:val="none"/>
                <w:lang w:val="en-US" w:eastAsia="zh-CN"/>
              </w:rPr>
              <w:t>B</w:t>
            </w:r>
            <w:r>
              <w:rPr>
                <w:rFonts w:hint="eastAsia" w:ascii="宋体" w:hAnsi="宋体" w:eastAsia="宋体" w:cs="宋体"/>
                <w:sz w:val="21"/>
                <w:szCs w:val="21"/>
                <w:lang w:val="en-US" w:eastAsia="zh-CN"/>
              </w:rPr>
              <w:t xml:space="preserve">（远程微信沟通）             </w:t>
            </w:r>
            <w:r>
              <w:rPr>
                <w:rFonts w:hint="eastAsia" w:ascii="宋体" w:hAnsi="宋体" w:eastAsia="宋体" w:cs="宋体"/>
                <w:sz w:val="21"/>
                <w:szCs w:val="21"/>
              </w:rPr>
              <w:t>审核时间：</w:t>
            </w:r>
            <w:r>
              <w:rPr>
                <w:rFonts w:hint="eastAsia" w:ascii="宋体" w:hAnsi="宋体" w:eastAsia="宋体" w:cs="宋体"/>
                <w:sz w:val="21"/>
                <w:szCs w:val="21"/>
                <w:lang w:val="en-US" w:eastAsia="zh-CN"/>
              </w:rPr>
              <w:t>2022.</w:t>
            </w:r>
            <w:r>
              <w:rPr>
                <w:rFonts w:hint="eastAsia" w:ascii="宋体" w:hAnsi="宋体" w:cs="宋体"/>
                <w:sz w:val="21"/>
                <w:szCs w:val="21"/>
                <w:lang w:val="en-US" w:eastAsia="zh-CN"/>
              </w:rPr>
              <w:t>12.26</w:t>
            </w:r>
          </w:p>
        </w:tc>
        <w:tc>
          <w:tcPr>
            <w:tcW w:w="851" w:type="dxa"/>
            <w:vMerge w:val="continue"/>
          </w:tcPr>
          <w:p>
            <w:pPr>
              <w:spacing w:line="360" w:lineRule="auto"/>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1966" w:type="dxa"/>
            <w:vMerge w:val="continue"/>
            <w:vAlign w:val="center"/>
          </w:tcPr>
          <w:p>
            <w:pPr>
              <w:spacing w:line="360" w:lineRule="auto"/>
              <w:rPr>
                <w:rFonts w:hint="eastAsia" w:ascii="宋体" w:hAnsi="宋体" w:eastAsia="宋体" w:cs="宋体"/>
                <w:color w:val="FF0000"/>
                <w:sz w:val="21"/>
                <w:szCs w:val="21"/>
              </w:rPr>
            </w:pPr>
          </w:p>
        </w:tc>
        <w:tc>
          <w:tcPr>
            <w:tcW w:w="1050" w:type="dxa"/>
            <w:vMerge w:val="continue"/>
            <w:vAlign w:val="center"/>
          </w:tcPr>
          <w:p>
            <w:pPr>
              <w:spacing w:line="360" w:lineRule="auto"/>
              <w:rPr>
                <w:rFonts w:hint="eastAsia" w:ascii="宋体" w:hAnsi="宋体" w:eastAsia="宋体" w:cs="宋体"/>
                <w:color w:val="FF0000"/>
                <w:sz w:val="21"/>
                <w:szCs w:val="21"/>
              </w:rPr>
            </w:pPr>
          </w:p>
        </w:tc>
        <w:tc>
          <w:tcPr>
            <w:tcW w:w="10842" w:type="dxa"/>
            <w:vAlign w:val="center"/>
          </w:tcPr>
          <w:p>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审核条款：</w:t>
            </w:r>
          </w:p>
          <w:p>
            <w:pPr>
              <w:adjustRightInd w:val="0"/>
              <w:snapToGrid w:val="0"/>
              <w:spacing w:line="360" w:lineRule="auto"/>
              <w:ind w:right="105" w:rightChars="50"/>
              <w:textAlignment w:val="baseline"/>
              <w:rPr>
                <w:rFonts w:hint="eastAsia" w:ascii="宋体" w:hAnsi="宋体" w:eastAsia="宋体" w:cs="宋体"/>
                <w:color w:val="FF0000"/>
                <w:spacing w:val="-6"/>
                <w:sz w:val="21"/>
                <w:szCs w:val="21"/>
              </w:rPr>
            </w:pPr>
            <w:r>
              <w:rPr>
                <w:rFonts w:hint="eastAsia" w:ascii="宋体" w:hAnsi="宋体" w:eastAsia="宋体" w:cs="宋体"/>
                <w:spacing w:val="-6"/>
                <w:sz w:val="21"/>
                <w:szCs w:val="21"/>
                <w:u w:val="none"/>
              </w:rPr>
              <w:t>E:</w:t>
            </w:r>
            <w:r>
              <w:rPr>
                <w:rFonts w:hint="eastAsia" w:ascii="宋体" w:hAnsi="宋体" w:eastAsia="宋体" w:cs="宋体"/>
                <w:spacing w:val="-6"/>
                <w:sz w:val="21"/>
                <w:szCs w:val="21"/>
                <w:u w:val="none"/>
                <w:lang w:val="en-US" w:eastAsia="zh-CN"/>
              </w:rPr>
              <w:t xml:space="preserve"> </w:t>
            </w:r>
            <w:r>
              <w:rPr>
                <w:rFonts w:hint="eastAsia" w:ascii="宋体" w:hAnsi="宋体" w:eastAsia="宋体" w:cs="宋体"/>
                <w:spacing w:val="-6"/>
                <w:sz w:val="21"/>
                <w:szCs w:val="21"/>
                <w:u w:val="none"/>
              </w:rPr>
              <w:t>4.1理解组织及其环境、4.2理解相关方的需求和期望、4.3 确定管理体系的范围、4.4环境管理体系及其过程、5.1领导作用和承诺、5.2环境方针、5.3组织的岗位、职责和权限、6.1应对风险和机遇的措施、6.2环境目标及其实现的策划、</w:t>
            </w:r>
            <w:r>
              <w:rPr>
                <w:rFonts w:hint="eastAsia" w:ascii="宋体" w:hAnsi="宋体" w:eastAsia="宋体" w:cs="宋体"/>
                <w:b/>
                <w:sz w:val="21"/>
                <w:szCs w:val="21"/>
                <w:u w:val="none"/>
              </w:rPr>
              <w:t xml:space="preserve"> </w:t>
            </w:r>
            <w:r>
              <w:rPr>
                <w:rFonts w:hint="eastAsia" w:ascii="宋体" w:hAnsi="宋体" w:eastAsia="宋体" w:cs="宋体"/>
                <w:spacing w:val="-6"/>
                <w:sz w:val="21"/>
                <w:szCs w:val="21"/>
                <w:u w:val="none"/>
              </w:rPr>
              <w:t>9.3管理评审、10.1改进、10.3持续改进</w:t>
            </w:r>
          </w:p>
        </w:tc>
        <w:tc>
          <w:tcPr>
            <w:tcW w:w="851" w:type="dxa"/>
            <w:vMerge w:val="continue"/>
          </w:tcPr>
          <w:p>
            <w:pPr>
              <w:spacing w:line="360" w:lineRule="auto"/>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1966"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理解组织及其环境总要求</w:t>
            </w:r>
          </w:p>
          <w:p>
            <w:pPr>
              <w:spacing w:line="360" w:lineRule="auto"/>
              <w:rPr>
                <w:rFonts w:hint="eastAsia" w:ascii="宋体" w:hAnsi="宋体" w:eastAsia="宋体" w:cs="宋体"/>
                <w:b/>
                <w:sz w:val="21"/>
                <w:szCs w:val="21"/>
              </w:rPr>
            </w:pPr>
          </w:p>
        </w:tc>
        <w:tc>
          <w:tcPr>
            <w:tcW w:w="1050" w:type="dxa"/>
          </w:tcPr>
          <w:p>
            <w:pPr>
              <w:spacing w:line="360" w:lineRule="auto"/>
              <w:rPr>
                <w:rFonts w:hint="eastAsia" w:ascii="宋体" w:hAnsi="宋体" w:eastAsia="宋体" w:cs="宋体"/>
                <w:sz w:val="21"/>
                <w:szCs w:val="21"/>
              </w:rPr>
            </w:pPr>
            <w:r>
              <w:rPr>
                <w:rFonts w:hint="eastAsia" w:ascii="宋体" w:hAnsi="宋体" w:cs="宋体"/>
                <w:sz w:val="21"/>
                <w:szCs w:val="21"/>
                <w:lang w:eastAsia="zh-CN"/>
              </w:rPr>
              <w:t>E</w:t>
            </w:r>
            <w:r>
              <w:rPr>
                <w:rFonts w:hint="eastAsia" w:ascii="宋体" w:hAnsi="宋体" w:eastAsia="宋体" w:cs="宋体"/>
                <w:sz w:val="21"/>
                <w:szCs w:val="21"/>
              </w:rPr>
              <w:t>4.1</w:t>
            </w:r>
          </w:p>
          <w:p>
            <w:pPr>
              <w:spacing w:line="360" w:lineRule="auto"/>
              <w:rPr>
                <w:rFonts w:hint="eastAsia" w:ascii="宋体" w:hAnsi="宋体" w:eastAsia="宋体" w:cs="宋体"/>
                <w:b/>
                <w:sz w:val="21"/>
                <w:szCs w:val="21"/>
              </w:rPr>
            </w:pPr>
          </w:p>
        </w:tc>
        <w:tc>
          <w:tcPr>
            <w:tcW w:w="10842"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公司成立于成立于2017年05月02日，经营范围： 金属轧制设备用配套件、精密铸钢件加工销售；道路普通货物运输***（依法须经批准的项目，经相关部门批准后方可开展经营活动；一般经营项目，可依法自主开展经营活动）。</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注册地址</w:t>
            </w:r>
            <w:r>
              <w:rPr>
                <w:rFonts w:hint="eastAsia" w:ascii="宋体" w:hAnsi="宋体" w:eastAsia="宋体" w:cs="宋体"/>
                <w:sz w:val="21"/>
                <w:szCs w:val="21"/>
                <w:lang w:val="en-US" w:eastAsia="zh-CN"/>
              </w:rPr>
              <w:t>：河北省沧州市南皮县刘八里乡尹官屯村；经核实，营业执照有效，见附件。</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认证范围：</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E：金属轧制设备用精密铸钢件的加工所涉及场所的相关环境管理活动</w:t>
            </w:r>
          </w:p>
          <w:p>
            <w:pPr>
              <w:spacing w:line="360" w:lineRule="auto"/>
              <w:rPr>
                <w:rFonts w:hint="eastAsia" w:ascii="宋体" w:hAnsi="宋体" w:eastAsia="宋体" w:cs="宋体"/>
                <w:b/>
                <w:color w:val="FF0000"/>
                <w:sz w:val="21"/>
                <w:szCs w:val="21"/>
              </w:rPr>
            </w:pPr>
            <w:r>
              <w:rPr>
                <w:rFonts w:hint="eastAsia" w:ascii="宋体" w:hAnsi="宋体" w:eastAsia="宋体" w:cs="宋体"/>
                <w:sz w:val="21"/>
                <w:szCs w:val="21"/>
                <w:lang w:val="en-US" w:eastAsia="zh-CN"/>
              </w:rPr>
              <w:t>与总经理沟通，公司领导层确定外部和内部与公司的宗旨、战略方向有关、影响</w:t>
            </w:r>
            <w:r>
              <w:rPr>
                <w:rFonts w:hint="eastAsia" w:ascii="宋体" w:hAnsi="宋体" w:cs="宋体"/>
                <w:sz w:val="21"/>
                <w:szCs w:val="21"/>
                <w:lang w:val="en-US" w:eastAsia="zh-CN"/>
              </w:rPr>
              <w:t>管理体系</w:t>
            </w:r>
            <w:r>
              <w:rPr>
                <w:rFonts w:hint="eastAsia" w:ascii="宋体" w:hAnsi="宋体" w:eastAsia="宋体" w:cs="宋体"/>
                <w:sz w:val="21"/>
                <w:szCs w:val="21"/>
                <w:lang w:val="en-US" w:eastAsia="zh-CN"/>
              </w:rPr>
              <w:t>实现预期结果的能力的因素。外部因素考虑：国际、国内、地区和当地的各种法律法规、技术、竞争、文化、社会、经济和自然环境方面（不管是国际、国家、地区或本地）等因素；内部因素考虑：公司的价值观、文化、知识和绩效等因素。 总经理负责组织对确定的内部和外部因素的相关信息进行监视和评审，以确保管理体系与公司的战略方向一致，并实现其预期的结果。</w:t>
            </w:r>
          </w:p>
        </w:tc>
        <w:tc>
          <w:tcPr>
            <w:tcW w:w="851" w:type="dxa"/>
          </w:tcPr>
          <w:p>
            <w:pPr>
              <w:spacing w:line="360" w:lineRule="auto"/>
              <w:rPr>
                <w:rFonts w:hint="eastAsia" w:ascii="宋体" w:hAnsi="宋体" w:eastAsia="宋体" w:cs="宋体"/>
                <w:color w:val="FF0000"/>
                <w:sz w:val="21"/>
                <w:szCs w:val="21"/>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966"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理解相关方的需求和期望</w:t>
            </w:r>
          </w:p>
        </w:tc>
        <w:tc>
          <w:tcPr>
            <w:tcW w:w="1050" w:type="dxa"/>
          </w:tcPr>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E</w:t>
            </w:r>
            <w:r>
              <w:rPr>
                <w:rFonts w:hint="eastAsia" w:ascii="宋体" w:hAnsi="宋体" w:eastAsia="宋体" w:cs="宋体"/>
                <w:sz w:val="21"/>
                <w:szCs w:val="21"/>
                <w:lang w:val="en-US" w:eastAsia="zh-CN"/>
              </w:rPr>
              <w:t>4.2</w:t>
            </w:r>
          </w:p>
          <w:p>
            <w:pPr>
              <w:spacing w:line="360" w:lineRule="auto"/>
              <w:ind w:firstLine="420" w:firstLineChars="200"/>
              <w:rPr>
                <w:rFonts w:hint="eastAsia" w:ascii="宋体" w:hAnsi="宋体" w:eastAsia="宋体" w:cs="宋体"/>
                <w:sz w:val="21"/>
                <w:szCs w:val="21"/>
                <w:lang w:val="en-US" w:eastAsia="zh-CN"/>
              </w:rPr>
            </w:pPr>
          </w:p>
        </w:tc>
        <w:tc>
          <w:tcPr>
            <w:tcW w:w="10842" w:type="dxa"/>
            <w:vAlign w:val="center"/>
          </w:tcPr>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总经理及管理层在考虑相关方对公司提供符合顾客要求和适用法律法规要求的产品和服务的能力产生影响或潜在影响时，结合公司的实际情况，确定与</w:t>
            </w:r>
            <w:r>
              <w:rPr>
                <w:rFonts w:hint="eastAsia" w:ascii="宋体" w:hAnsi="宋体" w:cs="宋体"/>
                <w:sz w:val="21"/>
                <w:szCs w:val="21"/>
                <w:lang w:val="en-US" w:eastAsia="zh-CN"/>
              </w:rPr>
              <w:t>环境/职业健康安全管理体系</w:t>
            </w:r>
            <w:r>
              <w:rPr>
                <w:rFonts w:hint="eastAsia" w:ascii="宋体" w:hAnsi="宋体" w:eastAsia="宋体" w:cs="宋体"/>
                <w:sz w:val="21"/>
                <w:szCs w:val="21"/>
                <w:lang w:val="en-US" w:eastAsia="zh-CN"/>
              </w:rPr>
              <w:t>有关的相关方，并确定其要求。公司按照管理手册要求对相关方的需求和期望进行管理 ，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与</w:t>
            </w:r>
            <w:r>
              <w:rPr>
                <w:rFonts w:hint="eastAsia" w:ascii="宋体" w:hAnsi="宋体" w:cs="宋体"/>
                <w:sz w:val="21"/>
                <w:szCs w:val="21"/>
                <w:lang w:val="en-US" w:eastAsia="zh-CN"/>
              </w:rPr>
              <w:t>环境/职业健康安全管理体系</w:t>
            </w:r>
            <w:r>
              <w:rPr>
                <w:rFonts w:hint="eastAsia" w:ascii="宋体" w:hAnsi="宋体" w:eastAsia="宋体" w:cs="宋体"/>
                <w:sz w:val="21"/>
                <w:szCs w:val="21"/>
                <w:lang w:val="en-US" w:eastAsia="zh-CN"/>
              </w:rPr>
              <w:t>有关的相关方；</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公司的相关方包括：顾客、员工、银行、外部供应商、雇员及其他为组织工作者、法律法规及监管机关、非政府组织等。</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公司对这些相关方及其要求的相关信息进行监视和评审，理解和持续满足相关方的需求和期望。</w:t>
            </w:r>
          </w:p>
        </w:tc>
        <w:tc>
          <w:tcPr>
            <w:tcW w:w="851" w:type="dxa"/>
          </w:tcPr>
          <w:p>
            <w:pPr>
              <w:spacing w:line="360" w:lineRule="auto"/>
              <w:rPr>
                <w:rFonts w:hint="eastAsia" w:ascii="宋体" w:hAnsi="宋体" w:eastAsia="宋体" w:cs="宋体"/>
                <w:color w:val="FF0000"/>
                <w:sz w:val="21"/>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1966"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确定管理体系的范围</w:t>
            </w:r>
          </w:p>
          <w:p>
            <w:pPr>
              <w:spacing w:line="360" w:lineRule="auto"/>
              <w:rPr>
                <w:rFonts w:hint="eastAsia" w:ascii="宋体" w:hAnsi="宋体" w:eastAsia="宋体" w:cs="宋体"/>
                <w:sz w:val="21"/>
                <w:szCs w:val="21"/>
                <w:lang w:val="en-US" w:eastAsia="zh-CN"/>
              </w:rPr>
            </w:pPr>
          </w:p>
        </w:tc>
        <w:tc>
          <w:tcPr>
            <w:tcW w:w="1050" w:type="dxa"/>
          </w:tcPr>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E</w:t>
            </w:r>
            <w:r>
              <w:rPr>
                <w:rFonts w:hint="eastAsia" w:ascii="宋体" w:hAnsi="宋体" w:eastAsia="宋体" w:cs="宋体"/>
                <w:sz w:val="21"/>
                <w:szCs w:val="21"/>
                <w:lang w:val="en-US" w:eastAsia="zh-CN"/>
              </w:rPr>
              <w:t xml:space="preserve"> 4.3</w:t>
            </w:r>
          </w:p>
          <w:p>
            <w:pPr>
              <w:spacing w:line="360" w:lineRule="auto"/>
              <w:rPr>
                <w:rFonts w:hint="eastAsia" w:ascii="宋体" w:hAnsi="宋体" w:eastAsia="宋体" w:cs="宋体"/>
                <w:sz w:val="21"/>
                <w:szCs w:val="21"/>
                <w:lang w:val="en-US" w:eastAsia="zh-CN"/>
              </w:rPr>
            </w:pPr>
          </w:p>
        </w:tc>
        <w:tc>
          <w:tcPr>
            <w:tcW w:w="10842" w:type="dxa"/>
            <w:vAlign w:val="center"/>
          </w:tcPr>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经核实确认，组织管理体系范围为：</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E：金属轧制设备用精密铸钢件的加工所涉及场所的相关环境管理活动</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不适用条款：GB/T19001-2016</w:t>
            </w:r>
            <w:r>
              <w:rPr>
                <w:rFonts w:hint="eastAsia" w:ascii="宋体" w:hAnsi="宋体" w:cs="宋体"/>
                <w:sz w:val="21"/>
                <w:szCs w:val="21"/>
                <w:lang w:val="en-US" w:eastAsia="zh-CN"/>
              </w:rPr>
              <w:t>标准第8.3条款</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外包过程：</w:t>
            </w:r>
            <w:r>
              <w:rPr>
                <w:rFonts w:hint="eastAsia" w:ascii="宋体" w:hAnsi="宋体" w:cs="宋体"/>
                <w:sz w:val="21"/>
                <w:szCs w:val="21"/>
                <w:lang w:val="en-US" w:eastAsia="zh-CN"/>
              </w:rPr>
              <w:t>无</w:t>
            </w:r>
            <w:r>
              <w:rPr>
                <w:rFonts w:hint="eastAsia" w:ascii="宋体" w:hAnsi="宋体" w:eastAsia="宋体" w:cs="宋体"/>
                <w:sz w:val="21"/>
                <w:szCs w:val="21"/>
                <w:lang w:val="en-US" w:eastAsia="zh-CN"/>
              </w:rPr>
              <w:t>。</w:t>
            </w:r>
          </w:p>
        </w:tc>
        <w:tc>
          <w:tcPr>
            <w:tcW w:w="851" w:type="dxa"/>
          </w:tcPr>
          <w:p>
            <w:pPr>
              <w:spacing w:line="360" w:lineRule="auto"/>
              <w:rPr>
                <w:rFonts w:hint="eastAsia" w:ascii="宋体" w:hAnsi="宋体" w:eastAsia="宋体" w:cs="宋体"/>
                <w:color w:val="FF0000"/>
                <w:sz w:val="21"/>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966"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管理体系及其过程</w:t>
            </w:r>
          </w:p>
          <w:p>
            <w:pPr>
              <w:spacing w:line="360" w:lineRule="auto"/>
              <w:ind w:firstLine="420" w:firstLineChars="200"/>
              <w:rPr>
                <w:rFonts w:hint="eastAsia" w:ascii="宋体" w:hAnsi="宋体" w:eastAsia="宋体" w:cs="宋体"/>
                <w:sz w:val="21"/>
                <w:szCs w:val="21"/>
              </w:rPr>
            </w:pPr>
          </w:p>
        </w:tc>
        <w:tc>
          <w:tcPr>
            <w:tcW w:w="1050" w:type="dxa"/>
          </w:tcPr>
          <w:p>
            <w:pPr>
              <w:spacing w:line="360" w:lineRule="auto"/>
              <w:rPr>
                <w:rFonts w:hint="eastAsia" w:ascii="宋体" w:hAnsi="宋体" w:eastAsia="宋体" w:cs="宋体"/>
                <w:sz w:val="21"/>
                <w:szCs w:val="21"/>
              </w:rPr>
            </w:pPr>
            <w:r>
              <w:rPr>
                <w:rFonts w:hint="eastAsia" w:ascii="宋体" w:hAnsi="宋体" w:cs="宋体"/>
                <w:sz w:val="21"/>
                <w:szCs w:val="21"/>
                <w:lang w:eastAsia="zh-CN"/>
              </w:rPr>
              <w:t>E</w:t>
            </w:r>
            <w:r>
              <w:rPr>
                <w:rFonts w:hint="eastAsia" w:ascii="宋体" w:hAnsi="宋体" w:eastAsia="宋体" w:cs="宋体"/>
                <w:sz w:val="21"/>
                <w:szCs w:val="21"/>
              </w:rPr>
              <w:t>4.4</w:t>
            </w:r>
          </w:p>
          <w:p>
            <w:pPr>
              <w:spacing w:line="360" w:lineRule="auto"/>
              <w:ind w:firstLine="420" w:firstLineChars="200"/>
              <w:rPr>
                <w:rFonts w:hint="eastAsia" w:ascii="宋体" w:hAnsi="宋体" w:eastAsia="宋体" w:cs="宋体"/>
                <w:sz w:val="21"/>
                <w:szCs w:val="21"/>
              </w:rPr>
            </w:pPr>
          </w:p>
        </w:tc>
        <w:tc>
          <w:tcPr>
            <w:tcW w:w="10842" w:type="dxa"/>
            <w:vAlign w:val="center"/>
          </w:tcPr>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该公司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对管理目标完成情况进行统计分析，出示202</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年1～</w:t>
            </w:r>
            <w:r>
              <w:rPr>
                <w:rFonts w:hint="eastAsia" w:ascii="宋体" w:hAnsi="宋体" w:cs="宋体"/>
                <w:sz w:val="21"/>
                <w:szCs w:val="21"/>
                <w:lang w:val="en-US" w:eastAsia="zh-CN"/>
              </w:rPr>
              <w:t>3季度</w:t>
            </w:r>
            <w:r>
              <w:rPr>
                <w:rFonts w:hint="eastAsia" w:ascii="宋体" w:hAnsi="宋体" w:eastAsia="宋体" w:cs="宋体"/>
                <w:sz w:val="21"/>
                <w:szCs w:val="21"/>
                <w:lang w:val="en-US" w:eastAsia="zh-CN"/>
              </w:rPr>
              <w:t>管理目标分解及完成情况记录。</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与负责人交流：部门确定了满足与管理体系有关的客户及相关方的要求。</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为能在公司范围内更好的应用</w:t>
            </w:r>
            <w:r>
              <w:rPr>
                <w:rFonts w:hint="eastAsia" w:ascii="宋体" w:hAnsi="宋体" w:cs="宋体"/>
                <w:sz w:val="21"/>
                <w:szCs w:val="21"/>
                <w:lang w:val="en-US" w:eastAsia="zh-CN"/>
              </w:rPr>
              <w:t>环境/职业健康安全管理体系</w:t>
            </w:r>
            <w:r>
              <w:rPr>
                <w:rFonts w:hint="eastAsia" w:ascii="宋体" w:hAnsi="宋体" w:eastAsia="宋体" w:cs="宋体"/>
                <w:sz w:val="21"/>
                <w:szCs w:val="21"/>
                <w:lang w:val="en-US" w:eastAsia="zh-CN"/>
              </w:rPr>
              <w:t>及其过程方法，编制有《管理手册》，作为公司质量管理的纲领性文件；编制有《程序文件》，说明本公司内部</w:t>
            </w:r>
            <w:bookmarkStart w:id="0" w:name="_GoBack"/>
            <w:r>
              <w:rPr>
                <w:rFonts w:hint="eastAsia" w:ascii="宋体" w:hAnsi="宋体" w:eastAsia="宋体" w:cs="宋体"/>
                <w:sz w:val="21"/>
                <w:szCs w:val="21"/>
                <w:lang w:val="en-US" w:eastAsia="zh-CN"/>
              </w:rPr>
              <w:t>质量/</w:t>
            </w:r>
            <w:bookmarkEnd w:id="0"/>
            <w:r>
              <w:rPr>
                <w:rFonts w:hint="eastAsia" w:ascii="宋体" w:hAnsi="宋体" w:eastAsia="宋体" w:cs="宋体"/>
                <w:sz w:val="21"/>
                <w:szCs w:val="21"/>
                <w:lang w:val="en-US" w:eastAsia="zh-CN"/>
              </w:rPr>
              <w:t>环境/职业健康安全体系运行的各过程及其之间的顺序和相互作用；编制各类支持性文件及记录表格等作为证明过程运行的证据。</w:t>
            </w:r>
          </w:p>
        </w:tc>
        <w:tc>
          <w:tcPr>
            <w:tcW w:w="851" w:type="dxa"/>
          </w:tcPr>
          <w:p>
            <w:pPr>
              <w:spacing w:line="360" w:lineRule="auto"/>
              <w:rPr>
                <w:rFonts w:hint="eastAsia" w:ascii="宋体" w:hAnsi="宋体" w:eastAsia="宋体" w:cs="宋体"/>
                <w:color w:val="FF0000"/>
                <w:sz w:val="21"/>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966" w:type="dxa"/>
            <w:vAlign w:val="top"/>
          </w:tcPr>
          <w:p>
            <w:pPr>
              <w:spacing w:line="280" w:lineRule="exact"/>
              <w:rPr>
                <w:rFonts w:ascii="宋体" w:hAnsi="宋体" w:cs="宋体"/>
                <w:szCs w:val="21"/>
              </w:rPr>
            </w:pPr>
            <w:r>
              <w:rPr>
                <w:rFonts w:hint="eastAsia" w:ascii="宋体" w:hAnsi="宋体" w:cs="宋体"/>
                <w:szCs w:val="21"/>
              </w:rPr>
              <w:t>领导作用与承诺</w:t>
            </w:r>
          </w:p>
          <w:p>
            <w:pPr>
              <w:spacing w:line="280" w:lineRule="exact"/>
              <w:rPr>
                <w:rFonts w:hint="eastAsia" w:ascii="Times New Roman" w:hAnsi="Times New Roman" w:eastAsia="宋体" w:cs="Times New Roman"/>
                <w:kern w:val="2"/>
                <w:sz w:val="21"/>
                <w:lang w:val="en-US" w:eastAsia="zh-CN" w:bidi="ar-SA"/>
              </w:rPr>
            </w:pPr>
          </w:p>
        </w:tc>
        <w:tc>
          <w:tcPr>
            <w:tcW w:w="1050" w:type="dxa"/>
            <w:vAlign w:val="top"/>
          </w:tcPr>
          <w:p>
            <w:pPr>
              <w:spacing w:line="280" w:lineRule="exact"/>
              <w:rPr>
                <w:rFonts w:ascii="宋体" w:hAnsi="宋体" w:cs="宋体"/>
                <w:szCs w:val="21"/>
              </w:rPr>
            </w:pPr>
            <w:r>
              <w:rPr>
                <w:rFonts w:hint="eastAsia" w:ascii="宋体" w:hAnsi="宋体" w:cs="宋体"/>
                <w:szCs w:val="21"/>
                <w:lang w:eastAsia="zh-CN"/>
              </w:rPr>
              <w:t>E</w:t>
            </w:r>
            <w:r>
              <w:rPr>
                <w:rFonts w:hint="eastAsia" w:ascii="宋体" w:hAnsi="宋体" w:cs="宋体"/>
                <w:szCs w:val="21"/>
              </w:rPr>
              <w:t>5.1</w:t>
            </w:r>
          </w:p>
          <w:p>
            <w:pPr>
              <w:spacing w:line="280" w:lineRule="exact"/>
              <w:rPr>
                <w:rFonts w:hint="eastAsia" w:ascii="Times New Roman" w:hAnsi="Times New Roman" w:eastAsia="宋体" w:cs="Times New Roman"/>
                <w:kern w:val="2"/>
                <w:sz w:val="21"/>
                <w:lang w:val="en-US" w:eastAsia="zh-CN" w:bidi="ar-SA"/>
              </w:rPr>
            </w:pPr>
          </w:p>
        </w:tc>
        <w:tc>
          <w:tcPr>
            <w:tcW w:w="10842" w:type="dxa"/>
            <w:vAlign w:val="center"/>
          </w:tcPr>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公司</w:t>
            </w:r>
            <w:r>
              <w:rPr>
                <w:rFonts w:hint="eastAsia" w:ascii="宋体" w:hAnsi="宋体" w:eastAsia="宋体" w:cs="宋体"/>
                <w:szCs w:val="21"/>
                <w:lang w:val="en-US" w:eastAsia="zh-CN"/>
              </w:rPr>
              <w:t>最高管理者</w:t>
            </w:r>
            <w:r>
              <w:rPr>
                <w:rFonts w:hint="eastAsia" w:ascii="宋体" w:hAnsi="宋体" w:eastAsia="宋体" w:cs="宋体"/>
                <w:szCs w:val="21"/>
              </w:rPr>
              <w:t>介绍主要承诺有：</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a)对</w:t>
            </w:r>
            <w:r>
              <w:rPr>
                <w:rFonts w:hint="eastAsia" w:ascii="宋体" w:hAnsi="宋体" w:cs="宋体"/>
                <w:szCs w:val="21"/>
                <w:lang w:eastAsia="zh-CN"/>
              </w:rPr>
              <w:t>环境</w:t>
            </w:r>
            <w:r>
              <w:rPr>
                <w:rFonts w:hint="eastAsia" w:ascii="宋体" w:hAnsi="宋体" w:eastAsia="宋体" w:cs="宋体"/>
                <w:szCs w:val="21"/>
              </w:rPr>
              <w:t xml:space="preserve">管理体系的有效性负责，并承担体系运行主要责任；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b)确保制定</w:t>
            </w:r>
            <w:r>
              <w:rPr>
                <w:rFonts w:hint="eastAsia" w:ascii="宋体" w:hAnsi="宋体" w:cs="宋体"/>
                <w:szCs w:val="21"/>
                <w:lang w:eastAsia="zh-CN"/>
              </w:rPr>
              <w:t>环境</w:t>
            </w:r>
            <w:r>
              <w:rPr>
                <w:rFonts w:hint="eastAsia" w:ascii="宋体" w:hAnsi="宋体" w:eastAsia="宋体" w:cs="宋体"/>
                <w:szCs w:val="21"/>
              </w:rPr>
              <w:t xml:space="preserve">管理体系的质量方针和管理目标，并与组织环境和战略方向相一致；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c)确保</w:t>
            </w:r>
            <w:r>
              <w:rPr>
                <w:rFonts w:hint="eastAsia" w:ascii="宋体" w:hAnsi="宋体" w:cs="宋体"/>
                <w:szCs w:val="21"/>
                <w:lang w:eastAsia="zh-CN"/>
              </w:rPr>
              <w:t>环境</w:t>
            </w:r>
            <w:r>
              <w:rPr>
                <w:rFonts w:hint="eastAsia" w:ascii="宋体" w:hAnsi="宋体" w:eastAsia="宋体" w:cs="宋体"/>
                <w:szCs w:val="21"/>
              </w:rPr>
              <w:t xml:space="preserve">管理体系要求融入与组织的业务过程；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d)促进使用过程方法和基于风险的思维；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e)确保获得</w:t>
            </w:r>
            <w:r>
              <w:rPr>
                <w:rFonts w:hint="eastAsia" w:ascii="宋体" w:hAnsi="宋体" w:cs="宋体"/>
                <w:szCs w:val="21"/>
                <w:lang w:eastAsia="zh-CN"/>
              </w:rPr>
              <w:t>环境</w:t>
            </w:r>
            <w:r>
              <w:rPr>
                <w:rFonts w:hint="eastAsia" w:ascii="宋体" w:hAnsi="宋体" w:eastAsia="宋体" w:cs="宋体"/>
                <w:szCs w:val="21"/>
              </w:rPr>
              <w:t xml:space="preserve">管理体系所需的资源；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f)就有效</w:t>
            </w:r>
            <w:r>
              <w:rPr>
                <w:rFonts w:hint="eastAsia" w:ascii="宋体" w:hAnsi="宋体" w:cs="宋体"/>
                <w:szCs w:val="21"/>
                <w:lang w:eastAsia="zh-CN"/>
              </w:rPr>
              <w:t>环境</w:t>
            </w:r>
            <w:r>
              <w:rPr>
                <w:rFonts w:hint="eastAsia" w:ascii="宋体" w:hAnsi="宋体" w:eastAsia="宋体" w:cs="宋体"/>
                <w:szCs w:val="21"/>
              </w:rPr>
              <w:t>管理体系的重要性和符合管理体系要求的重要性进行沟通；</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g)在组织内发展、引领并促成一种支持效</w:t>
            </w:r>
            <w:r>
              <w:rPr>
                <w:rFonts w:hint="eastAsia" w:ascii="宋体" w:hAnsi="宋体" w:cs="宋体"/>
                <w:szCs w:val="21"/>
                <w:lang w:eastAsia="zh-CN"/>
              </w:rPr>
              <w:t>环境</w:t>
            </w:r>
            <w:r>
              <w:rPr>
                <w:rFonts w:hint="eastAsia" w:ascii="宋体" w:hAnsi="宋体" w:eastAsia="宋体" w:cs="宋体"/>
                <w:szCs w:val="21"/>
              </w:rPr>
              <w:t xml:space="preserve">管理体系预期结果的文化；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h)确保实现</w:t>
            </w:r>
            <w:r>
              <w:rPr>
                <w:rFonts w:hint="eastAsia" w:ascii="宋体" w:hAnsi="宋体" w:cs="宋体"/>
                <w:szCs w:val="21"/>
                <w:lang w:eastAsia="zh-CN"/>
              </w:rPr>
              <w:t>环境</w:t>
            </w:r>
            <w:r>
              <w:rPr>
                <w:rFonts w:hint="eastAsia" w:ascii="宋体" w:hAnsi="宋体" w:eastAsia="宋体" w:cs="宋体"/>
                <w:szCs w:val="21"/>
              </w:rPr>
              <w:t xml:space="preserve">管理体系的预期结果；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i)促使、指导和支持员工努力提高</w:t>
            </w:r>
            <w:r>
              <w:rPr>
                <w:rFonts w:hint="eastAsia" w:ascii="宋体" w:hAnsi="宋体" w:cs="宋体"/>
                <w:szCs w:val="21"/>
                <w:lang w:eastAsia="zh-CN"/>
              </w:rPr>
              <w:t>环境</w:t>
            </w:r>
            <w:r>
              <w:rPr>
                <w:rFonts w:hint="eastAsia" w:ascii="宋体" w:hAnsi="宋体" w:eastAsia="宋体" w:cs="宋体"/>
                <w:szCs w:val="21"/>
              </w:rPr>
              <w:t xml:space="preserve">管理体系的有效性做出贡献；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j)推动改进；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k)支持其他相关管理者履行其相关领域的职责范围内证实及领导作用；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l)保护员工在报告事件、危险源、风险和机遇是免遭报复；</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m)确保组织建立并并实施员工协商和参与的过程；</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n)支持健康和安全委员会的建立和运行；</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360" w:lineRule="auto"/>
              <w:ind w:firstLine="420" w:firstLineChars="200"/>
              <w:rPr>
                <w:rFonts w:hint="eastAsia" w:ascii="Times New Roman" w:hAnsi="Times New Roman" w:eastAsia="宋体" w:cs="Times New Roman"/>
                <w:kern w:val="2"/>
                <w:sz w:val="21"/>
                <w:lang w:val="en-US" w:eastAsia="zh-CN" w:bidi="ar-SA"/>
              </w:rPr>
            </w:pPr>
            <w:r>
              <w:rPr>
                <w:rFonts w:hint="eastAsia" w:ascii="宋体" w:hAnsi="宋体" w:eastAsia="宋体" w:cs="宋体"/>
                <w:szCs w:val="21"/>
              </w:rPr>
              <w:t>承诺基本实现，没有违反的情况发生。</w:t>
            </w:r>
          </w:p>
        </w:tc>
        <w:tc>
          <w:tcPr>
            <w:tcW w:w="851"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66" w:type="dxa"/>
          </w:tcPr>
          <w:p>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方针</w:t>
            </w:r>
          </w:p>
          <w:p>
            <w:pPr>
              <w:numPr>
                <w:ilvl w:val="0"/>
                <w:numId w:val="0"/>
              </w:numPr>
              <w:spacing w:line="360" w:lineRule="auto"/>
              <w:rPr>
                <w:rFonts w:hint="eastAsia" w:ascii="宋体" w:hAnsi="宋体" w:eastAsia="宋体" w:cs="宋体"/>
                <w:sz w:val="21"/>
                <w:szCs w:val="21"/>
                <w:lang w:val="en-US" w:eastAsia="zh-CN"/>
              </w:rPr>
            </w:pPr>
          </w:p>
        </w:tc>
        <w:tc>
          <w:tcPr>
            <w:tcW w:w="1050" w:type="dxa"/>
          </w:tcPr>
          <w:p>
            <w:pPr>
              <w:numPr>
                <w:ilvl w:val="0"/>
                <w:numId w:val="0"/>
              </w:num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E</w:t>
            </w:r>
            <w:r>
              <w:rPr>
                <w:rFonts w:hint="eastAsia" w:ascii="宋体" w:hAnsi="宋体" w:eastAsia="宋体" w:cs="宋体"/>
                <w:sz w:val="21"/>
                <w:szCs w:val="21"/>
                <w:lang w:val="en-US" w:eastAsia="zh-CN"/>
              </w:rPr>
              <w:t>5.2</w:t>
            </w:r>
          </w:p>
          <w:p>
            <w:pPr>
              <w:numPr>
                <w:ilvl w:val="0"/>
                <w:numId w:val="0"/>
              </w:numPr>
              <w:spacing w:line="360" w:lineRule="auto"/>
              <w:ind w:firstLine="420" w:firstLineChars="200"/>
              <w:rPr>
                <w:rFonts w:hint="eastAsia" w:ascii="宋体" w:hAnsi="宋体" w:eastAsia="宋体" w:cs="宋体"/>
                <w:sz w:val="21"/>
                <w:szCs w:val="21"/>
                <w:lang w:val="en-US" w:eastAsia="zh-CN"/>
              </w:rPr>
            </w:pPr>
          </w:p>
          <w:p>
            <w:pPr>
              <w:numPr>
                <w:ilvl w:val="0"/>
                <w:numId w:val="0"/>
              </w:numPr>
              <w:spacing w:line="360" w:lineRule="auto"/>
              <w:ind w:firstLine="420" w:firstLineChars="200"/>
              <w:rPr>
                <w:rFonts w:hint="eastAsia" w:ascii="宋体" w:hAnsi="宋体" w:eastAsia="宋体" w:cs="宋体"/>
                <w:sz w:val="21"/>
                <w:szCs w:val="21"/>
                <w:lang w:val="en-US" w:eastAsia="zh-CN"/>
              </w:rPr>
            </w:pPr>
          </w:p>
          <w:p>
            <w:pPr>
              <w:numPr>
                <w:ilvl w:val="0"/>
                <w:numId w:val="0"/>
              </w:numPr>
              <w:spacing w:line="360" w:lineRule="auto"/>
              <w:ind w:firstLine="420" w:firstLineChars="200"/>
              <w:rPr>
                <w:rFonts w:hint="eastAsia" w:ascii="宋体" w:hAnsi="宋体" w:eastAsia="宋体" w:cs="宋体"/>
                <w:sz w:val="21"/>
                <w:szCs w:val="21"/>
                <w:lang w:val="en-US" w:eastAsia="zh-CN"/>
              </w:rPr>
            </w:pPr>
          </w:p>
        </w:tc>
        <w:tc>
          <w:tcPr>
            <w:tcW w:w="10842" w:type="dxa"/>
            <w:vAlign w:val="center"/>
          </w:tcPr>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该公司</w:t>
            </w:r>
            <w:r>
              <w:rPr>
                <w:rFonts w:hint="eastAsia" w:ascii="宋体" w:hAnsi="宋体" w:cs="宋体"/>
                <w:sz w:val="21"/>
                <w:szCs w:val="21"/>
                <w:lang w:val="en-US" w:eastAsia="zh-CN"/>
              </w:rPr>
              <w:t>环境</w:t>
            </w:r>
            <w:r>
              <w:rPr>
                <w:rFonts w:hint="eastAsia" w:ascii="宋体" w:hAnsi="宋体" w:eastAsia="宋体" w:cs="宋体"/>
                <w:sz w:val="21"/>
                <w:szCs w:val="21"/>
                <w:lang w:val="en-US" w:eastAsia="zh-CN"/>
              </w:rPr>
              <w:t>方针：</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用心服务质量为先，预防污染保护环境；</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关爱员工健康安全，持续改进追求卓越。</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组织以</w:t>
            </w:r>
            <w:r>
              <w:rPr>
                <w:rFonts w:hint="eastAsia" w:ascii="宋体" w:hAnsi="宋体" w:cs="宋体"/>
                <w:sz w:val="21"/>
                <w:szCs w:val="21"/>
                <w:lang w:val="en-US" w:eastAsia="zh-CN"/>
              </w:rPr>
              <w:t>环境</w:t>
            </w:r>
            <w:r>
              <w:rPr>
                <w:rFonts w:hint="eastAsia" w:ascii="宋体" w:hAnsi="宋体" w:eastAsia="宋体" w:cs="宋体"/>
                <w:sz w:val="21"/>
                <w:szCs w:val="21"/>
                <w:lang w:val="en-US" w:eastAsia="zh-CN"/>
              </w:rPr>
              <w:t>标准为基础，结合实际特制定管理方针，与组织的经营宗旨基本一致，能为制定目标提供框架，基本符合标准的要求。</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管理者代表对方针内涵的理解较深刻，并通过会议、文件等手段保证管理方针为全体员工理解并落实到工作中，相关方也可通过组织获取相应的管理方针。</w:t>
            </w:r>
          </w:p>
        </w:tc>
        <w:tc>
          <w:tcPr>
            <w:tcW w:w="851" w:type="dxa"/>
          </w:tcPr>
          <w:p>
            <w:pPr>
              <w:spacing w:line="360" w:lineRule="auto"/>
              <w:rPr>
                <w:rFonts w:hint="eastAsia" w:ascii="宋体" w:hAnsi="宋体" w:eastAsia="宋体" w:cs="宋体"/>
                <w:color w:val="FF0000"/>
                <w:sz w:val="21"/>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66" w:type="dxa"/>
          </w:tcPr>
          <w:p>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组织的岗位、职责和权限</w:t>
            </w:r>
          </w:p>
          <w:p>
            <w:pPr>
              <w:numPr>
                <w:ilvl w:val="0"/>
                <w:numId w:val="0"/>
              </w:numPr>
              <w:spacing w:line="360" w:lineRule="auto"/>
              <w:ind w:firstLine="420" w:firstLineChars="200"/>
              <w:rPr>
                <w:rFonts w:hint="eastAsia" w:ascii="宋体" w:hAnsi="宋体" w:eastAsia="宋体" w:cs="宋体"/>
                <w:sz w:val="21"/>
                <w:szCs w:val="21"/>
                <w:lang w:val="en-US" w:eastAsia="zh-CN"/>
              </w:rPr>
            </w:pPr>
          </w:p>
        </w:tc>
        <w:tc>
          <w:tcPr>
            <w:tcW w:w="1050" w:type="dxa"/>
          </w:tcPr>
          <w:p>
            <w:pPr>
              <w:numPr>
                <w:ilvl w:val="0"/>
                <w:numId w:val="0"/>
              </w:num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E</w:t>
            </w:r>
            <w:r>
              <w:rPr>
                <w:rFonts w:hint="eastAsia" w:ascii="宋体" w:hAnsi="宋体" w:eastAsia="宋体" w:cs="宋体"/>
                <w:sz w:val="21"/>
                <w:szCs w:val="21"/>
                <w:lang w:val="en-US" w:eastAsia="zh-CN"/>
              </w:rPr>
              <w:t>5.3</w:t>
            </w:r>
          </w:p>
          <w:p>
            <w:pPr>
              <w:numPr>
                <w:ilvl w:val="0"/>
                <w:numId w:val="0"/>
              </w:numPr>
              <w:spacing w:line="360" w:lineRule="auto"/>
              <w:ind w:firstLine="420" w:firstLineChars="200"/>
              <w:rPr>
                <w:rFonts w:hint="eastAsia" w:ascii="宋体" w:hAnsi="宋体" w:eastAsia="宋体" w:cs="宋体"/>
                <w:sz w:val="21"/>
                <w:szCs w:val="21"/>
                <w:lang w:val="en-US" w:eastAsia="zh-CN"/>
              </w:rPr>
            </w:pPr>
          </w:p>
        </w:tc>
        <w:tc>
          <w:tcPr>
            <w:tcW w:w="10842" w:type="dxa"/>
            <w:vAlign w:val="center"/>
          </w:tcPr>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组织确定了各部门、岗位人员职责、权限和相互关系，并对各级员工进行了必要的传达。</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组织任命</w:t>
            </w:r>
            <w:r>
              <w:rPr>
                <w:rFonts w:hint="eastAsia" w:ascii="宋体" w:hAnsi="宋体" w:cs="宋体"/>
                <w:sz w:val="21"/>
                <w:szCs w:val="21"/>
                <w:lang w:val="en-US" w:eastAsia="zh-CN"/>
              </w:rPr>
              <w:t>张智慧</w:t>
            </w:r>
            <w:r>
              <w:rPr>
                <w:rFonts w:hint="eastAsia" w:ascii="宋体" w:hAnsi="宋体" w:eastAsia="宋体" w:cs="宋体"/>
                <w:sz w:val="21"/>
                <w:szCs w:val="21"/>
                <w:lang w:val="en-US" w:eastAsia="zh-CN"/>
              </w:rPr>
              <w:t>为管理体系的管理者代表。</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抽查其职责和权限规定如下：</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1.负责组织建立、实施和保持公司的质量、</w:t>
            </w:r>
            <w:r>
              <w:rPr>
                <w:rFonts w:hint="eastAsia" w:ascii="宋体" w:hAnsi="宋体" w:cs="宋体"/>
                <w:sz w:val="21"/>
                <w:szCs w:val="21"/>
                <w:lang w:val="en-US" w:eastAsia="zh-CN"/>
              </w:rPr>
              <w:t>环境</w:t>
            </w:r>
            <w:r>
              <w:rPr>
                <w:rFonts w:hint="eastAsia" w:ascii="宋体" w:hAnsi="宋体" w:eastAsia="宋体" w:cs="宋体"/>
                <w:sz w:val="21"/>
                <w:szCs w:val="21"/>
                <w:lang w:val="en-US" w:eastAsia="zh-CN"/>
              </w:rPr>
              <w:t>管理体系，促进有效运行；</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2.向总经理及时报告公司质量、</w:t>
            </w:r>
            <w:r>
              <w:rPr>
                <w:rFonts w:hint="eastAsia" w:ascii="宋体" w:hAnsi="宋体" w:cs="宋体"/>
                <w:sz w:val="21"/>
                <w:szCs w:val="21"/>
                <w:lang w:val="en-US" w:eastAsia="zh-CN"/>
              </w:rPr>
              <w:t>环境</w:t>
            </w:r>
            <w:r>
              <w:rPr>
                <w:rFonts w:hint="eastAsia" w:ascii="宋体" w:hAnsi="宋体" w:eastAsia="宋体" w:cs="宋体"/>
                <w:sz w:val="21"/>
                <w:szCs w:val="21"/>
                <w:lang w:val="en-US" w:eastAsia="zh-CN"/>
              </w:rPr>
              <w:t>管理体系的运行情况和任何改进的需求；</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3.采取有效形式，提高公司全体员工满足顾客要求的意识及</w:t>
            </w:r>
            <w:r>
              <w:rPr>
                <w:rFonts w:hint="eastAsia" w:ascii="宋体" w:hAnsi="宋体" w:cs="宋体"/>
                <w:sz w:val="21"/>
                <w:szCs w:val="21"/>
                <w:lang w:val="en-US" w:eastAsia="zh-CN"/>
              </w:rPr>
              <w:t>环境</w:t>
            </w:r>
            <w:r>
              <w:rPr>
                <w:rFonts w:hint="eastAsia" w:ascii="宋体" w:hAnsi="宋体" w:eastAsia="宋体" w:cs="宋体"/>
                <w:sz w:val="21"/>
                <w:szCs w:val="21"/>
                <w:lang w:val="en-US" w:eastAsia="zh-CN"/>
              </w:rPr>
              <w:t>参与意识；</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4.代表公司就质量、</w:t>
            </w:r>
            <w:r>
              <w:rPr>
                <w:rFonts w:hint="eastAsia" w:ascii="宋体" w:hAnsi="宋体" w:cs="宋体"/>
                <w:sz w:val="21"/>
                <w:szCs w:val="21"/>
                <w:lang w:val="en-US" w:eastAsia="zh-CN"/>
              </w:rPr>
              <w:t>环境</w:t>
            </w:r>
            <w:r>
              <w:rPr>
                <w:rFonts w:hint="eastAsia" w:ascii="宋体" w:hAnsi="宋体" w:eastAsia="宋体" w:cs="宋体"/>
                <w:sz w:val="21"/>
                <w:szCs w:val="21"/>
                <w:lang w:val="en-US" w:eastAsia="zh-CN"/>
              </w:rPr>
              <w:t>管理的有关事宜与外部方进行联络；</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5.负责对质量、</w:t>
            </w:r>
            <w:r>
              <w:rPr>
                <w:rFonts w:hint="eastAsia" w:ascii="宋体" w:hAnsi="宋体" w:cs="宋体"/>
                <w:sz w:val="21"/>
                <w:szCs w:val="21"/>
                <w:lang w:val="en-US" w:eastAsia="zh-CN"/>
              </w:rPr>
              <w:t>环境</w:t>
            </w:r>
            <w:r>
              <w:rPr>
                <w:rFonts w:hint="eastAsia" w:ascii="宋体" w:hAnsi="宋体" w:eastAsia="宋体" w:cs="宋体"/>
                <w:sz w:val="21"/>
                <w:szCs w:val="21"/>
                <w:lang w:val="en-US" w:eastAsia="zh-CN"/>
              </w:rPr>
              <w:t>管理体系有关争议的裁决；</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6.负责组织内审工作。</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询问管代</w:t>
            </w:r>
            <w:r>
              <w:rPr>
                <w:rFonts w:hint="eastAsia" w:ascii="宋体" w:hAnsi="宋体" w:cs="宋体"/>
                <w:sz w:val="21"/>
                <w:szCs w:val="21"/>
                <w:lang w:val="en-US" w:eastAsia="zh-CN"/>
              </w:rPr>
              <w:t>张智慧</w:t>
            </w:r>
            <w:r>
              <w:rPr>
                <w:rFonts w:hint="eastAsia" w:ascii="宋体" w:hAnsi="宋体" w:eastAsia="宋体" w:cs="宋体"/>
                <w:sz w:val="21"/>
                <w:szCs w:val="21"/>
                <w:lang w:val="en-US" w:eastAsia="zh-CN"/>
              </w:rPr>
              <w:t>职责回答正确，其职能和权限设置基本能够满足要求。</w:t>
            </w:r>
          </w:p>
        </w:tc>
        <w:tc>
          <w:tcPr>
            <w:tcW w:w="851" w:type="dxa"/>
          </w:tcPr>
          <w:p>
            <w:pPr>
              <w:spacing w:line="360" w:lineRule="auto"/>
              <w:rPr>
                <w:rFonts w:hint="eastAsia" w:ascii="宋体" w:hAnsi="宋体" w:eastAsia="宋体" w:cs="宋体"/>
                <w:color w:val="FF0000"/>
                <w:sz w:val="21"/>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1966" w:type="dxa"/>
          </w:tcPr>
          <w:p>
            <w:pPr>
              <w:numPr>
                <w:ilvl w:val="0"/>
                <w:numId w:val="0"/>
              </w:numPr>
              <w:spacing w:line="360" w:lineRule="auto"/>
              <w:jc w:val="left"/>
              <w:rPr>
                <w:rFonts w:hint="eastAsia" w:ascii="宋体" w:hAnsi="宋体" w:eastAsia="宋体" w:cs="宋体"/>
                <w:sz w:val="21"/>
                <w:szCs w:val="21"/>
                <w:lang w:val="en-US" w:eastAsia="zh-CN"/>
              </w:rPr>
            </w:pPr>
            <w:r>
              <w:rPr>
                <w:rFonts w:hint="eastAsia" w:ascii="宋体" w:hAnsi="宋体" w:eastAsia="宋体" w:cs="宋体"/>
                <w:spacing w:val="-6"/>
                <w:sz w:val="21"/>
                <w:szCs w:val="21"/>
                <w:u w:val="none"/>
              </w:rPr>
              <w:t>应对风险和机遇的措施</w:t>
            </w:r>
          </w:p>
        </w:tc>
        <w:tc>
          <w:tcPr>
            <w:tcW w:w="1050" w:type="dxa"/>
          </w:tcPr>
          <w:p>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E6.1</w:t>
            </w:r>
          </w:p>
          <w:p>
            <w:pPr>
              <w:numPr>
                <w:ilvl w:val="0"/>
                <w:numId w:val="0"/>
              </w:numPr>
              <w:spacing w:line="360" w:lineRule="auto"/>
              <w:ind w:firstLine="420" w:firstLineChars="200"/>
              <w:rPr>
                <w:rFonts w:hint="eastAsia" w:ascii="宋体" w:hAnsi="宋体" w:eastAsia="宋体" w:cs="宋体"/>
                <w:sz w:val="21"/>
                <w:szCs w:val="21"/>
                <w:lang w:val="en-US" w:eastAsia="zh-CN"/>
              </w:rPr>
            </w:pPr>
          </w:p>
        </w:tc>
        <w:tc>
          <w:tcPr>
            <w:tcW w:w="10842" w:type="dxa"/>
            <w:vAlign w:val="center"/>
          </w:tcPr>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在策划管理体系时考虑了风险和机遇以及相应的应对措施，制定了YC-PD25《风险和机遇应对控制程序》，明确了风险和机遇事件的识别方法/途径、评估方式、制定主要风险和机遇事件的应对措施的要求、评价这些措施有效性的方法。</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组织根据程序文件要求，将需要应对的风险和机遇进行风险分析确定风险级别（一般风险、</w:t>
            </w:r>
            <w:r>
              <w:rPr>
                <w:rFonts w:hint="eastAsia" w:ascii="宋体" w:hAnsi="宋体" w:cs="宋体"/>
                <w:sz w:val="21"/>
                <w:szCs w:val="21"/>
                <w:lang w:val="en-US" w:eastAsia="zh-CN"/>
              </w:rPr>
              <w:t>高</w:t>
            </w:r>
            <w:r>
              <w:rPr>
                <w:rFonts w:hint="eastAsia" w:ascii="宋体" w:hAnsi="宋体" w:eastAsia="宋体" w:cs="宋体"/>
                <w:sz w:val="21"/>
                <w:szCs w:val="21"/>
                <w:lang w:val="en-US" w:eastAsia="zh-CN"/>
              </w:rPr>
              <w:t>风险），在管理体系所确定的过程（如采购、生产、质检等）中，整合制定针对性管理措施（如程序控制等）并作了有效性评价。</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提供了《风险和机遇评估分析表》，内容包括部门、业务范畴、风险事项、风险等级评估、应对措施及有效性评价等，组织根据业务活动过程，从各部门角度识别和评估了</w:t>
            </w:r>
            <w:r>
              <w:rPr>
                <w:rFonts w:hint="eastAsia" w:ascii="宋体" w:hAnsi="宋体" w:cs="宋体"/>
                <w:sz w:val="21"/>
                <w:szCs w:val="21"/>
                <w:lang w:val="en-US" w:eastAsia="zh-CN"/>
              </w:rPr>
              <w:t>环境</w:t>
            </w:r>
            <w:r>
              <w:rPr>
                <w:rFonts w:hint="eastAsia" w:ascii="宋体" w:hAnsi="宋体" w:eastAsia="宋体" w:cs="宋体"/>
                <w:sz w:val="21"/>
                <w:szCs w:val="21"/>
                <w:lang w:val="en-US" w:eastAsia="zh-CN"/>
              </w:rPr>
              <w:t>风险和机遇，基本满足要求。</w:t>
            </w:r>
          </w:p>
        </w:tc>
        <w:tc>
          <w:tcPr>
            <w:tcW w:w="851" w:type="dxa"/>
          </w:tcPr>
          <w:p>
            <w:pPr>
              <w:spacing w:line="360" w:lineRule="auto"/>
              <w:rPr>
                <w:rFonts w:hint="eastAsia" w:ascii="宋体" w:hAnsi="宋体" w:eastAsia="宋体" w:cs="宋体"/>
                <w:color w:val="FF0000"/>
                <w:sz w:val="21"/>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66" w:type="dxa"/>
            <w:vAlign w:val="center"/>
          </w:tcPr>
          <w:p>
            <w:pPr>
              <w:numPr>
                <w:ilvl w:val="0"/>
                <w:numId w:val="0"/>
              </w:num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目标及其实现的策划</w:t>
            </w:r>
          </w:p>
        </w:tc>
        <w:tc>
          <w:tcPr>
            <w:tcW w:w="1050" w:type="dxa"/>
            <w:vAlign w:val="center"/>
          </w:tcPr>
          <w:p>
            <w:pPr>
              <w:numPr>
                <w:ilvl w:val="0"/>
                <w:numId w:val="0"/>
              </w:numPr>
              <w:spacing w:line="360" w:lineRule="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E</w:t>
            </w:r>
            <w:r>
              <w:rPr>
                <w:rFonts w:hint="eastAsia" w:ascii="宋体" w:hAnsi="宋体" w:eastAsia="宋体" w:cs="宋体"/>
                <w:sz w:val="21"/>
                <w:szCs w:val="21"/>
                <w:highlight w:val="none"/>
                <w:lang w:val="en-US" w:eastAsia="zh-CN"/>
              </w:rPr>
              <w:t>6.2</w:t>
            </w:r>
          </w:p>
          <w:p>
            <w:pPr>
              <w:numPr>
                <w:ilvl w:val="0"/>
                <w:numId w:val="0"/>
              </w:numPr>
              <w:spacing w:line="360" w:lineRule="auto"/>
              <w:ind w:firstLine="420" w:firstLineChars="200"/>
              <w:rPr>
                <w:rFonts w:hint="eastAsia" w:ascii="宋体" w:hAnsi="宋体" w:eastAsia="宋体" w:cs="宋体"/>
                <w:sz w:val="21"/>
                <w:szCs w:val="21"/>
                <w:highlight w:val="none"/>
                <w:lang w:val="en-US" w:eastAsia="zh-CN"/>
              </w:rPr>
            </w:pPr>
          </w:p>
        </w:tc>
        <w:tc>
          <w:tcPr>
            <w:tcW w:w="10842" w:type="dxa"/>
            <w:vAlign w:val="center"/>
          </w:tcPr>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组织根据实际制定了</w:t>
            </w:r>
            <w:r>
              <w:rPr>
                <w:rFonts w:hint="eastAsia" w:ascii="宋体" w:hAnsi="宋体" w:cs="宋体"/>
                <w:sz w:val="21"/>
                <w:szCs w:val="21"/>
                <w:lang w:val="en-US" w:eastAsia="zh-CN"/>
              </w:rPr>
              <w:t>环境</w:t>
            </w:r>
            <w:r>
              <w:rPr>
                <w:rFonts w:hint="eastAsia" w:ascii="宋体" w:hAnsi="宋体" w:eastAsia="宋体" w:cs="宋体"/>
                <w:sz w:val="21"/>
                <w:szCs w:val="21"/>
                <w:lang w:val="en-US" w:eastAsia="zh-CN"/>
              </w:rPr>
              <w:t>目标，在相关职能、层次和过程上建立目标考虑了适用的要求，均可测量，与方针基本一致，并以公告、会议形式传达、培训和内部沟通等形式进行了传达。其中质量目标与产品和服务的符合性以及增强顾客满意有关。</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组织的的</w:t>
            </w:r>
            <w:r>
              <w:rPr>
                <w:rFonts w:hint="eastAsia" w:ascii="宋体" w:hAnsi="宋体" w:cs="宋体"/>
                <w:sz w:val="21"/>
                <w:szCs w:val="21"/>
                <w:lang w:val="en-US" w:eastAsia="zh-CN"/>
              </w:rPr>
              <w:t>环境</w:t>
            </w:r>
            <w:r>
              <w:rPr>
                <w:rFonts w:hint="eastAsia" w:ascii="宋体" w:hAnsi="宋体" w:eastAsia="宋体" w:cs="宋体"/>
                <w:sz w:val="21"/>
                <w:szCs w:val="21"/>
                <w:lang w:val="en-US" w:eastAsia="zh-CN"/>
              </w:rPr>
              <w:t>目标如下：</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环境目标、指标</w:t>
            </w:r>
            <w:r>
              <w:rPr>
                <w:rFonts w:hint="eastAsia" w:ascii="宋体" w:hAnsi="宋体" w:eastAsia="宋体" w:cs="宋体"/>
                <w:sz w:val="21"/>
                <w:szCs w:val="21"/>
                <w:lang w:val="en-US" w:eastAsia="zh-CN"/>
              </w:rPr>
              <w:tab/>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固废处理达标排放</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噪声、废气达标排放</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火灾事故发生率为0</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组织对</w:t>
            </w:r>
            <w:r>
              <w:rPr>
                <w:rFonts w:hint="eastAsia" w:ascii="宋体" w:hAnsi="宋体" w:cs="宋体"/>
                <w:sz w:val="21"/>
                <w:szCs w:val="21"/>
                <w:lang w:val="en-US" w:eastAsia="zh-CN"/>
              </w:rPr>
              <w:t>环境</w:t>
            </w:r>
            <w:r>
              <w:rPr>
                <w:rFonts w:hint="eastAsia" w:ascii="宋体" w:hAnsi="宋体" w:eastAsia="宋体" w:cs="宋体"/>
                <w:sz w:val="21"/>
                <w:szCs w:val="21"/>
                <w:lang w:val="en-US" w:eastAsia="zh-CN"/>
              </w:rPr>
              <w:t>目标、指标在相关职能层次上予以分解，基本能够满足要求，具体见各部门6.2目标监视记录。</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查见《环境目标、指标及管理方案》、《（2022年）目标、指标完成情况监控记录》，均有相应的监视和评审记录，符合控制要求。</w:t>
            </w:r>
          </w:p>
        </w:tc>
        <w:tc>
          <w:tcPr>
            <w:tcW w:w="851" w:type="dxa"/>
          </w:tcPr>
          <w:p>
            <w:pPr>
              <w:spacing w:line="360" w:lineRule="auto"/>
              <w:rPr>
                <w:rFonts w:hint="eastAsia" w:ascii="宋体" w:hAnsi="宋体" w:eastAsia="宋体" w:cs="宋体"/>
                <w:color w:val="FF0000"/>
                <w:sz w:val="21"/>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6" w:type="dxa"/>
          </w:tcPr>
          <w:p>
            <w:pPr>
              <w:numPr>
                <w:ilvl w:val="0"/>
                <w:numId w:val="0"/>
              </w:num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管理评审</w:t>
            </w:r>
          </w:p>
          <w:p>
            <w:pPr>
              <w:numPr>
                <w:ilvl w:val="0"/>
                <w:numId w:val="0"/>
              </w:numPr>
              <w:spacing w:line="360" w:lineRule="auto"/>
              <w:ind w:firstLine="420" w:firstLineChars="200"/>
              <w:rPr>
                <w:rFonts w:hint="eastAsia" w:ascii="宋体" w:hAnsi="宋体" w:eastAsia="宋体" w:cs="宋体"/>
                <w:sz w:val="21"/>
                <w:szCs w:val="21"/>
                <w:lang w:val="en-US" w:eastAsia="zh-CN"/>
              </w:rPr>
            </w:pPr>
          </w:p>
        </w:tc>
        <w:tc>
          <w:tcPr>
            <w:tcW w:w="1050" w:type="dxa"/>
          </w:tcPr>
          <w:p>
            <w:pPr>
              <w:numPr>
                <w:ilvl w:val="0"/>
                <w:numId w:val="0"/>
              </w:num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E</w:t>
            </w:r>
            <w:r>
              <w:rPr>
                <w:rFonts w:hint="eastAsia" w:ascii="宋体" w:hAnsi="宋体" w:eastAsia="宋体" w:cs="宋体"/>
                <w:sz w:val="21"/>
                <w:szCs w:val="21"/>
                <w:lang w:val="en-US" w:eastAsia="zh-CN"/>
              </w:rPr>
              <w:t>9.3</w:t>
            </w:r>
          </w:p>
          <w:p>
            <w:pPr>
              <w:numPr>
                <w:ilvl w:val="0"/>
                <w:numId w:val="0"/>
              </w:numPr>
              <w:spacing w:line="360" w:lineRule="auto"/>
              <w:ind w:firstLine="420" w:firstLineChars="200"/>
              <w:rPr>
                <w:rFonts w:hint="eastAsia" w:ascii="宋体" w:hAnsi="宋体" w:eastAsia="宋体" w:cs="宋体"/>
                <w:sz w:val="21"/>
                <w:szCs w:val="21"/>
                <w:lang w:val="en-US" w:eastAsia="zh-CN"/>
              </w:rPr>
            </w:pPr>
          </w:p>
          <w:p>
            <w:pPr>
              <w:numPr>
                <w:ilvl w:val="0"/>
                <w:numId w:val="0"/>
              </w:numPr>
              <w:spacing w:line="360" w:lineRule="auto"/>
              <w:ind w:firstLine="420" w:firstLineChars="200"/>
              <w:rPr>
                <w:rFonts w:hint="eastAsia" w:ascii="宋体" w:hAnsi="宋体" w:eastAsia="宋体" w:cs="宋体"/>
                <w:sz w:val="21"/>
                <w:szCs w:val="21"/>
                <w:lang w:val="en-US" w:eastAsia="zh-CN"/>
              </w:rPr>
            </w:pPr>
          </w:p>
          <w:p>
            <w:pPr>
              <w:numPr>
                <w:ilvl w:val="0"/>
                <w:numId w:val="0"/>
              </w:numPr>
              <w:spacing w:line="360" w:lineRule="auto"/>
              <w:ind w:firstLine="420" w:firstLineChars="200"/>
              <w:rPr>
                <w:rFonts w:hint="eastAsia" w:ascii="宋体" w:hAnsi="宋体" w:eastAsia="宋体" w:cs="宋体"/>
                <w:sz w:val="21"/>
                <w:szCs w:val="21"/>
                <w:lang w:val="en-US" w:eastAsia="zh-CN"/>
              </w:rPr>
            </w:pPr>
          </w:p>
        </w:tc>
        <w:tc>
          <w:tcPr>
            <w:tcW w:w="10842" w:type="dxa"/>
            <w:vAlign w:val="center"/>
          </w:tcPr>
          <w:p>
            <w:pPr>
              <w:numPr>
                <w:ilvl w:val="0"/>
                <w:numId w:val="0"/>
              </w:numPr>
              <w:spacing w:line="360" w:lineRule="auto"/>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组织编制了YC-PD07《管理评审控制程序》，规定了评审时间、评审内容、计划安排、实施和报告的编制要求，内容基本完整，符合策划要求。</w:t>
            </w:r>
          </w:p>
          <w:p>
            <w:pPr>
              <w:numPr>
                <w:ilvl w:val="0"/>
                <w:numId w:val="0"/>
              </w:numPr>
              <w:spacing w:line="360" w:lineRule="auto"/>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查见：</w:t>
            </w:r>
          </w:p>
          <w:p>
            <w:pPr>
              <w:numPr>
                <w:ilvl w:val="0"/>
                <w:numId w:val="0"/>
              </w:numPr>
              <w:spacing w:line="360" w:lineRule="auto"/>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1.管理评审计划：包括评审依据、评审目的、评审内容等，除评审依据有待进一步确认外，内容基本完整，符合标准要求。</w:t>
            </w:r>
          </w:p>
          <w:p>
            <w:pPr>
              <w:numPr>
                <w:ilvl w:val="0"/>
                <w:numId w:val="0"/>
              </w:numPr>
              <w:spacing w:line="360" w:lineRule="auto"/>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2.评审会议记录：内容包括时间、地点、主持人、记录人、参与人员和会议内容等，基本满足记录控制要求。</w:t>
            </w:r>
          </w:p>
          <w:p>
            <w:pPr>
              <w:numPr>
                <w:ilvl w:val="0"/>
                <w:numId w:val="0"/>
              </w:numPr>
              <w:spacing w:line="360" w:lineRule="auto"/>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管理评审报告：主要内容包括输入、输出和结论，输入内容基本完整，结论如下：我公司按照GB/T19001-2016、GB/T24001-2016、GB/T45001-2020标准建立了我公司管理体系。公司按要求并结合实际编制了程序文件，公司通过手册、程序文件及各种管理制度、记录等基本建立健全了体系；评审认为，体系符合公司的实际，符合标准要求，能够满足内外部变化的需要，是持续适宜的；我公司建立的管理体系是系统性的，是完整的体系，是充分的；通过一段时间的运作，收到了一定的效果，加强了过程控制和管理，提高了质量、</w:t>
            </w:r>
            <w:r>
              <w:rPr>
                <w:rFonts w:hint="eastAsia" w:ascii="宋体" w:hAnsi="宋体" w:cs="宋体"/>
                <w:sz w:val="21"/>
                <w:szCs w:val="21"/>
                <w:lang w:val="en-US" w:eastAsia="zh-CN"/>
              </w:rPr>
              <w:t>环境</w:t>
            </w:r>
            <w:r>
              <w:rPr>
                <w:rFonts w:hint="eastAsia" w:ascii="宋体" w:hAnsi="宋体" w:eastAsia="宋体" w:cs="宋体"/>
                <w:sz w:val="21"/>
                <w:szCs w:val="21"/>
                <w:lang w:val="en-US" w:eastAsia="zh-CN"/>
              </w:rPr>
              <w:t>意识，基本满足顾客和相关方的要求，是有效的。其中输出改进建议管理评审改进的问题如下：办公室加强环境和安全法律法规知识的学习。</w:t>
            </w:r>
          </w:p>
          <w:p>
            <w:pPr>
              <w:numPr>
                <w:ilvl w:val="0"/>
                <w:numId w:val="0"/>
              </w:numPr>
              <w:spacing w:line="360" w:lineRule="auto"/>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4.体系改进计划：计划针对管理评审报告中的改进建议，实施改进内容，落实责任人和完成期限，并进行有效性评价，基本满足后续落实要求。</w:t>
            </w:r>
          </w:p>
        </w:tc>
        <w:tc>
          <w:tcPr>
            <w:tcW w:w="851" w:type="dxa"/>
          </w:tcPr>
          <w:p>
            <w:pPr>
              <w:spacing w:line="360" w:lineRule="auto"/>
              <w:rPr>
                <w:rFonts w:hint="eastAsia" w:ascii="宋体" w:hAnsi="宋体" w:eastAsia="宋体" w:cs="宋体"/>
                <w:color w:val="FF0000"/>
                <w:sz w:val="21"/>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966" w:type="dxa"/>
          </w:tcPr>
          <w:p>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改进</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持续改进</w:t>
            </w:r>
          </w:p>
        </w:tc>
        <w:tc>
          <w:tcPr>
            <w:tcW w:w="1050" w:type="dxa"/>
          </w:tcPr>
          <w:p>
            <w:pPr>
              <w:numPr>
                <w:ilvl w:val="0"/>
                <w:numId w:val="0"/>
              </w:num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E</w:t>
            </w:r>
            <w:r>
              <w:rPr>
                <w:rFonts w:hint="eastAsia" w:ascii="宋体" w:hAnsi="宋体" w:eastAsia="宋体" w:cs="宋体"/>
                <w:sz w:val="21"/>
                <w:szCs w:val="21"/>
                <w:lang w:val="en-US" w:eastAsia="zh-CN"/>
              </w:rPr>
              <w:t>10.1</w:t>
            </w:r>
          </w:p>
          <w:p>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/10.3</w:t>
            </w:r>
          </w:p>
          <w:p>
            <w:pPr>
              <w:numPr>
                <w:ilvl w:val="0"/>
                <w:numId w:val="0"/>
              </w:numPr>
              <w:spacing w:line="360" w:lineRule="auto"/>
              <w:rPr>
                <w:rFonts w:hint="eastAsia" w:ascii="宋体" w:hAnsi="宋体" w:eastAsia="宋体" w:cs="宋体"/>
                <w:sz w:val="21"/>
                <w:szCs w:val="21"/>
                <w:lang w:val="en-US" w:eastAsia="zh-CN"/>
              </w:rPr>
            </w:pPr>
          </w:p>
        </w:tc>
        <w:tc>
          <w:tcPr>
            <w:tcW w:w="10842" w:type="dxa"/>
            <w:vAlign w:val="center"/>
          </w:tcPr>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组织通过目标监视、内部审核、管理评审、不合格和纠正措施等各项活动落实改进要求，相关管理活动包括绩效和有效性监视等得到有效开展，改进的要求基本得到满足。  </w:t>
            </w:r>
          </w:p>
          <w:p>
            <w:pPr>
              <w:numPr>
                <w:ilvl w:val="0"/>
                <w:numId w:val="0"/>
              </w:numPr>
              <w:spacing w:line="360" w:lineRule="auto"/>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具体改进见各部门10.2条款记录。</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组织确定并选择改进机会，采取必要措施，满足顾客要求和增强顾客满意。</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包括：</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 改进产品或服务，以满足要求并关注未来的需求和期望；</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 纠正或减少不利影响；</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 改进管理体系绩效和有效性。</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对以下方面所需的监视、测量、分析和改进过程进行策划和实施：</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1.证实产品生产和和销售满足规定的要求；</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2.确保管理体系的符合性；</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3.持续改进管理体系的有效性。</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根据不同过程、不同产品和不同要求，采取不同的方法进行监视、测量和分析。</w:t>
            </w:r>
          </w:p>
          <w:p>
            <w:pPr>
              <w:numPr>
                <w:ilvl w:val="0"/>
                <w:numId w:val="0"/>
              </w:numPr>
              <w:spacing w:line="360" w:lineRule="auto"/>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公司利用管理方针、目标、内审和外审、数据分析、纠正和预防措施以及管理评审，识别任何改进的机会，持续改进管理体系的适宜性、充分性和有效性。详见相关条款审核记录。</w:t>
            </w:r>
          </w:p>
        </w:tc>
        <w:tc>
          <w:tcPr>
            <w:tcW w:w="851" w:type="dxa"/>
          </w:tcPr>
          <w:p>
            <w:pPr>
              <w:spacing w:line="360" w:lineRule="auto"/>
              <w:rPr>
                <w:rFonts w:hint="eastAsia" w:ascii="宋体" w:hAnsi="宋体" w:eastAsia="宋体" w:cs="宋体"/>
                <w:color w:val="FF0000"/>
                <w:sz w:val="21"/>
                <w:szCs w:val="21"/>
              </w:rPr>
            </w:pPr>
            <w:r>
              <w:rPr>
                <w:rFonts w:hint="eastAsia"/>
                <w:lang w:val="en-US" w:eastAsia="zh-CN"/>
              </w:rPr>
              <w:t>符合</w:t>
            </w:r>
          </w:p>
        </w:tc>
      </w:tr>
    </w:tbl>
    <w:p>
      <w:pPr>
        <w:pStyle w:val="7"/>
      </w:pPr>
    </w:p>
    <w:p>
      <w:pPr>
        <w:pStyle w:val="7"/>
        <w:rPr>
          <w:rFonts w:hint="default" w:ascii="楷体" w:hAnsi="楷体" w:eastAsia="楷体"/>
          <w:sz w:val="24"/>
          <w:szCs w:val="24"/>
          <w:lang w:val="en-US" w:eastAsia="zh-CN"/>
        </w:rPr>
      </w:pPr>
      <w:r>
        <w:rPr>
          <w:rFonts w:hint="eastAsia" w:ascii="楷体" w:hAnsi="楷体" w:eastAsia="楷体"/>
          <w:sz w:val="24"/>
          <w:szCs w:val="24"/>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a:noFill/>
                  <a:ln>
                    <a:noFill/>
                  </a:ln>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a:effectLst/>
                    </wps:spPr>
                    <wps:txbx>
                      <w:txbxContent>
                        <w:p>
                          <w:pPr>
                            <w:rPr>
                              <w:sz w:val="18"/>
                              <w:szCs w:val="18"/>
                            </w:rPr>
                          </w:pPr>
                          <w:r>
                            <w:rPr>
                              <w:rFonts w:hint="eastAsia"/>
                              <w:sz w:val="18"/>
                              <w:szCs w:val="18"/>
                            </w:rPr>
                            <w:t>ISC-B-II-12(05版）</w:t>
                          </w:r>
                        </w:p>
                      </w:txbxContent>
                    </wps:txbx>
                    <wps:bodyPr vert="horz" wrap="square" anchor="t" anchorCtr="0"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5nM5luMBAAC4AwAADgAAAGRycy9lMm9Eb2MueG1srVPN&#10;jtMwEL4j8Q6W7zRp2V1B1XQltioXBEgLD+A6TmLJf8y4TcoDwBtw4sKd5+pz7NjJlmW57IEckvH8&#10;fDPf58nqerCGHRSg9q7i81nJmXLS19q1Ff/8afviFWcYhauF8U5V/KiQX6+fP1v1YakWvvOmVsAI&#10;xOGyDxXvYgzLokDZKStw5oNyFGw8WBHpCG1Rg+gJ3ZpiUZZXRe+hDuClQiTvZgzyCRGeAuibRku1&#10;8XJvlYsjKigjIlHCTgfk6zxt0ygZPzQNqshMxYlpzG9qQvYuvYv1SixbEKHTchpBPGWER5ys0I6a&#10;nqE2Igq2B/0PlNUSPPomzqS3xUgkK0Is5uUjbW47EVTmQlJjOIuO/w9Wvj98BKZr2gTOnLB04acf&#10;308/f59+fWPzJE8fcElZt4Hy4vDGDyl18iM5E+uhAZu+xIdRnMQ9nsVVQ2QyFb0sLxavKSQptri8&#10;urzI6hd/qgNgfKu8ZcmoONDlZU3F4R1G6kip9ympGXqj6602Jh+g3d0YYAdBF73NTxqSSv5KMy4l&#10;O5/KxvDoUXlVpjaJ8cgsWXHYDRPdna+PpAL9PDRe5+ErZz2tTsXxy16A4kw4Se6Kx3vzJo67tg+g&#10;246qsnRFwqULzfNNy5c25uGZ7Ic/3Po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kH4RNgAAAAL&#10;AQAADwAAAAAAAAABACAAAAAiAAAAZHJzL2Rvd25yZXYueG1sUEsBAhQAFAAAAAgAh07iQOZzOZbj&#10;AQAAuAMAAA4AAAAAAAAAAQAgAAAAJwEAAGRycy9lMm9Eb2MueG1sUEsFBgAAAAAGAAYAWQEAAHwF&#10;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ind w:firstLine="756" w:firstLineChars="400"/>
      <w:jc w:val="left"/>
    </w:pPr>
    <w:r>
      <w:rPr>
        <w:rStyle w:val="15"/>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TRhZmMwYTZhMGE0NzY5YTQ4OGYyNzNkZGE0NDYifQ=="/>
  </w:docVars>
  <w:rsids>
    <w:rsidRoot w:val="009973B4"/>
    <w:rsid w:val="000043CB"/>
    <w:rsid w:val="00020F5A"/>
    <w:rsid w:val="000237F6"/>
    <w:rsid w:val="000258CD"/>
    <w:rsid w:val="0003373A"/>
    <w:rsid w:val="0005083C"/>
    <w:rsid w:val="000515B6"/>
    <w:rsid w:val="00054136"/>
    <w:rsid w:val="00057B91"/>
    <w:rsid w:val="0006102E"/>
    <w:rsid w:val="000710E4"/>
    <w:rsid w:val="000A1CA7"/>
    <w:rsid w:val="00110343"/>
    <w:rsid w:val="0012572F"/>
    <w:rsid w:val="00153691"/>
    <w:rsid w:val="00171A84"/>
    <w:rsid w:val="00183AB3"/>
    <w:rsid w:val="001A2D7F"/>
    <w:rsid w:val="00202B7C"/>
    <w:rsid w:val="0021156B"/>
    <w:rsid w:val="00221A32"/>
    <w:rsid w:val="00232E13"/>
    <w:rsid w:val="00240E2A"/>
    <w:rsid w:val="00245592"/>
    <w:rsid w:val="00253156"/>
    <w:rsid w:val="00317036"/>
    <w:rsid w:val="00337922"/>
    <w:rsid w:val="00340867"/>
    <w:rsid w:val="00341E11"/>
    <w:rsid w:val="00380837"/>
    <w:rsid w:val="003A198A"/>
    <w:rsid w:val="003C492E"/>
    <w:rsid w:val="003C588D"/>
    <w:rsid w:val="003D60E6"/>
    <w:rsid w:val="003F66D4"/>
    <w:rsid w:val="003F775B"/>
    <w:rsid w:val="00410914"/>
    <w:rsid w:val="004344A7"/>
    <w:rsid w:val="004378F3"/>
    <w:rsid w:val="00467CAB"/>
    <w:rsid w:val="004822F1"/>
    <w:rsid w:val="004B37F2"/>
    <w:rsid w:val="004D29D2"/>
    <w:rsid w:val="00517A1F"/>
    <w:rsid w:val="00532D38"/>
    <w:rsid w:val="00536930"/>
    <w:rsid w:val="0055558C"/>
    <w:rsid w:val="00564E53"/>
    <w:rsid w:val="005775A4"/>
    <w:rsid w:val="00595758"/>
    <w:rsid w:val="005D1743"/>
    <w:rsid w:val="005E67E9"/>
    <w:rsid w:val="005F3497"/>
    <w:rsid w:val="006056EA"/>
    <w:rsid w:val="00611ADE"/>
    <w:rsid w:val="0063797B"/>
    <w:rsid w:val="00643FD1"/>
    <w:rsid w:val="00644FE2"/>
    <w:rsid w:val="006570CF"/>
    <w:rsid w:val="0067640C"/>
    <w:rsid w:val="006811DA"/>
    <w:rsid w:val="006878FE"/>
    <w:rsid w:val="006A653A"/>
    <w:rsid w:val="006D7128"/>
    <w:rsid w:val="006E678B"/>
    <w:rsid w:val="00711024"/>
    <w:rsid w:val="0072280D"/>
    <w:rsid w:val="00727331"/>
    <w:rsid w:val="00735A80"/>
    <w:rsid w:val="007757F3"/>
    <w:rsid w:val="007E2BC3"/>
    <w:rsid w:val="007E4532"/>
    <w:rsid w:val="007E6AEB"/>
    <w:rsid w:val="008070EF"/>
    <w:rsid w:val="00887DAC"/>
    <w:rsid w:val="008902D5"/>
    <w:rsid w:val="008973EE"/>
    <w:rsid w:val="008D1417"/>
    <w:rsid w:val="0091039B"/>
    <w:rsid w:val="009203F9"/>
    <w:rsid w:val="00944B05"/>
    <w:rsid w:val="00945B4E"/>
    <w:rsid w:val="00971600"/>
    <w:rsid w:val="0099193A"/>
    <w:rsid w:val="009973B4"/>
    <w:rsid w:val="009C28C1"/>
    <w:rsid w:val="009C4F3D"/>
    <w:rsid w:val="009D0A76"/>
    <w:rsid w:val="009D28A3"/>
    <w:rsid w:val="009F7EED"/>
    <w:rsid w:val="00A26D39"/>
    <w:rsid w:val="00AB5D2F"/>
    <w:rsid w:val="00AF0AAB"/>
    <w:rsid w:val="00B14E98"/>
    <w:rsid w:val="00B32CBD"/>
    <w:rsid w:val="00B43D9F"/>
    <w:rsid w:val="00BA4C9C"/>
    <w:rsid w:val="00BE3113"/>
    <w:rsid w:val="00BE4C7C"/>
    <w:rsid w:val="00BF597E"/>
    <w:rsid w:val="00C01B6A"/>
    <w:rsid w:val="00C06CF5"/>
    <w:rsid w:val="00C15701"/>
    <w:rsid w:val="00C24584"/>
    <w:rsid w:val="00C34C6F"/>
    <w:rsid w:val="00C4072B"/>
    <w:rsid w:val="00C51A36"/>
    <w:rsid w:val="00C55228"/>
    <w:rsid w:val="00C82DBB"/>
    <w:rsid w:val="00C85786"/>
    <w:rsid w:val="00CC18F0"/>
    <w:rsid w:val="00CD77B7"/>
    <w:rsid w:val="00CE315A"/>
    <w:rsid w:val="00D06F59"/>
    <w:rsid w:val="00D07DC3"/>
    <w:rsid w:val="00D26766"/>
    <w:rsid w:val="00D8388C"/>
    <w:rsid w:val="00D95366"/>
    <w:rsid w:val="00DC665C"/>
    <w:rsid w:val="00E04C1E"/>
    <w:rsid w:val="00E15AC5"/>
    <w:rsid w:val="00E22A1C"/>
    <w:rsid w:val="00E24B1E"/>
    <w:rsid w:val="00E55C79"/>
    <w:rsid w:val="00E611ED"/>
    <w:rsid w:val="00E67C82"/>
    <w:rsid w:val="00EB0164"/>
    <w:rsid w:val="00ED0F62"/>
    <w:rsid w:val="00EF2D1B"/>
    <w:rsid w:val="00F16DE8"/>
    <w:rsid w:val="00F2272E"/>
    <w:rsid w:val="00FB38B0"/>
    <w:rsid w:val="00FC2F86"/>
    <w:rsid w:val="00FD3466"/>
    <w:rsid w:val="011E7A06"/>
    <w:rsid w:val="01437C9C"/>
    <w:rsid w:val="03905711"/>
    <w:rsid w:val="04812FB5"/>
    <w:rsid w:val="04D23811"/>
    <w:rsid w:val="05E732EC"/>
    <w:rsid w:val="06380A36"/>
    <w:rsid w:val="063C25A1"/>
    <w:rsid w:val="064C75F3"/>
    <w:rsid w:val="07267E44"/>
    <w:rsid w:val="07A4486E"/>
    <w:rsid w:val="087F1978"/>
    <w:rsid w:val="08AE63A4"/>
    <w:rsid w:val="0A5C1D75"/>
    <w:rsid w:val="0B1F7084"/>
    <w:rsid w:val="0C160E49"/>
    <w:rsid w:val="0C2B0239"/>
    <w:rsid w:val="0CD619C5"/>
    <w:rsid w:val="0D3737A0"/>
    <w:rsid w:val="0E4D3F08"/>
    <w:rsid w:val="0F6E05DA"/>
    <w:rsid w:val="108219C2"/>
    <w:rsid w:val="112A2839"/>
    <w:rsid w:val="117B6FDE"/>
    <w:rsid w:val="138403CC"/>
    <w:rsid w:val="14F85F8E"/>
    <w:rsid w:val="15BA6327"/>
    <w:rsid w:val="16353C00"/>
    <w:rsid w:val="17FF44C5"/>
    <w:rsid w:val="183879D7"/>
    <w:rsid w:val="19122D9F"/>
    <w:rsid w:val="1B811695"/>
    <w:rsid w:val="1C0F41E1"/>
    <w:rsid w:val="1CA962F1"/>
    <w:rsid w:val="1D2A7848"/>
    <w:rsid w:val="1E5B1377"/>
    <w:rsid w:val="1EC70B1E"/>
    <w:rsid w:val="1F8D1CC6"/>
    <w:rsid w:val="20787CB3"/>
    <w:rsid w:val="21C5052E"/>
    <w:rsid w:val="23ED4F7F"/>
    <w:rsid w:val="245E76FD"/>
    <w:rsid w:val="249B49DE"/>
    <w:rsid w:val="254C4AC2"/>
    <w:rsid w:val="27156060"/>
    <w:rsid w:val="27A9632E"/>
    <w:rsid w:val="28D15A0A"/>
    <w:rsid w:val="291E06B3"/>
    <w:rsid w:val="29636C1E"/>
    <w:rsid w:val="29DD67FC"/>
    <w:rsid w:val="29F55728"/>
    <w:rsid w:val="2A2E0C3A"/>
    <w:rsid w:val="2A4E3856"/>
    <w:rsid w:val="2B2838DB"/>
    <w:rsid w:val="2B434271"/>
    <w:rsid w:val="2C9D6971"/>
    <w:rsid w:val="2CEB2E12"/>
    <w:rsid w:val="2D22001E"/>
    <w:rsid w:val="2D5B7F98"/>
    <w:rsid w:val="2DCE076A"/>
    <w:rsid w:val="2DDF2977"/>
    <w:rsid w:val="2DEE0C03"/>
    <w:rsid w:val="2FF02762"/>
    <w:rsid w:val="2FF1178F"/>
    <w:rsid w:val="32700042"/>
    <w:rsid w:val="3309674B"/>
    <w:rsid w:val="33E52369"/>
    <w:rsid w:val="34A264AC"/>
    <w:rsid w:val="35251994"/>
    <w:rsid w:val="35D54660"/>
    <w:rsid w:val="389A53B4"/>
    <w:rsid w:val="394F0285"/>
    <w:rsid w:val="3E7B0894"/>
    <w:rsid w:val="3ED41958"/>
    <w:rsid w:val="3F8A0269"/>
    <w:rsid w:val="3FBB6674"/>
    <w:rsid w:val="41266FCC"/>
    <w:rsid w:val="42622B53"/>
    <w:rsid w:val="428B4B01"/>
    <w:rsid w:val="451C407E"/>
    <w:rsid w:val="477B65CF"/>
    <w:rsid w:val="495042D1"/>
    <w:rsid w:val="4A251A07"/>
    <w:rsid w:val="4AEB17A4"/>
    <w:rsid w:val="4B1C090F"/>
    <w:rsid w:val="4B9F4176"/>
    <w:rsid w:val="4DF711BF"/>
    <w:rsid w:val="4F4626F3"/>
    <w:rsid w:val="4F541FFE"/>
    <w:rsid w:val="4F5902F9"/>
    <w:rsid w:val="500876B4"/>
    <w:rsid w:val="506C2B19"/>
    <w:rsid w:val="50C86E43"/>
    <w:rsid w:val="522E717A"/>
    <w:rsid w:val="546926EB"/>
    <w:rsid w:val="5498048B"/>
    <w:rsid w:val="57572313"/>
    <w:rsid w:val="58373ECD"/>
    <w:rsid w:val="594A2AEB"/>
    <w:rsid w:val="5B41332E"/>
    <w:rsid w:val="5D211DB5"/>
    <w:rsid w:val="5D252FC1"/>
    <w:rsid w:val="5D557CB0"/>
    <w:rsid w:val="5E8048B9"/>
    <w:rsid w:val="5EA12B9A"/>
    <w:rsid w:val="5FC9520A"/>
    <w:rsid w:val="6181075C"/>
    <w:rsid w:val="61D125C8"/>
    <w:rsid w:val="62053A53"/>
    <w:rsid w:val="62A80882"/>
    <w:rsid w:val="63691DC0"/>
    <w:rsid w:val="643B4F0D"/>
    <w:rsid w:val="65510D5D"/>
    <w:rsid w:val="663D0103"/>
    <w:rsid w:val="66723681"/>
    <w:rsid w:val="66C96E18"/>
    <w:rsid w:val="67366F9E"/>
    <w:rsid w:val="677D5E3A"/>
    <w:rsid w:val="69182472"/>
    <w:rsid w:val="6AD3765D"/>
    <w:rsid w:val="6C1F1BB5"/>
    <w:rsid w:val="6CDF2E3F"/>
    <w:rsid w:val="6DF51A8E"/>
    <w:rsid w:val="6E7F4B8D"/>
    <w:rsid w:val="71632544"/>
    <w:rsid w:val="728E26DE"/>
    <w:rsid w:val="731E2CB7"/>
    <w:rsid w:val="748E5B2A"/>
    <w:rsid w:val="777A05E8"/>
    <w:rsid w:val="7840538D"/>
    <w:rsid w:val="78D83818"/>
    <w:rsid w:val="794F33AE"/>
    <w:rsid w:val="7D3154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spacing w:line="400" w:lineRule="atLeast"/>
      <w:jc w:val="center"/>
      <w:outlineLvl w:val="1"/>
    </w:pPr>
    <w:rPr>
      <w:spacing w:val="8"/>
      <w:sz w:val="36"/>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0"/>
    <w:pPr>
      <w:spacing w:line="312" w:lineRule="auto"/>
    </w:pPr>
    <w:rPr>
      <w:rFonts w:ascii="Arial" w:hAnsi="Arial" w:eastAsia="楷体_GB2312"/>
      <w:spacing w:val="20"/>
      <w:sz w:val="24"/>
      <w:szCs w:val="20"/>
    </w:rPr>
  </w:style>
  <w:style w:type="paragraph" w:styleId="5">
    <w:name w:val="Plain Text"/>
    <w:basedOn w:val="1"/>
    <w:qFormat/>
    <w:uiPriority w:val="0"/>
    <w:rPr>
      <w:rFonts w:ascii="宋体" w:hAnsi="Courier New"/>
      <w:szCs w:val="21"/>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4"/>
    <w:qFormat/>
    <w:uiPriority w:val="0"/>
    <w:pPr>
      <w:ind w:firstLine="420" w:firstLineChars="100"/>
    </w:pPr>
    <w:rPr>
      <w:szCs w:val="20"/>
    </w:r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widowControl/>
      <w:ind w:firstLine="420" w:firstLineChars="200"/>
      <w:jc w:val="left"/>
    </w:pPr>
    <w:rPr>
      <w:kern w:val="0"/>
      <w:sz w:val="20"/>
      <w:lang w:eastAsia="en-US"/>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3C30B4-3874-4EAB-907F-C95F63792998}">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5537</Words>
  <Characters>5885</Characters>
  <Lines>118</Lines>
  <Paragraphs>33</Paragraphs>
  <TotalTime>2</TotalTime>
  <ScaleCrop>false</ScaleCrop>
  <LinksUpToDate>false</LinksUpToDate>
  <CharactersWithSpaces>5935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2020-07-27T02:13:00Z</dcterms:created>
  <dc:creator>微软用户</dc:creator>
  <cp:lastModifiedBy>春华秋实</cp:lastModifiedBy>
  <dcterms:modified xsi:type="dcterms:W3CDTF">2023-01-26T07:12:01Z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D2C599F5360C4715880EF288DA0AEAC8</vt:lpwstr>
  </property>
</Properties>
</file>