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生技部</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张智方</w:t>
            </w:r>
            <w:r>
              <w:rPr>
                <w:rFonts w:hint="eastAsia" w:ascii="宋体" w:hAnsi="宋体" w:eastAsia="宋体" w:cs="宋体"/>
                <w:sz w:val="21"/>
                <w:szCs w:val="21"/>
              </w:rPr>
              <w:t xml:space="preserve">        陪同人员：梁卫卫</w:t>
            </w:r>
          </w:p>
        </w:tc>
        <w:tc>
          <w:tcPr>
            <w:tcW w:w="158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审核员：温红玲</w:t>
            </w:r>
            <w:r>
              <w:rPr>
                <w:rFonts w:hint="eastAsia" w:ascii="宋体" w:hAnsi="宋体" w:cs="宋体"/>
                <w:bCs w:val="0"/>
                <w:spacing w:val="0"/>
                <w:kern w:val="2"/>
                <w:sz w:val="21"/>
                <w:szCs w:val="21"/>
                <w:lang w:val="en-US" w:eastAsia="zh-CN" w:bidi="ar-SA"/>
              </w:rPr>
              <w:t>A</w:t>
            </w:r>
            <w:r>
              <w:rPr>
                <w:rFonts w:hint="eastAsia" w:ascii="宋体" w:hAnsi="宋体" w:eastAsia="宋体" w:cs="宋体"/>
                <w:bCs w:val="0"/>
                <w:spacing w:val="0"/>
                <w:kern w:val="2"/>
                <w:sz w:val="21"/>
                <w:szCs w:val="21"/>
                <w:lang w:val="en-US" w:eastAsia="zh-CN" w:bidi="ar-SA"/>
              </w:rPr>
              <w:t>（远程微信沟通）           审核时间：2022.12.</w:t>
            </w:r>
            <w:r>
              <w:rPr>
                <w:rFonts w:hint="eastAsia" w:ascii="宋体" w:hAnsi="宋体" w:cs="宋体"/>
                <w:bCs w:val="0"/>
                <w:spacing w:val="0"/>
                <w:kern w:val="2"/>
                <w:sz w:val="21"/>
                <w:szCs w:val="21"/>
                <w:lang w:val="en-US" w:eastAsia="zh-CN" w:bidi="ar-SA"/>
              </w:rPr>
              <w:t>26</w:t>
            </w:r>
          </w:p>
        </w:tc>
        <w:tc>
          <w:tcPr>
            <w:tcW w:w="1585" w:type="dxa"/>
            <w:vMerge w:val="continue"/>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adjustRightInd w:val="0"/>
              <w:snapToGrid w:val="0"/>
              <w:spacing w:line="320" w:lineRule="exact"/>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审核条款：E: 6.1.2环境因素辨识与评价、8.1运行策划和控制、8.2应急准备和响应</w:t>
            </w:r>
          </w:p>
        </w:tc>
        <w:tc>
          <w:tcPr>
            <w:tcW w:w="1585" w:type="dxa"/>
            <w:vMerge w:val="continue"/>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环境因素，危险源辨识与评价</w:t>
            </w:r>
          </w:p>
        </w:tc>
        <w:tc>
          <w:tcPr>
            <w:tcW w:w="960" w:type="dxa"/>
          </w:tcPr>
          <w:p>
            <w:pPr>
              <w:rPr>
                <w:rFonts w:hint="eastAsia" w:ascii="宋体" w:hAnsi="宋体" w:eastAsia="宋体" w:cs="宋体"/>
                <w:sz w:val="21"/>
                <w:szCs w:val="21"/>
              </w:rPr>
            </w:pPr>
            <w:r>
              <w:rPr>
                <w:rFonts w:hint="eastAsia" w:ascii="宋体" w:hAnsi="宋体" w:cs="宋体"/>
                <w:sz w:val="21"/>
                <w:szCs w:val="21"/>
                <w:lang w:eastAsia="zh-CN"/>
              </w:rPr>
              <w:t>E</w:t>
            </w:r>
            <w:r>
              <w:rPr>
                <w:rFonts w:hint="eastAsia" w:ascii="宋体" w:hAnsi="宋体" w:eastAsia="宋体" w:cs="宋体"/>
                <w:sz w:val="21"/>
                <w:szCs w:val="21"/>
              </w:rPr>
              <w:t>6.1.2</w:t>
            </w:r>
          </w:p>
          <w:p>
            <w:pPr>
              <w:rPr>
                <w:rFonts w:hint="eastAsia" w:ascii="宋体" w:hAnsi="宋体" w:eastAsia="宋体" w:cs="宋体"/>
                <w:sz w:val="21"/>
                <w:szCs w:val="21"/>
              </w:rPr>
            </w:pPr>
          </w:p>
        </w:tc>
        <w:tc>
          <w:tcPr>
            <w:tcW w:w="10004" w:type="dxa"/>
          </w:tcPr>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组织根据手册第6.1.2条款、《环境因素识别与评价控制程序》要求，由</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负责指导各部门环境因素的调查、评价、汇总、登记、审定及更新，各部门负责组织实施，</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负责汇总整理。</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查看生技部《环境因素识别评价表》，组织在办公区、</w:t>
            </w:r>
            <w:r>
              <w:rPr>
                <w:rFonts w:hint="eastAsia" w:ascii="宋体" w:hAnsi="宋体" w:cs="宋体"/>
                <w:bCs w:val="0"/>
                <w:spacing w:val="0"/>
                <w:kern w:val="2"/>
                <w:sz w:val="21"/>
                <w:szCs w:val="21"/>
                <w:lang w:val="en-US" w:eastAsia="zh-CN" w:bidi="ar-SA"/>
              </w:rPr>
              <w:t>生产</w:t>
            </w:r>
            <w:r>
              <w:rPr>
                <w:rFonts w:hint="eastAsia" w:ascii="宋体" w:hAnsi="宋体" w:eastAsia="宋体" w:cs="宋体"/>
                <w:bCs w:val="0"/>
                <w:spacing w:val="0"/>
                <w:kern w:val="2"/>
                <w:sz w:val="21"/>
                <w:szCs w:val="21"/>
                <w:lang w:val="en-US" w:eastAsia="zh-CN" w:bidi="ar-SA"/>
              </w:rPr>
              <w:t>车间等场所，按照活动过程调查、识别和确定了环境因素及其环境影响，对环境因素的正常</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异常</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紧急状态进行评价，对应责任部门明确，有相应的保存期限、责任人和制定日期，基本满足环境因素识别、确定和保持要求。</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4384" behindDoc="0" locked="0" layoutInCell="1" allowOverlap="1">
                  <wp:simplePos x="0" y="0"/>
                  <wp:positionH relativeFrom="column">
                    <wp:posOffset>4305935</wp:posOffset>
                  </wp:positionH>
                  <wp:positionV relativeFrom="paragraph">
                    <wp:posOffset>238760</wp:posOffset>
                  </wp:positionV>
                  <wp:extent cx="1869440" cy="1109345"/>
                  <wp:effectExtent l="0" t="0" r="10160" b="8255"/>
                  <wp:wrapNone/>
                  <wp:docPr id="36" name="图片 36" descr="167472715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74727153864"/>
                          <pic:cNvPicPr>
                            <a:picLocks noChangeAspect="1"/>
                          </pic:cNvPicPr>
                        </pic:nvPicPr>
                        <pic:blipFill>
                          <a:blip r:embed="rId6"/>
                          <a:stretch>
                            <a:fillRect/>
                          </a:stretch>
                        </pic:blipFill>
                        <pic:spPr>
                          <a:xfrm>
                            <a:off x="0" y="0"/>
                            <a:ext cx="1869440" cy="1109345"/>
                          </a:xfrm>
                          <a:prstGeom prst="rect">
                            <a:avLst/>
                          </a:prstGeom>
                        </pic:spPr>
                      </pic:pic>
                    </a:graphicData>
                  </a:graphic>
                </wp:anchor>
              </w:drawing>
            </w:r>
            <w:r>
              <w:rPr>
                <w:rFonts w:hint="eastAsia" w:ascii="宋体" w:hAnsi="宋体" w:eastAsia="宋体" w:cs="宋体"/>
                <w:bCs w:val="0"/>
                <w:spacing w:val="0"/>
                <w:kern w:val="2"/>
                <w:sz w:val="21"/>
                <w:szCs w:val="21"/>
                <w:lang w:val="en-US" w:eastAsia="zh-CN" w:bidi="ar-SA"/>
              </w:rPr>
              <w:drawing>
                <wp:anchor distT="0" distB="0" distL="114300" distR="114300" simplePos="0" relativeHeight="251662336" behindDoc="0" locked="0" layoutInCell="1" allowOverlap="1">
                  <wp:simplePos x="0" y="0"/>
                  <wp:positionH relativeFrom="column">
                    <wp:posOffset>-57150</wp:posOffset>
                  </wp:positionH>
                  <wp:positionV relativeFrom="paragraph">
                    <wp:posOffset>85725</wp:posOffset>
                  </wp:positionV>
                  <wp:extent cx="2125980" cy="2033905"/>
                  <wp:effectExtent l="0" t="0" r="7620" b="10795"/>
                  <wp:wrapNone/>
                  <wp:docPr id="34" name="图片 34" descr="167472702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74727025171"/>
                          <pic:cNvPicPr>
                            <a:picLocks noChangeAspect="1"/>
                          </pic:cNvPicPr>
                        </pic:nvPicPr>
                        <pic:blipFill>
                          <a:blip r:embed="rId7"/>
                          <a:stretch>
                            <a:fillRect/>
                          </a:stretch>
                        </pic:blipFill>
                        <pic:spPr>
                          <a:xfrm>
                            <a:off x="0" y="0"/>
                            <a:ext cx="2125980" cy="2033905"/>
                          </a:xfrm>
                          <a:prstGeom prst="rect">
                            <a:avLst/>
                          </a:prstGeom>
                        </pic:spPr>
                      </pic:pic>
                    </a:graphicData>
                  </a:graphic>
                </wp:anchor>
              </w:drawing>
            </w:r>
            <w:r>
              <w:rPr>
                <w:rFonts w:hint="eastAsia" w:ascii="宋体" w:hAnsi="宋体" w:eastAsia="宋体" w:cs="宋体"/>
                <w:bCs w:val="0"/>
                <w:spacing w:val="0"/>
                <w:kern w:val="2"/>
                <w:sz w:val="21"/>
                <w:szCs w:val="21"/>
                <w:lang w:val="en-US" w:eastAsia="zh-CN" w:bidi="ar-SA"/>
              </w:rPr>
              <w:drawing>
                <wp:anchor distT="0" distB="0" distL="114300" distR="114300" simplePos="0" relativeHeight="251663360" behindDoc="0" locked="0" layoutInCell="1" allowOverlap="1">
                  <wp:simplePos x="0" y="0"/>
                  <wp:positionH relativeFrom="column">
                    <wp:posOffset>2094230</wp:posOffset>
                  </wp:positionH>
                  <wp:positionV relativeFrom="paragraph">
                    <wp:posOffset>61595</wp:posOffset>
                  </wp:positionV>
                  <wp:extent cx="2178685" cy="2037715"/>
                  <wp:effectExtent l="0" t="0" r="5715" b="6985"/>
                  <wp:wrapNone/>
                  <wp:docPr id="35" name="图片 35" descr="167472707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74727071522"/>
                          <pic:cNvPicPr>
                            <a:picLocks noChangeAspect="1"/>
                          </pic:cNvPicPr>
                        </pic:nvPicPr>
                        <pic:blipFill>
                          <a:blip r:embed="rId8"/>
                          <a:stretch>
                            <a:fillRect/>
                          </a:stretch>
                        </pic:blipFill>
                        <pic:spPr>
                          <a:xfrm>
                            <a:off x="0" y="0"/>
                            <a:ext cx="2178685" cy="2037715"/>
                          </a:xfrm>
                          <a:prstGeom prst="rect">
                            <a:avLst/>
                          </a:prstGeom>
                        </pic:spPr>
                      </pic:pic>
                    </a:graphicData>
                  </a:graphic>
                </wp:anchor>
              </w:drawing>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1312" behindDoc="0" locked="0" layoutInCell="1" allowOverlap="1">
                  <wp:simplePos x="0" y="0"/>
                  <wp:positionH relativeFrom="column">
                    <wp:posOffset>615315</wp:posOffset>
                  </wp:positionH>
                  <wp:positionV relativeFrom="paragraph">
                    <wp:posOffset>347345</wp:posOffset>
                  </wp:positionV>
                  <wp:extent cx="3224530" cy="1770380"/>
                  <wp:effectExtent l="0" t="0" r="1270" b="7620"/>
                  <wp:wrapNone/>
                  <wp:docPr id="29" name="图片 29" descr="167471828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74718286258"/>
                          <pic:cNvPicPr>
                            <a:picLocks noChangeAspect="1"/>
                          </pic:cNvPicPr>
                        </pic:nvPicPr>
                        <pic:blipFill>
                          <a:blip r:embed="rId9"/>
                          <a:stretch>
                            <a:fillRect/>
                          </a:stretch>
                        </pic:blipFill>
                        <pic:spPr>
                          <a:xfrm>
                            <a:off x="0" y="0"/>
                            <a:ext cx="3224530" cy="1770380"/>
                          </a:xfrm>
                          <a:prstGeom prst="rect">
                            <a:avLst/>
                          </a:prstGeom>
                        </pic:spPr>
                      </pic:pic>
                    </a:graphicData>
                  </a:graphic>
                </wp:anchor>
              </w:drawing>
            </w:r>
            <w:r>
              <w:rPr>
                <w:rFonts w:hint="eastAsia" w:ascii="宋体" w:hAnsi="宋体" w:eastAsia="宋体" w:cs="宋体"/>
                <w:bCs w:val="0"/>
                <w:spacing w:val="0"/>
                <w:kern w:val="2"/>
                <w:sz w:val="21"/>
                <w:szCs w:val="21"/>
                <w:lang w:val="en-US" w:eastAsia="zh-CN" w:bidi="ar-SA"/>
              </w:rPr>
              <w:t>组织按照《环境因素识别、评价和控制程序》准则确定了重要环境因素，抽查组织《重要环境因素清单》内容如下：</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bCs w:val="0"/>
                <w:spacing w:val="0"/>
                <w:kern w:val="2"/>
                <w:sz w:val="21"/>
                <w:szCs w:val="21"/>
                <w:lang w:val="en-US" w:eastAsia="zh-CN" w:bidi="ar-SA"/>
              </w:rPr>
              <w:t>重要环境因素识别、评价与实际吻合，管理方案明确控制措施基本能够满足控制要求。</w:t>
            </w:r>
          </w:p>
        </w:tc>
        <w:tc>
          <w:tcPr>
            <w:tcW w:w="1585" w:type="dxa"/>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tcPr>
          <w:p>
            <w:pPr>
              <w:rPr>
                <w:rFonts w:hint="eastAsia" w:ascii="宋体" w:hAnsi="宋体" w:eastAsia="宋体" w:cs="宋体"/>
                <w:spacing w:val="-16"/>
                <w:sz w:val="21"/>
                <w:szCs w:val="21"/>
              </w:rPr>
            </w:pPr>
            <w:r>
              <w:rPr>
                <w:rFonts w:hint="eastAsia" w:ascii="宋体" w:hAnsi="宋体" w:cs="宋体"/>
                <w:spacing w:val="-16"/>
                <w:sz w:val="21"/>
                <w:szCs w:val="21"/>
                <w:lang w:eastAsia="zh-CN"/>
              </w:rPr>
              <w:t>E</w:t>
            </w:r>
            <w:r>
              <w:rPr>
                <w:rFonts w:hint="eastAsia" w:ascii="宋体" w:hAnsi="宋体" w:eastAsia="宋体" w:cs="宋体"/>
                <w:spacing w:val="-16"/>
                <w:sz w:val="21"/>
                <w:szCs w:val="21"/>
              </w:rPr>
              <w:t>8.1</w:t>
            </w:r>
          </w:p>
          <w:p>
            <w:pPr>
              <w:rPr>
                <w:rFonts w:hint="eastAsia" w:ascii="宋体" w:hAnsi="宋体" w:eastAsia="宋体" w:cs="宋体"/>
                <w:sz w:val="21"/>
                <w:szCs w:val="21"/>
              </w:rPr>
            </w:pPr>
          </w:p>
        </w:tc>
        <w:tc>
          <w:tcPr>
            <w:tcW w:w="10004" w:type="dxa"/>
            <w:vAlign w:val="center"/>
          </w:tcPr>
          <w:p>
            <w:pPr>
              <w:spacing w:line="360" w:lineRule="auto"/>
              <w:ind w:firstLine="420" w:firstLineChars="200"/>
              <w:jc w:val="left"/>
              <w:rPr>
                <w:rFonts w:hint="eastAsia"/>
                <w:lang w:val="en-US" w:eastAsia="zh-CN"/>
              </w:rPr>
            </w:pPr>
            <w:r>
              <w:rPr>
                <w:rFonts w:hint="eastAsia"/>
                <w:lang w:val="en-US" w:eastAsia="zh-CN"/>
              </w:rPr>
              <w:t>与负责人沟通，负责对固体废弃物、潜在火灾等生产过程中重要环境因素采取控制措施的监督管理以及对相关方环境表现情况的监督管理。</w:t>
            </w:r>
          </w:p>
          <w:p>
            <w:pPr>
              <w:spacing w:line="360" w:lineRule="auto"/>
              <w:ind w:firstLine="420" w:firstLineChars="200"/>
              <w:jc w:val="left"/>
              <w:rPr>
                <w:rFonts w:hint="eastAsia"/>
                <w:lang w:val="en-US" w:eastAsia="zh-CN"/>
              </w:rPr>
            </w:pPr>
            <w:r>
              <w:rPr>
                <w:rFonts w:hint="eastAsia"/>
                <w:lang w:val="en-US" w:eastAsia="zh-CN"/>
              </w:rPr>
              <w:t>部门执行的运行控制文件包括：《环境和职业健康安全运行控制程序》、废弃物管理要求等。考虑产品生命周期每一个阶段，并制订了措施，如工艺、设备、材料选用考虑节能、减排环保；确定生产产品的原材料、销售产品的环境要求；考虑了提供与其产品和服务的运输或交付、使用、寿命结束后处理和最终处置相关的潜在重大环境影响的信息的需求等。</w:t>
            </w:r>
          </w:p>
          <w:p>
            <w:pPr>
              <w:spacing w:line="360" w:lineRule="auto"/>
              <w:ind w:firstLine="420" w:firstLineChars="200"/>
              <w:jc w:val="left"/>
              <w:rPr>
                <w:rFonts w:hint="eastAsia"/>
                <w:lang w:val="en-US" w:eastAsia="zh-CN"/>
              </w:rPr>
            </w:pPr>
            <w:r>
              <w:rPr>
                <w:rFonts w:hint="eastAsia"/>
                <w:lang w:val="en-US" w:eastAsia="zh-CN"/>
              </w:rPr>
              <w:t>查运行控制情况：</w:t>
            </w:r>
          </w:p>
          <w:p>
            <w:pPr>
              <w:spacing w:line="360" w:lineRule="auto"/>
              <w:ind w:firstLine="420" w:firstLineChars="200"/>
              <w:jc w:val="left"/>
              <w:rPr>
                <w:rFonts w:hint="eastAsia"/>
                <w:lang w:val="en-US" w:eastAsia="zh-CN"/>
              </w:rPr>
            </w:pPr>
            <w:r>
              <w:rPr>
                <w:rFonts w:hint="eastAsia"/>
                <w:lang w:val="en-US" w:eastAsia="zh-CN"/>
              </w:rPr>
              <w:t>办公过程做到人走灯灭，电脑和检测设备长时间不用时关机，下班前要关闭电源；</w:t>
            </w:r>
          </w:p>
          <w:p>
            <w:pPr>
              <w:spacing w:line="360" w:lineRule="auto"/>
              <w:ind w:firstLine="420" w:firstLineChars="200"/>
              <w:jc w:val="left"/>
              <w:rPr>
                <w:rFonts w:hint="eastAsia"/>
                <w:lang w:val="en-US" w:eastAsia="zh-CN"/>
              </w:rPr>
            </w:pPr>
            <w:r>
              <w:rPr>
                <w:rFonts w:hint="eastAsia"/>
                <w:lang w:val="en-US" w:eastAsia="zh-CN"/>
              </w:rPr>
              <w:t>办公过程使用的电器如：空调、电脑、灯具均符合安全设计要求，使用过程注意安全，预防火灾；</w:t>
            </w:r>
          </w:p>
          <w:p>
            <w:pPr>
              <w:spacing w:line="360" w:lineRule="auto"/>
              <w:ind w:firstLine="420" w:firstLineChars="200"/>
              <w:jc w:val="left"/>
              <w:rPr>
                <w:rFonts w:hint="eastAsia"/>
                <w:lang w:val="en-US" w:eastAsia="zh-CN"/>
              </w:rPr>
            </w:pPr>
            <w:r>
              <w:rPr>
                <w:rFonts w:hint="eastAsia"/>
                <w:lang w:val="en-US" w:eastAsia="zh-CN"/>
              </w:rPr>
              <w:t>办公过程产生的固废按综合部要求放到指定地点，现场查看无混放现象；</w:t>
            </w:r>
          </w:p>
          <w:p>
            <w:pPr>
              <w:spacing w:line="360" w:lineRule="auto"/>
              <w:ind w:firstLine="420" w:firstLineChars="200"/>
              <w:jc w:val="left"/>
              <w:rPr>
                <w:rFonts w:hint="eastAsia"/>
                <w:lang w:val="en-US" w:eastAsia="zh-CN"/>
              </w:rPr>
            </w:pPr>
            <w:r>
              <w:rPr>
                <w:rFonts w:hint="eastAsia"/>
                <w:lang w:val="en-US" w:eastAsia="zh-CN"/>
              </w:rPr>
              <w:t>办公用品按要求由办公室负责发放；</w:t>
            </w:r>
          </w:p>
          <w:p>
            <w:pPr>
              <w:spacing w:line="360" w:lineRule="auto"/>
              <w:ind w:firstLine="420" w:firstLineChars="200"/>
              <w:jc w:val="left"/>
              <w:rPr>
                <w:rFonts w:hint="eastAsia"/>
                <w:lang w:val="en-US" w:eastAsia="zh-CN"/>
              </w:rPr>
            </w:pPr>
            <w:r>
              <w:rPr>
                <w:rFonts w:hint="eastAsia"/>
                <w:lang w:val="en-US" w:eastAsia="zh-CN"/>
              </w:rPr>
              <w:t>生产过程中使用设备有中频感应电炉、调质炉、离心机、数控车床、钻床、铣床、埋弧焊机、锯床、起重设备、布袋除尘器、焊烟净化器等，进行日常维护保养，定期检查风机电机和传动系统；清理吸附装置内杂物，检查吸附装置各部位气密性等，目前使用情况良好。</w:t>
            </w:r>
          </w:p>
          <w:p>
            <w:pPr>
              <w:spacing w:line="360" w:lineRule="auto"/>
              <w:ind w:firstLine="420" w:firstLineChars="200"/>
              <w:jc w:val="left"/>
              <w:rPr>
                <w:rFonts w:hint="eastAsia"/>
                <w:lang w:val="en-US" w:eastAsia="zh-CN"/>
              </w:rPr>
            </w:pPr>
            <w:r>
              <w:rPr>
                <w:rFonts w:hint="eastAsia"/>
                <w:lang w:val="en-US" w:eastAsia="zh-CN"/>
              </w:rPr>
              <w:t>查特种设备年检情况：</w:t>
            </w:r>
          </w:p>
          <w:p>
            <w:pPr>
              <w:spacing w:line="360" w:lineRule="auto"/>
              <w:ind w:firstLine="422" w:firstLineChars="200"/>
              <w:jc w:val="left"/>
              <w:rPr>
                <w:rFonts w:hint="default"/>
                <w:lang w:val="en-US" w:eastAsia="zh-CN"/>
              </w:rPr>
            </w:pPr>
            <w:r>
              <w:rPr>
                <w:rFonts w:hint="eastAsia"/>
                <w:b/>
                <w:bCs/>
                <w:color w:val="FF0000"/>
                <w:lang w:val="en-US" w:eastAsia="zh-CN"/>
              </w:rPr>
              <w:t>查提供“单位内编号：2008101791 桥式起重机报告”下次检验日期：2022年01月，已过期。</w:t>
            </w:r>
            <w:r>
              <w:rPr>
                <w:rFonts w:hint="eastAsia"/>
                <w:lang w:val="en-US" w:eastAsia="zh-CN"/>
              </w:rPr>
              <w:t>进一步检查其它起重设备年检均在有效期内。</w:t>
            </w:r>
          </w:p>
          <w:p>
            <w:pPr>
              <w:spacing w:line="360" w:lineRule="auto"/>
              <w:ind w:firstLine="420" w:firstLineChars="200"/>
              <w:jc w:val="left"/>
              <w:rPr>
                <w:rFonts w:hint="eastAsia"/>
                <w:lang w:val="en-US" w:eastAsia="zh-CN"/>
              </w:rPr>
            </w:pPr>
            <w:r>
              <w:rPr>
                <w:rFonts w:hint="eastAsia"/>
                <w:lang w:val="en-US" w:eastAsia="zh-CN"/>
              </w:rPr>
              <w:t>查废气控制：</w:t>
            </w:r>
          </w:p>
          <w:p>
            <w:pPr>
              <w:spacing w:line="360" w:lineRule="auto"/>
              <w:ind w:firstLine="420" w:firstLineChars="200"/>
              <w:jc w:val="left"/>
              <w:rPr>
                <w:rFonts w:hint="default"/>
                <w:lang w:val="en-US" w:eastAsia="zh-CN"/>
              </w:rPr>
            </w:pPr>
            <w:r>
              <w:rPr>
                <w:rFonts w:hint="eastAsia"/>
                <w:lang w:val="en-US" w:eastAsia="zh-CN"/>
              </w:rPr>
              <w:t>焊接废气：经1台双臂移动式焊烟净化器处理后排放于车间内，车间安装排风扇加强通风；达标排放；</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熔化过程产生的颗粒物：2个移动式集气罩+布袋除尘器+15m高排气筒电炉，车间安装排风扇加强通风；</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熔浇注过程产生的颗粒物：5个移动式集气罩+布袋除尘器+15m 高排气筒，车间安装排风扇加强通风；达标排放；</w:t>
            </w:r>
          </w:p>
          <w:p>
            <w:pPr>
              <w:spacing w:line="360" w:lineRule="auto"/>
              <w:ind w:firstLine="420" w:firstLineChars="200"/>
              <w:jc w:val="left"/>
              <w:rPr>
                <w:rFonts w:hint="default"/>
                <w:lang w:val="en-US" w:eastAsia="zh-CN"/>
              </w:rPr>
            </w:pPr>
            <w:r>
              <w:rPr>
                <w:rFonts w:hint="eastAsia"/>
                <w:lang w:val="en-US" w:eastAsia="zh-CN"/>
              </w:rPr>
              <w:t>查提供有2022年度废气监测报告，废气排放达标。</w:t>
            </w:r>
          </w:p>
          <w:p>
            <w:pPr>
              <w:spacing w:line="360" w:lineRule="auto"/>
              <w:ind w:firstLine="420" w:firstLineChars="200"/>
              <w:jc w:val="left"/>
              <w:rPr>
                <w:rFonts w:hint="eastAsia"/>
                <w:lang w:val="en-US" w:eastAsia="zh-CN"/>
              </w:rPr>
            </w:pPr>
            <w:r>
              <w:rPr>
                <w:rFonts w:hint="eastAsia"/>
                <w:lang w:val="en-US" w:eastAsia="zh-CN"/>
              </w:rPr>
              <w:t>查废水控制：</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电炉冷却系统：冷却水循环利用；</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生活污水：泼洒地面抑制尘、防渗旱厕，不外排。</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查固废控制：</w:t>
            </w:r>
          </w:p>
          <w:p>
            <w:pPr>
              <w:spacing w:line="360" w:lineRule="auto"/>
              <w:ind w:firstLine="420" w:firstLineChars="200"/>
              <w:jc w:val="left"/>
              <w:rPr>
                <w:rFonts w:hint="eastAsia"/>
                <w:lang w:val="en-US" w:eastAsia="zh-CN"/>
              </w:rPr>
            </w:pPr>
            <w:r>
              <w:rPr>
                <w:rFonts w:hint="eastAsia"/>
                <w:lang w:val="en-US" w:eastAsia="zh-CN"/>
              </w:rPr>
              <w:t>生产过程下脚料残次品、移动式焊烟净化器、布袋除尘器颗粒物、熔化过程炉渣，外售综合利用，资源化利用；</w:t>
            </w:r>
          </w:p>
          <w:p>
            <w:pPr>
              <w:spacing w:line="360" w:lineRule="auto"/>
              <w:ind w:firstLine="420" w:firstLineChars="200"/>
              <w:jc w:val="left"/>
              <w:rPr>
                <w:rFonts w:hint="default"/>
                <w:lang w:val="en-US" w:eastAsia="zh-CN"/>
              </w:rPr>
            </w:pPr>
            <w:r>
              <w:rPr>
                <w:rFonts w:hint="eastAsia"/>
                <w:lang w:val="en-US" w:eastAsia="zh-CN"/>
              </w:rPr>
              <w:t>生产过程切削液循环利用定期添加，不外排；</w:t>
            </w:r>
          </w:p>
          <w:p>
            <w:pPr>
              <w:spacing w:line="360" w:lineRule="auto"/>
              <w:ind w:firstLine="420" w:firstLineChars="200"/>
              <w:jc w:val="left"/>
              <w:rPr>
                <w:rFonts w:hint="eastAsia"/>
                <w:lang w:val="en-US" w:eastAsia="zh-CN"/>
              </w:rPr>
            </w:pPr>
            <w:r>
              <w:rPr>
                <w:rFonts w:hint="eastAsia"/>
                <w:lang w:val="en-US" w:eastAsia="zh-CN"/>
              </w:rPr>
              <w:t>厂区生活垃圾由环卫部门统一清运处理。</w:t>
            </w:r>
          </w:p>
          <w:p>
            <w:pPr>
              <w:spacing w:line="360" w:lineRule="auto"/>
              <w:ind w:firstLine="420" w:firstLineChars="200"/>
              <w:jc w:val="left"/>
              <w:rPr>
                <w:rFonts w:hint="eastAsia"/>
                <w:lang w:val="en-US" w:eastAsia="zh-CN"/>
              </w:rPr>
            </w:pPr>
            <w:r>
              <w:rPr>
                <w:rFonts w:hint="eastAsia"/>
                <w:lang w:val="en-US" w:eastAsia="zh-CN"/>
              </w:rPr>
              <w:t>生产过程中的危险固废：废机油、废炉渣等单独分类存放，集中收集到一定数量时交有资质的单位处置。</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查噪声控制：</w:t>
            </w:r>
          </w:p>
          <w:p>
            <w:pPr>
              <w:spacing w:line="360" w:lineRule="auto"/>
              <w:ind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噪声为设备运行产生的噪声，采取选用低噪声设备、车间合理布局、加大减震基础、厂房隔声、距离衰减等措施削减</w:t>
            </w:r>
            <w:r>
              <w:rPr>
                <w:rFonts w:hint="eastAsia" w:ascii="Times New Roman" w:hAnsi="Times New Roman" w:eastAsia="宋体" w:cs="Times New Roman"/>
                <w:lang w:val="en-US" w:eastAsia="zh-CN"/>
              </w:rPr>
              <w:t>，查提供有2022年度噪声监测报告，通过选用低噪声设备、厂房隔声及距离衰减后厂界噪声满足《工业企业厂界环境噪声排放标准》（GB12348-2008）中2类、4a类标准要求，对外环境影响较小，噪声达标排放。</w:t>
            </w:r>
          </w:p>
          <w:p>
            <w:pPr>
              <w:spacing w:line="360" w:lineRule="auto"/>
              <w:ind w:firstLine="420" w:firstLineChars="200"/>
              <w:jc w:val="left"/>
              <w:rPr>
                <w:rFonts w:hint="eastAsia"/>
                <w:lang w:val="en-US" w:eastAsia="zh-CN"/>
              </w:rPr>
            </w:pPr>
            <w:r>
              <w:rPr>
                <w:rFonts w:hint="eastAsia"/>
                <w:lang w:val="en-US" w:eastAsia="zh-CN"/>
              </w:rPr>
              <w:t>查能源资源控制：</w:t>
            </w:r>
          </w:p>
          <w:p>
            <w:pPr>
              <w:spacing w:line="360" w:lineRule="auto"/>
              <w:ind w:firstLine="420" w:firstLineChars="200"/>
              <w:jc w:val="left"/>
              <w:rPr>
                <w:rFonts w:hint="eastAsia"/>
                <w:lang w:val="en-US" w:eastAsia="zh-CN"/>
              </w:rPr>
            </w:pPr>
            <w:r>
              <w:rPr>
                <w:rFonts w:hint="eastAsia"/>
                <w:lang w:val="en-US" w:eastAsia="zh-CN"/>
              </w:rPr>
              <w:t>水、电能的消耗：由办公室对电能的消耗进行统计，每季度考核一次。优化操作工艺，控制原材料进货质量，人员培训后上岗，提高全员节电意识，保持设备完好。</w:t>
            </w:r>
          </w:p>
          <w:p>
            <w:pPr>
              <w:spacing w:line="360" w:lineRule="auto"/>
              <w:ind w:firstLine="420" w:firstLineChars="200"/>
              <w:jc w:val="left"/>
              <w:rPr>
                <w:rFonts w:hint="eastAsia"/>
                <w:lang w:val="en-US" w:eastAsia="zh-CN"/>
              </w:rPr>
            </w:pPr>
            <w:r>
              <w:rPr>
                <w:rFonts w:hint="eastAsia"/>
                <w:lang w:val="en-US" w:eastAsia="zh-CN"/>
              </w:rPr>
              <w:t>每月对消防器材进行一次全面检查--提供消防器材检查记录。</w:t>
            </w:r>
          </w:p>
          <w:p>
            <w:pPr>
              <w:spacing w:line="360" w:lineRule="auto"/>
              <w:ind w:firstLine="420" w:firstLineChars="200"/>
              <w:jc w:val="left"/>
              <w:rPr>
                <w:rFonts w:hint="eastAsia"/>
                <w:lang w:val="en-US" w:eastAsia="zh-CN"/>
              </w:rPr>
            </w:pPr>
            <w:r>
              <w:rPr>
                <w:rFonts w:hint="eastAsia"/>
                <w:lang w:val="en-US" w:eastAsia="zh-CN"/>
              </w:rPr>
              <w:t>策划采购控制要求和评价供方时确定了产品采购的环境要求。</w:t>
            </w:r>
          </w:p>
          <w:p>
            <w:pPr>
              <w:spacing w:line="360" w:lineRule="auto"/>
              <w:ind w:firstLine="420" w:firstLineChars="200"/>
              <w:jc w:val="left"/>
              <w:rPr>
                <w:rFonts w:hint="eastAsia"/>
                <w:lang w:val="en-US" w:eastAsia="zh-CN"/>
              </w:rPr>
            </w:pPr>
            <w:r>
              <w:rPr>
                <w:rFonts w:hint="eastAsia"/>
                <w:lang w:val="en-US" w:eastAsia="zh-CN"/>
              </w:rPr>
              <w:t>通过对相关方发放文件的方式、面谈、签订合同沟通等方式向外部供方（包括合同方）沟通了公司的环境要求。</w:t>
            </w:r>
          </w:p>
          <w:p>
            <w:pPr>
              <w:spacing w:line="360" w:lineRule="auto"/>
              <w:ind w:firstLine="420" w:firstLineChars="200"/>
              <w:jc w:val="left"/>
              <w:rPr>
                <w:rFonts w:hint="eastAsia"/>
                <w:lang w:val="en-US" w:eastAsia="zh-CN"/>
              </w:rPr>
            </w:pPr>
            <w:r>
              <w:rPr>
                <w:rFonts w:hint="eastAsia"/>
                <w:lang w:val="en-US" w:eastAsia="zh-CN"/>
              </w:rPr>
              <w:t>考虑了公司提供的产品的运输、交付、使用、寿命结束后处理和最终处置可能的重要环境因素编制了产品说明，在网站公布。并编制了相关方告知书，向客户、用户、相关方发放，见相关部门记录。</w:t>
            </w:r>
          </w:p>
          <w:p>
            <w:pPr>
              <w:spacing w:line="360" w:lineRule="auto"/>
              <w:ind w:firstLine="420" w:firstLineChars="200"/>
              <w:jc w:val="left"/>
              <w:rPr>
                <w:rFonts w:hint="default"/>
                <w:lang w:val="en-US" w:eastAsia="zh-CN"/>
              </w:rPr>
            </w:pPr>
            <w:r>
              <w:rPr>
                <w:rFonts w:hint="eastAsia"/>
                <w:lang w:val="en-US" w:eastAsia="zh-CN"/>
              </w:rPr>
              <w:t>查看《环境/安全检查记录表》查提供有2022年第三季度消防安全检查记录，检查情况均符合要求。</w:t>
            </w:r>
          </w:p>
          <w:p>
            <w:pPr>
              <w:spacing w:line="360" w:lineRule="auto"/>
              <w:ind w:firstLine="420" w:firstLineChars="200"/>
              <w:jc w:val="left"/>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264795</wp:posOffset>
                  </wp:positionH>
                  <wp:positionV relativeFrom="paragraph">
                    <wp:posOffset>41275</wp:posOffset>
                  </wp:positionV>
                  <wp:extent cx="2017395" cy="821055"/>
                  <wp:effectExtent l="0" t="0" r="1905" b="4445"/>
                  <wp:wrapNone/>
                  <wp:docPr id="40" name="图片 40" descr="167472056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674720566874"/>
                          <pic:cNvPicPr>
                            <a:picLocks noChangeAspect="1"/>
                          </pic:cNvPicPr>
                        </pic:nvPicPr>
                        <pic:blipFill>
                          <a:blip r:embed="rId10"/>
                          <a:stretch>
                            <a:fillRect/>
                          </a:stretch>
                        </pic:blipFill>
                        <pic:spPr>
                          <a:xfrm>
                            <a:off x="0" y="0"/>
                            <a:ext cx="2017395" cy="821055"/>
                          </a:xfrm>
                          <a:prstGeom prst="rect">
                            <a:avLst/>
                          </a:prstGeom>
                        </pic:spPr>
                      </pic:pic>
                    </a:graphicData>
                  </a:graphic>
                </wp:anchor>
              </w:drawing>
            </w: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default"/>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356870</wp:posOffset>
                  </wp:positionH>
                  <wp:positionV relativeFrom="paragraph">
                    <wp:posOffset>260985</wp:posOffset>
                  </wp:positionV>
                  <wp:extent cx="4125595" cy="1125855"/>
                  <wp:effectExtent l="0" t="0" r="1905" b="4445"/>
                  <wp:wrapNone/>
                  <wp:docPr id="41" name="图片 41" descr="167472049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1674720498359"/>
                          <pic:cNvPicPr>
                            <a:picLocks noChangeAspect="1"/>
                          </pic:cNvPicPr>
                        </pic:nvPicPr>
                        <pic:blipFill>
                          <a:blip r:embed="rId11"/>
                          <a:stretch>
                            <a:fillRect/>
                          </a:stretch>
                        </pic:blipFill>
                        <pic:spPr>
                          <a:xfrm>
                            <a:off x="0" y="0"/>
                            <a:ext cx="4125595" cy="1125855"/>
                          </a:xfrm>
                          <a:prstGeom prst="rect">
                            <a:avLst/>
                          </a:prstGeom>
                        </pic:spPr>
                      </pic:pic>
                    </a:graphicData>
                  </a:graphic>
                </wp:anchor>
              </w:drawing>
            </w:r>
            <w:r>
              <w:rPr>
                <w:rFonts w:hint="eastAsia"/>
                <w:lang w:val="en-US" w:eastAsia="zh-CN"/>
              </w:rPr>
              <w:t>抽查-固体废物处理记录，处置情况均符合要求。</w:t>
            </w:r>
          </w:p>
          <w:p>
            <w:pPr>
              <w:pStyle w:val="2"/>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在风险控制方面策划了：风险和机遇控制程序、绩效检测控制程序、管理制度、应急准备及响应程序等。</w:t>
            </w:r>
          </w:p>
          <w:p>
            <w:pPr>
              <w:spacing w:line="360" w:lineRule="auto"/>
              <w:ind w:firstLine="420" w:firstLineChars="200"/>
              <w:jc w:val="left"/>
              <w:rPr>
                <w:rFonts w:hint="eastAsia"/>
                <w:lang w:val="en-US" w:eastAsia="zh-CN"/>
              </w:rPr>
            </w:pPr>
            <w:r>
              <w:rPr>
                <w:rFonts w:hint="eastAsia"/>
                <w:lang w:val="en-US" w:eastAsia="zh-CN"/>
              </w:rPr>
              <w:t>查体系运行检查记录表</w:t>
            </w:r>
          </w:p>
          <w:p>
            <w:pPr>
              <w:pStyle w:val="2"/>
              <w:rPr>
                <w:rFonts w:hint="eastAsia"/>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348615</wp:posOffset>
                  </wp:positionH>
                  <wp:positionV relativeFrom="paragraph">
                    <wp:posOffset>48260</wp:posOffset>
                  </wp:positionV>
                  <wp:extent cx="4244340" cy="1170305"/>
                  <wp:effectExtent l="0" t="0" r="10160" b="10795"/>
                  <wp:wrapNone/>
                  <wp:docPr id="42" name="图片 42" descr="167472076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74720765565"/>
                          <pic:cNvPicPr>
                            <a:picLocks noChangeAspect="1"/>
                          </pic:cNvPicPr>
                        </pic:nvPicPr>
                        <pic:blipFill>
                          <a:blip r:embed="rId12"/>
                          <a:stretch>
                            <a:fillRect/>
                          </a:stretch>
                        </pic:blipFill>
                        <pic:spPr>
                          <a:xfrm>
                            <a:off x="0" y="0"/>
                            <a:ext cx="4244340" cy="117030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运行策划和控制符合要求</w:t>
            </w:r>
            <w:r>
              <w:rPr>
                <w:rFonts w:hint="eastAsia" w:ascii="宋体" w:hAnsi="宋体" w:cs="宋体"/>
                <w:sz w:val="21"/>
                <w:szCs w:val="21"/>
                <w:lang w:val="en-US" w:eastAsia="zh-CN"/>
              </w:rPr>
              <w:t>。</w:t>
            </w:r>
          </w:p>
        </w:tc>
        <w:tc>
          <w:tcPr>
            <w:tcW w:w="1585" w:type="dxa"/>
          </w:tcPr>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r>
              <w:rPr>
                <w:rFonts w:hint="eastAsia"/>
                <w:b/>
                <w:bCs w:val="0"/>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1"/>
                <w:szCs w:val="21"/>
              </w:rPr>
            </w:pPr>
            <w:r>
              <w:rPr>
                <w:rFonts w:hint="eastAsia" w:ascii="宋体" w:hAnsi="宋体" w:eastAsia="宋体" w:cs="宋体"/>
                <w:bCs/>
                <w:sz w:val="21"/>
                <w:szCs w:val="21"/>
              </w:rPr>
              <w:t>应急准备和响应</w:t>
            </w:r>
          </w:p>
        </w:tc>
        <w:tc>
          <w:tcPr>
            <w:tcW w:w="960" w:type="dxa"/>
            <w:vAlign w:val="top"/>
          </w:tcPr>
          <w:p>
            <w:pPr>
              <w:rPr>
                <w:rFonts w:hint="eastAsia" w:ascii="宋体" w:hAnsi="宋体" w:eastAsia="宋体" w:cs="宋体"/>
                <w:b/>
                <w:sz w:val="21"/>
                <w:szCs w:val="21"/>
              </w:rPr>
            </w:pPr>
            <w:r>
              <w:rPr>
                <w:rFonts w:hint="eastAsia" w:ascii="宋体" w:hAnsi="宋体" w:cs="宋体"/>
                <w:b/>
                <w:sz w:val="21"/>
                <w:szCs w:val="21"/>
                <w:lang w:eastAsia="zh-CN"/>
              </w:rPr>
              <w:t>E</w:t>
            </w:r>
            <w:r>
              <w:rPr>
                <w:rFonts w:hint="eastAsia" w:ascii="宋体" w:hAnsi="宋体" w:eastAsia="宋体" w:cs="宋体"/>
                <w:b/>
                <w:sz w:val="21"/>
                <w:szCs w:val="21"/>
              </w:rPr>
              <w:t>8.2</w:t>
            </w:r>
          </w:p>
          <w:p>
            <w:pPr>
              <w:rPr>
                <w:rFonts w:hint="eastAsia" w:ascii="宋体" w:hAnsi="宋体" w:eastAsia="宋体" w:cs="宋体"/>
                <w:sz w:val="21"/>
                <w:szCs w:val="21"/>
              </w:rPr>
            </w:pPr>
          </w:p>
        </w:tc>
        <w:tc>
          <w:tcPr>
            <w:tcW w:w="10004"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组织制定了《应急准备和响应控制程序》，识别紧急情况如下：触电事故/火灾应急</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，均规定了相应的应急响应措施，基本覆盖了重要环境因素和重要危险源的内容，符合控制要求，无修订记录</w:t>
            </w:r>
            <w:bookmarkStart w:id="0" w:name="_GoBack"/>
            <w:bookmarkEnd w:id="0"/>
            <w:r>
              <w:rPr>
                <w:rFonts w:hint="eastAsia" w:ascii="宋体" w:hAnsi="宋体" w:eastAsia="宋体" w:cs="宋体"/>
                <w:sz w:val="21"/>
                <w:szCs w:val="21"/>
                <w:lang w:val="en-US" w:eastAsia="zh-CN"/>
              </w:rPr>
              <w:t>。</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提供《202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年应急救援预案》，有组织人员结构、人员组成、通讯联络、应急物资准备、应急处置程序、注意事项等。编制：</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 xml:space="preserve">    审批：</w:t>
            </w:r>
            <w:r>
              <w:rPr>
                <w:rFonts w:hint="eastAsia" w:ascii="宋体" w:hAnsi="宋体" w:cs="宋体"/>
                <w:sz w:val="21"/>
                <w:szCs w:val="21"/>
                <w:lang w:val="en-US" w:eastAsia="zh-CN"/>
              </w:rPr>
              <w:t>张智慧</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于2022年3月18日/2022年5月24日参加了触电事故/火灾应急演练；</w:t>
            </w:r>
            <w:r>
              <w:rPr>
                <w:rFonts w:hint="eastAsia" w:ascii="宋体" w:hAnsi="宋体" w:cs="宋体"/>
                <w:sz w:val="21"/>
                <w:szCs w:val="21"/>
                <w:lang w:val="en-US" w:eastAsia="zh-CN"/>
              </w:rPr>
              <w:t>提供有演练记录，有演练方案评审，</w:t>
            </w:r>
            <w:r>
              <w:rPr>
                <w:rFonts w:hint="eastAsia" w:ascii="宋体" w:hAnsi="宋体" w:eastAsia="宋体" w:cs="宋体"/>
                <w:sz w:val="21"/>
                <w:szCs w:val="21"/>
                <w:lang w:val="en-US" w:eastAsia="zh-CN"/>
              </w:rPr>
              <w:t>对演练中发现的问题要求整改，并总结了预案的可行性和有效性</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向职业健康安全有关的相关方，包括在组织控制下工作的人员提供应急准备和响应相关的信息和培训。</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应急准备和响应控制：</w:t>
            </w:r>
            <w:r>
              <w:rPr>
                <w:rFonts w:hint="eastAsia" w:ascii="宋体" w:hAnsi="宋体" w:cs="宋体"/>
                <w:sz w:val="21"/>
                <w:szCs w:val="21"/>
                <w:lang w:val="en-US" w:eastAsia="zh-CN"/>
              </w:rPr>
              <w:t>基本</w:t>
            </w:r>
            <w:r>
              <w:rPr>
                <w:rFonts w:hint="eastAsia" w:ascii="宋体" w:hAnsi="宋体" w:eastAsia="宋体" w:cs="宋体"/>
                <w:sz w:val="21"/>
                <w:szCs w:val="21"/>
                <w:lang w:val="en-US" w:eastAsia="zh-CN"/>
              </w:rPr>
              <w:t>符合要求</w:t>
            </w:r>
            <w:r>
              <w:rPr>
                <w:rFonts w:hint="eastAsia" w:ascii="宋体" w:hAnsi="宋体" w:cs="宋体"/>
                <w:sz w:val="21"/>
                <w:szCs w:val="21"/>
                <w:lang w:val="en-US" w:eastAsia="zh-CN"/>
              </w:rPr>
              <w:t>。</w:t>
            </w:r>
          </w:p>
        </w:tc>
        <w:tc>
          <w:tcPr>
            <w:tcW w:w="1585" w:type="dxa"/>
            <w:vAlign w:val="top"/>
          </w:tcPr>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符合</w:t>
            </w:r>
          </w:p>
        </w:tc>
      </w:tr>
    </w:tbl>
    <w:p>
      <w:pPr>
        <w:rPr>
          <w:sz w:val="24"/>
          <w:szCs w:val="24"/>
        </w:rPr>
      </w:pPr>
    </w:p>
    <w:p>
      <w:pPr>
        <w:pStyle w:val="9"/>
        <w:rPr>
          <w:rFonts w:ascii="楷体" w:hAnsi="楷体" w:eastAsia="楷体"/>
          <w:sz w:val="24"/>
          <w:szCs w:val="24"/>
        </w:rPr>
      </w:pPr>
    </w:p>
    <w:p>
      <w:pPr>
        <w:pStyle w:val="9"/>
        <w:rPr>
          <w:rFonts w:ascii="楷体" w:hAnsi="楷体" w:eastAsia="楷体"/>
          <w:sz w:val="24"/>
          <w:szCs w:val="24"/>
        </w:rPr>
      </w:pPr>
      <w:r>
        <w:rPr>
          <w:rFonts w:hint="eastAsia" w:ascii="楷体" w:hAnsi="楷体" w:eastAsia="楷体"/>
          <w:sz w:val="24"/>
          <w:szCs w:val="24"/>
        </w:rPr>
        <w:t>说明：不符合标注</w:t>
      </w:r>
      <w:r>
        <w:rPr>
          <w:rFonts w:ascii="楷体" w:hAnsi="楷体" w:eastAsia="楷体"/>
          <w:sz w:val="24"/>
          <w:szCs w:val="24"/>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rPr>
      <w:fldChar w:fldCharType="begin"/>
    </w:r>
    <w:r>
      <w:rPr>
        <w:b/>
      </w:rPr>
      <w:instrText xml:space="preserve">PAGE</w:instrText>
    </w:r>
    <w:r>
      <w:rPr>
        <w:b/>
      </w:rPr>
      <w:fldChar w:fldCharType="separate"/>
    </w:r>
    <w:r>
      <w:rPr>
        <w:b/>
      </w:rPr>
      <w:t>16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50</w:t>
    </w:r>
    <w:r>
      <w:rPr>
        <w:b/>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7"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fhE2AAA&#10;AAsBAAAPAAAAAAAAAAEAIAAAACIAAABkcnMvZG93bnJldi54bWxQSwECFAAUAAAACACHTuJAg+7s&#10;YuUBAAC5AwAADgAAAAAAAAABACAAAAAnAQAAZHJzL2Uyb0RvYy54bWxQSwUGAAAAAAYABgBZAQAA&#10;f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81A84"/>
    <w:rsid w:val="0003373A"/>
    <w:rsid w:val="00041534"/>
    <w:rsid w:val="000425A9"/>
    <w:rsid w:val="00081A84"/>
    <w:rsid w:val="000A202A"/>
    <w:rsid w:val="000B190E"/>
    <w:rsid w:val="000B51BD"/>
    <w:rsid w:val="000B6109"/>
    <w:rsid w:val="000D44FA"/>
    <w:rsid w:val="000F28E3"/>
    <w:rsid w:val="00102CD8"/>
    <w:rsid w:val="00124C97"/>
    <w:rsid w:val="00136ECD"/>
    <w:rsid w:val="00144619"/>
    <w:rsid w:val="00160951"/>
    <w:rsid w:val="0017468B"/>
    <w:rsid w:val="00196DF2"/>
    <w:rsid w:val="001A1ADC"/>
    <w:rsid w:val="001C0D8B"/>
    <w:rsid w:val="001C1102"/>
    <w:rsid w:val="001C773B"/>
    <w:rsid w:val="001E0441"/>
    <w:rsid w:val="001F4A40"/>
    <w:rsid w:val="00214926"/>
    <w:rsid w:val="002166C2"/>
    <w:rsid w:val="00245408"/>
    <w:rsid w:val="00286363"/>
    <w:rsid w:val="002905E3"/>
    <w:rsid w:val="002946FC"/>
    <w:rsid w:val="002958A1"/>
    <w:rsid w:val="003074AB"/>
    <w:rsid w:val="003173CC"/>
    <w:rsid w:val="00321A4D"/>
    <w:rsid w:val="00390345"/>
    <w:rsid w:val="003B3C24"/>
    <w:rsid w:val="003B4493"/>
    <w:rsid w:val="003D58B4"/>
    <w:rsid w:val="003E4B09"/>
    <w:rsid w:val="003F7EC0"/>
    <w:rsid w:val="00403B68"/>
    <w:rsid w:val="00405F86"/>
    <w:rsid w:val="00436E67"/>
    <w:rsid w:val="004423E5"/>
    <w:rsid w:val="00443339"/>
    <w:rsid w:val="00446A9B"/>
    <w:rsid w:val="00466C74"/>
    <w:rsid w:val="00470C66"/>
    <w:rsid w:val="004A3A26"/>
    <w:rsid w:val="004B74DC"/>
    <w:rsid w:val="004C0DF7"/>
    <w:rsid w:val="004C513D"/>
    <w:rsid w:val="004D1BCC"/>
    <w:rsid w:val="004D2048"/>
    <w:rsid w:val="004D289B"/>
    <w:rsid w:val="004D57D3"/>
    <w:rsid w:val="004F6B93"/>
    <w:rsid w:val="005470C7"/>
    <w:rsid w:val="00556634"/>
    <w:rsid w:val="0058101D"/>
    <w:rsid w:val="00583277"/>
    <w:rsid w:val="005900D1"/>
    <w:rsid w:val="00590BDE"/>
    <w:rsid w:val="005A25D1"/>
    <w:rsid w:val="005B0199"/>
    <w:rsid w:val="005B10B8"/>
    <w:rsid w:val="005F0D5E"/>
    <w:rsid w:val="00606045"/>
    <w:rsid w:val="00610EBD"/>
    <w:rsid w:val="0063132B"/>
    <w:rsid w:val="0067407D"/>
    <w:rsid w:val="0068265A"/>
    <w:rsid w:val="00691117"/>
    <w:rsid w:val="00694C49"/>
    <w:rsid w:val="006A0082"/>
    <w:rsid w:val="006B10B6"/>
    <w:rsid w:val="006B7C6E"/>
    <w:rsid w:val="006D3266"/>
    <w:rsid w:val="006E5247"/>
    <w:rsid w:val="006E7714"/>
    <w:rsid w:val="0073002E"/>
    <w:rsid w:val="00741798"/>
    <w:rsid w:val="0075108F"/>
    <w:rsid w:val="007611C7"/>
    <w:rsid w:val="007757F3"/>
    <w:rsid w:val="00782349"/>
    <w:rsid w:val="00784B99"/>
    <w:rsid w:val="007A68F8"/>
    <w:rsid w:val="007E02F2"/>
    <w:rsid w:val="007F2EFB"/>
    <w:rsid w:val="00813448"/>
    <w:rsid w:val="00826FD8"/>
    <w:rsid w:val="0083146A"/>
    <w:rsid w:val="00852377"/>
    <w:rsid w:val="00861E6F"/>
    <w:rsid w:val="00874153"/>
    <w:rsid w:val="00882008"/>
    <w:rsid w:val="00895D52"/>
    <w:rsid w:val="008973EE"/>
    <w:rsid w:val="008A5727"/>
    <w:rsid w:val="008C6B14"/>
    <w:rsid w:val="008F2C11"/>
    <w:rsid w:val="00921516"/>
    <w:rsid w:val="00930DCB"/>
    <w:rsid w:val="00960AC6"/>
    <w:rsid w:val="00977300"/>
    <w:rsid w:val="00985282"/>
    <w:rsid w:val="00993396"/>
    <w:rsid w:val="009A15CA"/>
    <w:rsid w:val="009B2F77"/>
    <w:rsid w:val="009C1C84"/>
    <w:rsid w:val="009D5EB1"/>
    <w:rsid w:val="00A0088C"/>
    <w:rsid w:val="00A14B3E"/>
    <w:rsid w:val="00A3305F"/>
    <w:rsid w:val="00A47278"/>
    <w:rsid w:val="00A563BF"/>
    <w:rsid w:val="00A65FBF"/>
    <w:rsid w:val="00A8300A"/>
    <w:rsid w:val="00AB421F"/>
    <w:rsid w:val="00AC4D46"/>
    <w:rsid w:val="00AC4DC7"/>
    <w:rsid w:val="00AE7FE9"/>
    <w:rsid w:val="00AF0474"/>
    <w:rsid w:val="00AF7B1A"/>
    <w:rsid w:val="00B06FF4"/>
    <w:rsid w:val="00B07126"/>
    <w:rsid w:val="00B07FBF"/>
    <w:rsid w:val="00B247A6"/>
    <w:rsid w:val="00B31DEF"/>
    <w:rsid w:val="00B618FE"/>
    <w:rsid w:val="00B62EAC"/>
    <w:rsid w:val="00B65EFF"/>
    <w:rsid w:val="00B76DF3"/>
    <w:rsid w:val="00B839C3"/>
    <w:rsid w:val="00B86C45"/>
    <w:rsid w:val="00B94538"/>
    <w:rsid w:val="00BA0E12"/>
    <w:rsid w:val="00BA3CFF"/>
    <w:rsid w:val="00BC3858"/>
    <w:rsid w:val="00BF0588"/>
    <w:rsid w:val="00C00C1C"/>
    <w:rsid w:val="00C11848"/>
    <w:rsid w:val="00C41D0F"/>
    <w:rsid w:val="00C5637D"/>
    <w:rsid w:val="00C614E9"/>
    <w:rsid w:val="00C734F6"/>
    <w:rsid w:val="00C744C6"/>
    <w:rsid w:val="00C81D0C"/>
    <w:rsid w:val="00C82F21"/>
    <w:rsid w:val="00C85547"/>
    <w:rsid w:val="00C934EC"/>
    <w:rsid w:val="00CD358D"/>
    <w:rsid w:val="00CE205A"/>
    <w:rsid w:val="00D2172B"/>
    <w:rsid w:val="00D4614A"/>
    <w:rsid w:val="00D60988"/>
    <w:rsid w:val="00D6333B"/>
    <w:rsid w:val="00D92317"/>
    <w:rsid w:val="00D95EA6"/>
    <w:rsid w:val="00DC564E"/>
    <w:rsid w:val="00DE4E3D"/>
    <w:rsid w:val="00DE6B1E"/>
    <w:rsid w:val="00DF2B44"/>
    <w:rsid w:val="00DF65A9"/>
    <w:rsid w:val="00E03174"/>
    <w:rsid w:val="00E13678"/>
    <w:rsid w:val="00E21751"/>
    <w:rsid w:val="00E269ED"/>
    <w:rsid w:val="00E2724C"/>
    <w:rsid w:val="00E3362C"/>
    <w:rsid w:val="00E54AF9"/>
    <w:rsid w:val="00E86CB8"/>
    <w:rsid w:val="00EA7475"/>
    <w:rsid w:val="00EB0356"/>
    <w:rsid w:val="00EB1A81"/>
    <w:rsid w:val="00EB6052"/>
    <w:rsid w:val="00EC1CFC"/>
    <w:rsid w:val="00EC2171"/>
    <w:rsid w:val="00ED6C37"/>
    <w:rsid w:val="00ED6FDB"/>
    <w:rsid w:val="00EE118A"/>
    <w:rsid w:val="00EE61F4"/>
    <w:rsid w:val="00EF711A"/>
    <w:rsid w:val="00F06612"/>
    <w:rsid w:val="00F23394"/>
    <w:rsid w:val="00F40C9C"/>
    <w:rsid w:val="00F57A1C"/>
    <w:rsid w:val="00FA3A8F"/>
    <w:rsid w:val="00FB2C2B"/>
    <w:rsid w:val="00FB3F2D"/>
    <w:rsid w:val="00FD61CA"/>
    <w:rsid w:val="00FD722B"/>
    <w:rsid w:val="059D117F"/>
    <w:rsid w:val="085602B5"/>
    <w:rsid w:val="14B76E28"/>
    <w:rsid w:val="1C6568C1"/>
    <w:rsid w:val="1F060EEF"/>
    <w:rsid w:val="215C6FE8"/>
    <w:rsid w:val="2A5529CB"/>
    <w:rsid w:val="2A9F38E6"/>
    <w:rsid w:val="2B850A04"/>
    <w:rsid w:val="366A0E54"/>
    <w:rsid w:val="38C22469"/>
    <w:rsid w:val="39796CE9"/>
    <w:rsid w:val="40355CEA"/>
    <w:rsid w:val="4A7A1365"/>
    <w:rsid w:val="53CF1694"/>
    <w:rsid w:val="59BE6363"/>
    <w:rsid w:val="5C9E45E6"/>
    <w:rsid w:val="5CC6257A"/>
    <w:rsid w:val="5EA27BB5"/>
    <w:rsid w:val="73BB0A21"/>
    <w:rsid w:val="77DF55E7"/>
    <w:rsid w:val="79943353"/>
    <w:rsid w:val="7F8018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nhideWhenUsed="0" w:uiPriority="0" w:semiHidden="0" w:name="Note Heading" w:locked="1"/>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qFormat="1"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0"/>
    <w:qFormat/>
    <w:uiPriority w:val="99"/>
    <w:pPr>
      <w:spacing w:line="360" w:lineRule="auto"/>
    </w:pPr>
    <w:rPr>
      <w:sz w:val="24"/>
    </w:rPr>
  </w:style>
  <w:style w:type="paragraph" w:styleId="5">
    <w:name w:val="Body Text Indent"/>
    <w:basedOn w:val="1"/>
    <w:link w:val="22"/>
    <w:qFormat/>
    <w:uiPriority w:val="99"/>
    <w:pPr>
      <w:spacing w:after="120"/>
      <w:ind w:left="420" w:leftChars="200"/>
    </w:pPr>
  </w:style>
  <w:style w:type="paragraph" w:styleId="6">
    <w:name w:val="Plain Text"/>
    <w:basedOn w:val="1"/>
    <w:link w:val="27"/>
    <w:qFormat/>
    <w:uiPriority w:val="99"/>
    <w:rPr>
      <w:rFonts w:ascii="宋体" w:hAnsi="Courier New"/>
      <w:sz w:val="24"/>
    </w:rPr>
  </w:style>
  <w:style w:type="paragraph" w:styleId="7">
    <w:name w:val="Date"/>
    <w:basedOn w:val="1"/>
    <w:next w:val="1"/>
    <w:qFormat/>
    <w:uiPriority w:val="0"/>
    <w:rPr>
      <w:szCs w:val="20"/>
    </w:rPr>
  </w:style>
  <w:style w:type="paragraph" w:styleId="8">
    <w:name w:val="Balloon Text"/>
    <w:basedOn w:val="1"/>
    <w:link w:val="15"/>
    <w:semiHidden/>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12">
    <w:name w:val="Body Text First Indent"/>
    <w:basedOn w:val="4"/>
    <w:qFormat/>
    <w:uiPriority w:val="0"/>
    <w:pPr>
      <w:ind w:firstLine="420" w:firstLineChars="100"/>
    </w:pPr>
    <w:rPr>
      <w:szCs w:val="20"/>
    </w:rPr>
  </w:style>
  <w:style w:type="character" w:customStyle="1" w:styleId="15">
    <w:name w:val="Balloon Text Char"/>
    <w:basedOn w:val="14"/>
    <w:link w:val="8"/>
    <w:semiHidden/>
    <w:qFormat/>
    <w:locked/>
    <w:uiPriority w:val="99"/>
    <w:rPr>
      <w:rFonts w:ascii="Times New Roman" w:hAnsi="Times New Roman" w:eastAsia="宋体" w:cs="Times New Roman"/>
      <w:sz w:val="18"/>
      <w:szCs w:val="18"/>
    </w:rPr>
  </w:style>
  <w:style w:type="character" w:customStyle="1" w:styleId="16">
    <w:name w:val="Footer Char"/>
    <w:basedOn w:val="14"/>
    <w:link w:val="9"/>
    <w:qFormat/>
    <w:locked/>
    <w:uiPriority w:val="99"/>
    <w:rPr>
      <w:rFonts w:ascii="Times New Roman" w:hAnsi="Times New Roman" w:eastAsia="宋体" w:cs="Times New Roman"/>
      <w:sz w:val="18"/>
      <w:szCs w:val="18"/>
    </w:rPr>
  </w:style>
  <w:style w:type="character" w:customStyle="1" w:styleId="17">
    <w:name w:val="Header Char"/>
    <w:basedOn w:val="14"/>
    <w:link w:val="10"/>
    <w:qFormat/>
    <w:locked/>
    <w:uiPriority w:val="99"/>
    <w:rPr>
      <w:rFonts w:ascii="Times New Roman" w:hAnsi="Times New Roman" w:eastAsia="宋体" w:cs="Times New Roman"/>
      <w:sz w:val="18"/>
      <w:szCs w:val="18"/>
    </w:rPr>
  </w:style>
  <w:style w:type="character" w:customStyle="1" w:styleId="18">
    <w:name w:val="Char Char1"/>
    <w:qFormat/>
    <w:locked/>
    <w:uiPriority w:val="99"/>
    <w:rPr>
      <w:rFonts w:ascii="宋体" w:hAnsi="Courier New" w:eastAsia="宋体"/>
      <w:kern w:val="2"/>
      <w:sz w:val="21"/>
      <w:lang w:val="en-US" w:eastAsia="zh-CN"/>
    </w:rPr>
  </w:style>
  <w:style w:type="paragraph" w:styleId="19">
    <w:name w:val="List Paragraph"/>
    <w:basedOn w:val="1"/>
    <w:qFormat/>
    <w:uiPriority w:val="99"/>
    <w:pPr>
      <w:ind w:firstLine="420" w:firstLineChars="200"/>
    </w:pPr>
    <w:rPr>
      <w:sz w:val="24"/>
    </w:rPr>
  </w:style>
  <w:style w:type="character" w:customStyle="1" w:styleId="20">
    <w:name w:val="Body Text Char"/>
    <w:basedOn w:val="14"/>
    <w:link w:val="4"/>
    <w:semiHidden/>
    <w:qFormat/>
    <w:locked/>
    <w:uiPriority w:val="99"/>
    <w:rPr>
      <w:rFonts w:ascii="Times New Roman" w:hAnsi="Times New Roman" w:cs="Times New Roman"/>
      <w:sz w:val="20"/>
      <w:szCs w:val="20"/>
    </w:rPr>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2">
    <w:name w:val="Body Text Indent Char"/>
    <w:basedOn w:val="14"/>
    <w:link w:val="5"/>
    <w:semiHidden/>
    <w:qFormat/>
    <w:locked/>
    <w:uiPriority w:val="99"/>
    <w:rPr>
      <w:rFonts w:ascii="Times New Roman" w:hAnsi="Times New Roman" w:cs="Times New Roman"/>
      <w:sz w:val="20"/>
      <w:szCs w:val="20"/>
    </w:rPr>
  </w:style>
  <w:style w:type="paragraph" w:customStyle="1" w:styleId="23">
    <w:name w:val="东方正文"/>
    <w:basedOn w:val="1"/>
    <w:qFormat/>
    <w:uiPriority w:val="99"/>
    <w:pPr>
      <w:spacing w:line="400" w:lineRule="exact"/>
      <w:ind w:left="284" w:right="284"/>
    </w:pPr>
    <w:rPr>
      <w:sz w:val="24"/>
    </w:rPr>
  </w:style>
  <w:style w:type="character" w:customStyle="1" w:styleId="24">
    <w:name w:val="Char Char2"/>
    <w:qFormat/>
    <w:uiPriority w:val="99"/>
    <w:rPr>
      <w:rFonts w:ascii="Times New Roman" w:hAnsi="Times New Roman" w:eastAsia="宋体"/>
      <w:kern w:val="2"/>
      <w:sz w:val="18"/>
    </w:rPr>
  </w:style>
  <w:style w:type="character" w:customStyle="1" w:styleId="25">
    <w:name w:val="Char Char21"/>
    <w:qFormat/>
    <w:uiPriority w:val="99"/>
    <w:rPr>
      <w:rFonts w:ascii="Times New Roman" w:hAnsi="Times New Roman" w:eastAsia="宋体"/>
      <w:kern w:val="2"/>
      <w:sz w:val="18"/>
    </w:rPr>
  </w:style>
  <w:style w:type="character" w:customStyle="1" w:styleId="26">
    <w:name w:val="Plain Text Char"/>
    <w:basedOn w:val="14"/>
    <w:link w:val="6"/>
    <w:semiHidden/>
    <w:qFormat/>
    <w:locked/>
    <w:uiPriority w:val="99"/>
    <w:rPr>
      <w:rFonts w:ascii="宋体" w:hAnsi="Courier New" w:cs="Courier New"/>
      <w:sz w:val="21"/>
      <w:szCs w:val="21"/>
    </w:rPr>
  </w:style>
  <w:style w:type="character" w:customStyle="1" w:styleId="27">
    <w:name w:val="Plain Text Char1"/>
    <w:link w:val="6"/>
    <w:qFormat/>
    <w:locked/>
    <w:uiPriority w:val="99"/>
    <w:rPr>
      <w:rFonts w:ascii="宋体" w:hAnsi="Courier New" w:eastAsia="宋体"/>
      <w:kern w:val="2"/>
      <w:sz w:val="24"/>
      <w:lang w:val="en-US" w:eastAsia="zh-CN"/>
    </w:rPr>
  </w:style>
  <w:style w:type="paragraph" w:customStyle="1" w:styleId="28">
    <w:name w:val="_Style 2"/>
    <w:basedOn w:val="1"/>
    <w:qFormat/>
    <w:uiPriority w:val="99"/>
    <w:pPr>
      <w:widowControl/>
      <w:ind w:firstLine="420" w:firstLineChars="200"/>
      <w:jc w:val="left"/>
    </w:pPr>
    <w:rPr>
      <w:kern w:val="0"/>
      <w:sz w:val="20"/>
      <w:lang w:eastAsia="en-US"/>
    </w:rPr>
  </w:style>
  <w:style w:type="character" w:customStyle="1" w:styleId="29">
    <w:name w:val="fontstyle01"/>
    <w:basedOn w:val="14"/>
    <w:qFormat/>
    <w:uiPriority w:val="99"/>
    <w:rPr>
      <w:rFonts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2696</Words>
  <Characters>2927</Characters>
  <Lines>0</Lines>
  <Paragraphs>0</Paragraphs>
  <TotalTime>73</TotalTime>
  <ScaleCrop>false</ScaleCrop>
  <LinksUpToDate>false</LinksUpToDate>
  <CharactersWithSpaces>3095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2023-01-26T17:55:16Z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9B39C5231DB84F7888DA837A615CA271</vt:lpwstr>
  </property>
</Properties>
</file>