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受审核部门：财务部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主管领导/陪同人员：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吴若楠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穆应应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李俐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 xml:space="preserve">EO: 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职业健康安全目标、6.1.2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危险源辨识与评价、6.1.4措施的策划、8.1运行策划和控制、8.2应急准备和响应，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部门的岗位职责和权限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:5.3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吴若楠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主管介绍财务部主要负责与环境和安全有关的成本控制。负责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体系运行资金的提供，及负责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本部门的节能、减排、降耗工作，负责本部门员工的安全培训工作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提供：各部门分解目标完成情况考核表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环境/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职业健康安全管理目标、指标及管理方案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查到财务部EO目标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环保、安全所需资金准备及时率100%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火灾事故为0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查到20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1-3季度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目标统计结果已完成，部门指标设置需完善和可测量，对此已同部门主管交流。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环境因素/危险源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E6.1.2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查到《环境因素识别评价汇总表》，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等各有关过程的环境因素，包括日光灯更换、电脑使用用电消耗、办公纸张消耗、不合格品排放等环境因素。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经评价涉及部门有2项重要环境因素：火灾发生、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固废排放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控制措施：固废分类存放、垃圾等由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负责按规定处置，日常监督检查和培训教育，消防配备有消防器材等措施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环境因素/危险源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O6.1.2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 xml:space="preserve">    查到《危险源识别及风险评价表》，识别了办公过程的电脑、复印辐射、办公电器漏电触电、检验活动过程中的玻璃仪器划伤等危险源。</w:t>
            </w:r>
          </w:p>
          <w:p>
            <w:pPr>
              <w:spacing w:line="360" w:lineRule="auto"/>
              <w:ind w:firstLine="468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经评价涉及部门的不可接受危险源：火灾和触电事故的发生。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textAlignment w:val="baseline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：8.1</w:t>
            </w:r>
          </w:p>
          <w:p>
            <w:pPr>
              <w:tabs>
                <w:tab w:val="left" w:pos="5220"/>
              </w:tabs>
              <w:spacing w:line="360" w:lineRule="auto"/>
              <w:jc w:val="left"/>
              <w:textAlignment w:val="top"/>
              <w:rPr>
                <w:rFonts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运行控制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吴若楠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介绍：对于这些运行和活动任务，组织实施并保持：《环境和职业健康安全运行控制程序》《危险源辨识、风险评价和风险控制程序》等对已识别的重要环境因素进行控制。保证产品和服务的设计与开发过程满足生命周期的需求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提供有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年环境、职业健康安全管理体系运行资金计划审批及财务投入清单：支出项目有员工体检、购置灭火器、劳保用品、消防安全培训和演练、固废处理等共计约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5.6万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元。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应急准备与相应活动的演练及对预案可行性的评价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编制了《应急准备和响应控制程序》，确定的紧急情况有：火灾、触电、人身伤害等。提供了应急预案，其中包括目的、适用范围、职责、应急处理细则、演习、必备资料等，相关内容基本充分。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演练前，由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经理对演练方案进行了培训。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演练部门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负责人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穆应应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  演练时间 2022年6月20日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应急准备和响应的组织工作有综合部负责，财务部参与综合部组织的应急准备和响应工作，具体情况参见综合部EO8.2审核记录。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3C0880"/>
    <w:rsid w:val="043D6C25"/>
    <w:rsid w:val="049A5E25"/>
    <w:rsid w:val="057332A8"/>
    <w:rsid w:val="06E7146D"/>
    <w:rsid w:val="0BC47C2C"/>
    <w:rsid w:val="0D780392"/>
    <w:rsid w:val="0F865924"/>
    <w:rsid w:val="10E70644"/>
    <w:rsid w:val="111E393A"/>
    <w:rsid w:val="122338FE"/>
    <w:rsid w:val="13B81064"/>
    <w:rsid w:val="150579F2"/>
    <w:rsid w:val="15AD04C1"/>
    <w:rsid w:val="166E4F6A"/>
    <w:rsid w:val="17996408"/>
    <w:rsid w:val="190776E2"/>
    <w:rsid w:val="1D816169"/>
    <w:rsid w:val="1E37603B"/>
    <w:rsid w:val="1F56664A"/>
    <w:rsid w:val="224A458F"/>
    <w:rsid w:val="27E86D24"/>
    <w:rsid w:val="2BE55328"/>
    <w:rsid w:val="2D872B3B"/>
    <w:rsid w:val="377C1237"/>
    <w:rsid w:val="38AC5B4C"/>
    <w:rsid w:val="39AD0219"/>
    <w:rsid w:val="3BFF39BF"/>
    <w:rsid w:val="3D6F17D9"/>
    <w:rsid w:val="3F095C2B"/>
    <w:rsid w:val="432E715D"/>
    <w:rsid w:val="48220A60"/>
    <w:rsid w:val="4A9B30F8"/>
    <w:rsid w:val="4B125CE2"/>
    <w:rsid w:val="4B7A78FE"/>
    <w:rsid w:val="4C8E2177"/>
    <w:rsid w:val="56F1653F"/>
    <w:rsid w:val="5F3C1128"/>
    <w:rsid w:val="647E5D3F"/>
    <w:rsid w:val="6545060B"/>
    <w:rsid w:val="68A235FA"/>
    <w:rsid w:val="69C3366E"/>
    <w:rsid w:val="6B5B2D1C"/>
    <w:rsid w:val="71441BEA"/>
    <w:rsid w:val="725B146D"/>
    <w:rsid w:val="73CB617F"/>
    <w:rsid w:val="73EA3A83"/>
    <w:rsid w:val="74BB20D6"/>
    <w:rsid w:val="7530098F"/>
    <w:rsid w:val="75547427"/>
    <w:rsid w:val="782F6799"/>
    <w:rsid w:val="7C88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2023-03-02T12:25:15Z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