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1191-2021-2023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石墨烯复合接地极接地线外径测量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Φ13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(0~150)㎜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RSD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-0</w:t>
            </w:r>
            <w:r>
              <w:rPr>
                <w:rFonts w:hint="eastAsia" w:ascii="宋体" w:hAnsi="宋体" w:eastAsia="宋体" w:cs="宋体"/>
              </w:rPr>
              <w:t>2《</w:t>
            </w:r>
            <w:r>
              <w:rPr>
                <w:rFonts w:hint="eastAsia"/>
                <w:lang w:val="en-US" w:eastAsia="zh-CN"/>
              </w:rPr>
              <w:t>石墨烯复合接地极接地线外径测量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RSD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机械加工工艺卡片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黄丽鹤</w:t>
            </w:r>
            <w:r>
              <w:rPr>
                <w:rFonts w:hint="eastAsia" w:ascii="Times New Roman" w:hAnsi="Times New Roman"/>
              </w:rPr>
              <w:t>，培训后上岗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石墨烯复合接地极接地线外径测量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石墨烯复合接地极接地线外径测量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石墨烯复合接地极接地线外径测量</w:t>
            </w:r>
            <w:r>
              <w:rPr>
                <w:rFonts w:hint="eastAsia" w:ascii="Times New Roman" w:hAnsi="Times New Roman"/>
              </w:rPr>
              <w:t>过程监视统计记录及质控图》附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3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605790" cy="285115"/>
            <wp:effectExtent l="0" t="0" r="3810" b="4445"/>
            <wp:docPr id="31" name="图片 31" descr="80456e26cf86d124cbe8ffecee5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0456e26cf86d124cbe8ffecee5023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7210" t="28469" r="48116" b="6283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F277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2023-01-09T06:25:27Z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785268EBB1A446E598FA0EC3A7E4B954</vt:lpwstr>
  </property>
</Properties>
</file>