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1334-2022-EnMs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546"/>
        <w:gridCol w:w="992"/>
        <w:gridCol w:w="129"/>
        <w:gridCol w:w="1370"/>
        <w:gridCol w:w="60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中国石油化工股份有限公司石家庄炼化分公司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李丽英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91130193670310403L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  <w:gridSpan w:val="2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EnMS:未认可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 xml:space="preserve">RB/T 115-20144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7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2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3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4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5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7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6" w:name="组织名称Add1"/>
            <w:r>
              <w:rPr>
                <w:rFonts w:hint="eastAsia"/>
                <w:sz w:val="22"/>
                <w:szCs w:val="22"/>
              </w:rPr>
              <w:t>中国石油化工股份有限公司石家庄炼化分公司</w:t>
            </w:r>
            <w:bookmarkEnd w:id="16"/>
          </w:p>
        </w:tc>
        <w:tc>
          <w:tcPr>
            <w:tcW w:w="5013" w:type="dxa"/>
            <w:gridSpan w:val="6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车用汽油、车用柴油、3号喷气燃料、聚合级丙烯、道路石油沥青、石油苯、石油甲苯、石油混合二甲苯、石油焦、工业用己内酰胺、肥料级硫酸铵、聚己内酰胺干切片、工业硫磺（液体）、石脑油、液化石油气（商品丙丁烷混合物）、工业纯氢、燃料油、戊烷发泡剂、工业用碳十粗芳烃、异辛烷组分生产；聚丙烯树脂的研发和生产所涉及的能源管理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注册地址"/>
            <w:r>
              <w:rPr>
                <w:rFonts w:hint="eastAsia"/>
                <w:sz w:val="22"/>
                <w:szCs w:val="22"/>
                <w:lang w:val="en-GB"/>
              </w:rPr>
              <w:t>石家庄石炼路1号</w:t>
            </w:r>
            <w:bookmarkEnd w:id="17"/>
          </w:p>
        </w:tc>
        <w:tc>
          <w:tcPr>
            <w:tcW w:w="5013" w:type="dxa"/>
            <w:gridSpan w:val="6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办公地址"/>
            <w:r>
              <w:rPr>
                <w:rFonts w:hint="eastAsia"/>
                <w:sz w:val="22"/>
                <w:szCs w:val="22"/>
                <w:lang w:val="en-GB"/>
              </w:rPr>
              <w:t>河北省石家庄石炼路1号</w:t>
            </w:r>
            <w:bookmarkEnd w:id="18"/>
          </w:p>
        </w:tc>
        <w:tc>
          <w:tcPr>
            <w:tcW w:w="5013" w:type="dxa"/>
            <w:gridSpan w:val="6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（注：除介词和连词外，首字母大写）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</w:p>
        </w:tc>
        <w:tc>
          <w:tcPr>
            <w:tcW w:w="3373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Sinopec Shijiazhuang refining and petrochemical co.</w:t>
            </w:r>
          </w:p>
        </w:tc>
        <w:tc>
          <w:tcPr>
            <w:tcW w:w="546" w:type="dxa"/>
            <w:vMerge w:val="restart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4467" w:type="dxa"/>
            <w:gridSpan w:val="5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Vehicle gasoline, diesel, No. 3 kerosene, polymer grade propylene, asphalt, TBX, pet-coke, industrial caprolactam, ammonium sulfate, polycaprolactam dry chips, industrial Sulfur (liquid), naphtha, LPG(commercial propylene butane mixture), industrial pure hydrogen, fuel oil, pentane blowing agent, C10 crude aromatics, isooctane components; polypropylene resin R&amp;D and production, all activities related to energy management.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</w:p>
        </w:tc>
        <w:tc>
          <w:tcPr>
            <w:tcW w:w="3373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No.1 Shilian Road,Shijiazhuang,Hebei Province,P.R.C</w:t>
            </w:r>
          </w:p>
        </w:tc>
        <w:tc>
          <w:tcPr>
            <w:tcW w:w="54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4467" w:type="dxa"/>
            <w:gridSpan w:val="5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</w:p>
        </w:tc>
        <w:tc>
          <w:tcPr>
            <w:tcW w:w="3373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No.1 Shilian Road,Shijiazhuang,Hebei Province,P.R.C</w:t>
            </w:r>
          </w:p>
        </w:tc>
        <w:tc>
          <w:tcPr>
            <w:tcW w:w="54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4467" w:type="dxa"/>
            <w:gridSpan w:val="5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8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911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559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1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snapToGrid w:val="0"/>
        <w:spacing w:line="0" w:lineRule="atLeast"/>
      </w:pPr>
      <w:r>
        <w:rPr>
          <w:rFonts w:hint="eastAsia"/>
        </w:rPr>
        <w:t>附件2：</w:t>
      </w:r>
    </w:p>
    <w:p>
      <w:pPr>
        <w:pStyle w:val="2"/>
        <w:spacing w:line="0" w:lineRule="atLeast"/>
        <w:ind w:firstLine="0"/>
        <w:jc w:val="center"/>
        <w:rPr>
          <w:rFonts w:ascii="宋体" w:hAnsi="宋体"/>
          <w:b/>
          <w:color w:val="000000" w:themeColor="text1"/>
          <w:sz w:val="30"/>
          <w:szCs w:val="30"/>
        </w:rPr>
      </w:pPr>
      <w:r>
        <w:rPr>
          <w:rFonts w:hint="eastAsia" w:ascii="宋体" w:hAnsi="宋体"/>
          <w:b/>
          <w:color w:val="000000" w:themeColor="text1"/>
          <w:sz w:val="30"/>
          <w:szCs w:val="30"/>
        </w:rPr>
        <w:t>能源管理体系认证证书附件</w:t>
      </w: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获证组织名称：</w:t>
      </w:r>
      <w:bookmarkStart w:id="19" w:name="组织名称Add2"/>
      <w:r>
        <w:rPr>
          <w:rFonts w:hint="eastAsia"/>
          <w:b/>
          <w:color w:val="000000" w:themeColor="text1"/>
          <w:sz w:val="22"/>
          <w:szCs w:val="22"/>
        </w:rPr>
        <w:t>中国石油化工股份有限公司石家庄炼化分公司</w:t>
      </w:r>
      <w:bookmarkEnd w:id="19"/>
      <w:r>
        <w:rPr>
          <w:rFonts w:hint="eastAsia"/>
          <w:b/>
          <w:color w:val="000000" w:themeColor="text1"/>
          <w:sz w:val="22"/>
          <w:szCs w:val="22"/>
        </w:rPr>
        <w:t xml:space="preserve">      证书注册号：</w:t>
      </w:r>
      <w:bookmarkStart w:id="20" w:name="证书编号Add1"/>
      <w:bookmarkEnd w:id="20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获证组织地址：</w:t>
      </w:r>
      <w:bookmarkStart w:id="21" w:name="生产地址"/>
      <w:r>
        <w:rPr>
          <w:b/>
          <w:color w:val="000000" w:themeColor="text1"/>
          <w:sz w:val="22"/>
          <w:szCs w:val="22"/>
        </w:rPr>
        <w:t>石家庄石炼路1号</w:t>
      </w:r>
      <w:bookmarkEnd w:id="21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认证依据标准：GB/T 23331-2020/ISO50001:2018《能源管理体系 要求及使用指南》</w:t>
      </w:r>
    </w:p>
    <w:p>
      <w:pPr>
        <w:pStyle w:val="2"/>
        <w:spacing w:line="400" w:lineRule="exact"/>
        <w:ind w:firstLine="1546" w:firstLineChars="70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&amp;RB/T115-2014 能源管理体系 石油化工企业认证要求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3780"/>
        <w:gridCol w:w="3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审核类型及时间</w:t>
            </w:r>
          </w:p>
        </w:tc>
        <w:tc>
          <w:tcPr>
            <w:tcW w:w="3780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能源数据</w:t>
            </w:r>
          </w:p>
        </w:tc>
        <w:tc>
          <w:tcPr>
            <w:tcW w:w="3905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能耗核算边界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21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初次审核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2022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12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29~30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78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01</w:t>
            </w:r>
            <w:r>
              <w:rPr>
                <w:rFonts w:hint="eastAsia"/>
                <w:sz w:val="20"/>
                <w:szCs w:val="22"/>
              </w:rPr>
              <w:t>月01日至</w:t>
            </w:r>
            <w:r>
              <w:rPr>
                <w:rFonts w:hint="eastAsia"/>
                <w:sz w:val="20"/>
                <w:szCs w:val="22"/>
                <w:u w:val="single"/>
              </w:rPr>
              <w:t>2021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12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31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905" w:type="dxa"/>
            <w:vMerge w:val="restart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边界：</w:t>
            </w:r>
            <w:r>
              <w:rPr>
                <w:rFonts w:hint="eastAsia"/>
                <w:sz w:val="21"/>
                <w:szCs w:val="21"/>
              </w:rPr>
              <w:t>原油一次加工能力800万吨/年，包括500万吨/年和350万吨/年常减压装置各一套、220万吨/年和110万吨/年催化裂化装置各一套、180万吨/蜡油加氢装置、150万吨/年渣油加氢装置、120万吨/年连续重整装置、260万吨/年柴油加氢装置、150万吨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年催化汽油吸附脱硫装置等28套主要炼油生产装置；20万吨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年聚丙烯装置；己内酰胺20万吨/年，2万吨/年聚合装置、38万吨/年硫铵装置、1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万吨/年氨肟化装置、16万吨/年双氧水装 置等主要生产装置；以及配套的公用工程系统、辅助生产装置及相关的管理部门等。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92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80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原油加工量：</w:t>
            </w:r>
            <w:r>
              <w:rPr>
                <w:b/>
                <w:bCs/>
                <w:sz w:val="20"/>
              </w:rPr>
              <w:t>5395510吨</w:t>
            </w:r>
          </w:p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己内酰胺产量：</w:t>
            </w:r>
            <w:r>
              <w:rPr>
                <w:b/>
                <w:bCs/>
                <w:sz w:val="20"/>
              </w:rPr>
              <w:t>70332吨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产值：</w:t>
            </w:r>
            <w:r>
              <w:rPr>
                <w:b/>
                <w:bCs/>
                <w:sz w:val="20"/>
              </w:rPr>
              <w:t>2063501</w:t>
            </w:r>
            <w:r>
              <w:rPr>
                <w:rFonts w:hint="eastAsia"/>
                <w:b/>
                <w:bCs/>
                <w:sz w:val="20"/>
              </w:rPr>
              <w:t>万元</w:t>
            </w:r>
          </w:p>
        </w:tc>
        <w:tc>
          <w:tcPr>
            <w:tcW w:w="390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2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80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炼油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综合能耗：402019</w:t>
            </w:r>
            <w:r>
              <w:rPr>
                <w:rFonts w:hint="eastAsia"/>
                <w:b/>
                <w:bCs/>
                <w:sz w:val="20"/>
                <w:szCs w:val="22"/>
              </w:rPr>
              <w:t>吨标油</w:t>
            </w:r>
          </w:p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己内酰胺综合能耗：33499吨标油</w:t>
            </w:r>
          </w:p>
        </w:tc>
        <w:tc>
          <w:tcPr>
            <w:tcW w:w="390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2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80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炼油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综合能耗：74.5千克标油/吨</w:t>
            </w:r>
          </w:p>
          <w:p>
            <w:pPr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炼油单因耗能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：8.5千克标油/（吨•能量因数）</w:t>
            </w:r>
          </w:p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单位己内酰胺综合能耗：476.3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千克标油/吨</w:t>
            </w:r>
          </w:p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单位聚丙烯能耗：</w:t>
            </w:r>
            <w:r>
              <w:rPr>
                <w:b/>
                <w:bCs/>
                <w:sz w:val="20"/>
                <w:szCs w:val="22"/>
              </w:rPr>
              <w:t>68.1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千克标油/吨</w:t>
            </w:r>
          </w:p>
        </w:tc>
        <w:tc>
          <w:tcPr>
            <w:tcW w:w="390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92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8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节能量（吨标准煤）：地方政府未下达。</w:t>
            </w:r>
          </w:p>
        </w:tc>
        <w:tc>
          <w:tcPr>
            <w:tcW w:w="390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21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第一次监督审核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78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905" w:type="dxa"/>
            <w:vMerge w:val="restart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92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80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390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2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80" w:type="dxa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</w:tc>
        <w:tc>
          <w:tcPr>
            <w:tcW w:w="390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2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80" w:type="dxa"/>
          </w:tcPr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</w:tc>
        <w:tc>
          <w:tcPr>
            <w:tcW w:w="390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2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8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</w:tc>
        <w:tc>
          <w:tcPr>
            <w:tcW w:w="390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21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第二次监督审核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78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905" w:type="dxa"/>
            <w:vMerge w:val="restart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92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80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390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2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80" w:type="dxa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</w:tc>
        <w:tc>
          <w:tcPr>
            <w:tcW w:w="390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2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80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b/>
                <w:bCs/>
                <w:sz w:val="20"/>
                <w:szCs w:val="22"/>
              </w:rPr>
            </w:pPr>
          </w:p>
        </w:tc>
        <w:tc>
          <w:tcPr>
            <w:tcW w:w="390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21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78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</w:tc>
        <w:tc>
          <w:tcPr>
            <w:tcW w:w="390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2" w:name="_GoBack"/>
      <w:bookmarkEnd w:id="22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3" o:spid="_x0000_s3073" o:spt="202" type="#_x0000_t202" style="position:absolute;left:0pt;margin-left:389.15pt;margin-top:10.7pt;height:20.2pt;width:87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3D692D"/>
    <w:rsid w:val="000C5119"/>
    <w:rsid w:val="00155BFE"/>
    <w:rsid w:val="00177149"/>
    <w:rsid w:val="001968C7"/>
    <w:rsid w:val="001F029A"/>
    <w:rsid w:val="002B148A"/>
    <w:rsid w:val="00352512"/>
    <w:rsid w:val="003D692D"/>
    <w:rsid w:val="004C1684"/>
    <w:rsid w:val="005352F8"/>
    <w:rsid w:val="00560EE1"/>
    <w:rsid w:val="005B12C3"/>
    <w:rsid w:val="005E30FA"/>
    <w:rsid w:val="006452E4"/>
    <w:rsid w:val="007226EB"/>
    <w:rsid w:val="00805D5E"/>
    <w:rsid w:val="00877E27"/>
    <w:rsid w:val="0089608A"/>
    <w:rsid w:val="0089781C"/>
    <w:rsid w:val="008F4C09"/>
    <w:rsid w:val="008F5003"/>
    <w:rsid w:val="00954263"/>
    <w:rsid w:val="009C725D"/>
    <w:rsid w:val="009F2669"/>
    <w:rsid w:val="00B904AC"/>
    <w:rsid w:val="00B91B84"/>
    <w:rsid w:val="00CB6E1F"/>
    <w:rsid w:val="00D47B5E"/>
    <w:rsid w:val="00DA6E06"/>
    <w:rsid w:val="00F73BEE"/>
    <w:rsid w:val="00F76459"/>
    <w:rsid w:val="00FB47BF"/>
    <w:rsid w:val="0B58617E"/>
    <w:rsid w:val="18215ED2"/>
    <w:rsid w:val="192735FA"/>
    <w:rsid w:val="358D0963"/>
    <w:rsid w:val="49F244A0"/>
    <w:rsid w:val="53806188"/>
    <w:rsid w:val="55EE2B93"/>
    <w:rsid w:val="63202327"/>
    <w:rsid w:val="644C29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381</Words>
  <Characters>2172</Characters>
  <Lines>18</Lines>
  <Paragraphs>5</Paragraphs>
  <TotalTime>48</TotalTime>
  <ScaleCrop>false</ScaleCrop>
  <LinksUpToDate>false</LinksUpToDate>
  <CharactersWithSpaces>2548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丽英</cp:lastModifiedBy>
  <cp:lastPrinted>2022-12-30T08:38:00Z</cp:lastPrinted>
  <dcterms:modified xsi:type="dcterms:W3CDTF">2023-01-01T05:14:19Z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2052-11.1.0.10314</vt:lpwstr>
  </property>
</Properties>
</file>