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6"/>
        <w:tblW w:w="14222"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73" w:type="dxa"/>
            <w:vMerge w:val="restart"/>
            <w:vAlign w:val="center"/>
          </w:tcPr>
          <w:p>
            <w:pPr>
              <w:spacing w:before="12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过程与活动、</w:t>
            </w:r>
          </w:p>
          <w:p>
            <w:pPr>
              <w:jc w:val="center"/>
              <w:rPr>
                <w:rFonts w:hint="eastAsia" w:cs="Times New Roman" w:asciiTheme="minorEastAsia" w:hAnsiTheme="minorEastAsia" w:eastAsiaTheme="minorEastAsia"/>
                <w:b/>
                <w:bCs/>
                <w:kern w:val="2"/>
                <w:sz w:val="21"/>
                <w:szCs w:val="21"/>
                <w:lang w:val="en-US" w:eastAsia="zh-CN" w:bidi="ar-SA"/>
              </w:rPr>
            </w:pPr>
            <w:r>
              <w:rPr>
                <w:rFonts w:hint="eastAsia" w:asciiTheme="minorEastAsia" w:hAnsiTheme="minorEastAsia" w:eastAsiaTheme="minorEastAsia"/>
                <w:b/>
                <w:bCs/>
                <w:sz w:val="21"/>
                <w:szCs w:val="21"/>
              </w:rPr>
              <w:t>抽样计划</w:t>
            </w:r>
          </w:p>
        </w:tc>
        <w:tc>
          <w:tcPr>
            <w:tcW w:w="960" w:type="dxa"/>
            <w:vMerge w:val="restart"/>
            <w:vAlign w:val="center"/>
          </w:tcPr>
          <w:p>
            <w:pP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涉及</w:t>
            </w:r>
          </w:p>
          <w:p>
            <w:pPr>
              <w:rPr>
                <w:rFonts w:hint="eastAsia" w:cs="Times New Roman" w:asciiTheme="minorEastAsia" w:hAnsiTheme="minorEastAsia" w:eastAsiaTheme="minorEastAsia"/>
                <w:b/>
                <w:bCs/>
                <w:kern w:val="2"/>
                <w:sz w:val="21"/>
                <w:szCs w:val="21"/>
                <w:lang w:val="en-US" w:eastAsia="zh-CN" w:bidi="ar-SA"/>
              </w:rPr>
            </w:pPr>
            <w:r>
              <w:rPr>
                <w:rFonts w:hint="eastAsia" w:asciiTheme="minorEastAsia" w:hAnsiTheme="minorEastAsia" w:eastAsiaTheme="minorEastAsia"/>
                <w:b/>
                <w:bCs/>
                <w:sz w:val="21"/>
                <w:szCs w:val="21"/>
              </w:rPr>
              <w:t>条款</w:t>
            </w:r>
          </w:p>
        </w:tc>
        <w:tc>
          <w:tcPr>
            <w:tcW w:w="10004" w:type="dxa"/>
            <w:vAlign w:val="center"/>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受审核部门：</w:t>
            </w:r>
            <w:r>
              <w:rPr>
                <w:rFonts w:hint="eastAsia" w:asciiTheme="minorEastAsia" w:hAnsiTheme="minorEastAsia" w:eastAsiaTheme="minorEastAsia"/>
                <w:sz w:val="21"/>
                <w:szCs w:val="21"/>
                <w:lang w:val="en-US" w:eastAsia="zh-CN"/>
              </w:rPr>
              <w:t>综合办公室</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主管领导</w:t>
            </w:r>
            <w:r>
              <w:rPr>
                <w:rFonts w:hint="eastAsia" w:asciiTheme="minorEastAsia" w:hAnsiTheme="minorEastAsia" w:eastAsiaTheme="minorEastAsia"/>
                <w:sz w:val="21"/>
                <w:szCs w:val="21"/>
                <w:highlight w:val="none"/>
              </w:rPr>
              <w:t>：</w:t>
            </w:r>
            <w:r>
              <w:rPr>
                <w:rFonts w:hint="eastAsia" w:cs="Times New Roman" w:asciiTheme="minorEastAsia" w:hAnsiTheme="minorEastAsia" w:eastAsiaTheme="minorEastAsia"/>
                <w:sz w:val="21"/>
                <w:szCs w:val="21"/>
                <w:highlight w:val="none"/>
                <w:lang w:val="en-US" w:eastAsia="zh-CN"/>
              </w:rPr>
              <w:t>马立亚</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陪同人员：</w:t>
            </w:r>
            <w:r>
              <w:rPr>
                <w:rFonts w:hint="eastAsia" w:asciiTheme="minorEastAsia" w:hAnsiTheme="minorEastAsia" w:eastAsiaTheme="minorEastAsia"/>
                <w:sz w:val="21"/>
                <w:szCs w:val="21"/>
                <w:highlight w:val="none"/>
                <w:lang w:val="en-US" w:eastAsia="zh-CN"/>
              </w:rPr>
              <w:t>杨雷波</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3" w:type="dxa"/>
            <w:vMerge w:val="continue"/>
            <w:vAlign w:val="center"/>
          </w:tcPr>
          <w:p>
            <w:pPr>
              <w:rPr>
                <w:rFonts w:cs="Times New Roman" w:asciiTheme="minorEastAsia" w:hAnsiTheme="minorEastAsia" w:eastAsiaTheme="minorEastAsia"/>
                <w:kern w:val="2"/>
                <w:sz w:val="21"/>
                <w:szCs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szCs w:val="21"/>
                <w:lang w:val="en-US" w:eastAsia="zh-CN" w:bidi="ar-SA"/>
              </w:rPr>
            </w:pPr>
          </w:p>
        </w:tc>
        <w:tc>
          <w:tcPr>
            <w:tcW w:w="10004" w:type="dxa"/>
            <w:vAlign w:val="center"/>
          </w:tcPr>
          <w:p>
            <w:pPr>
              <w:spacing w:before="1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审核员：</w:t>
            </w:r>
            <w:r>
              <w:rPr>
                <w:rFonts w:hint="eastAsia" w:asciiTheme="minorEastAsia" w:hAnsiTheme="minorEastAsia" w:eastAsiaTheme="minorEastAsia"/>
                <w:sz w:val="21"/>
                <w:szCs w:val="21"/>
                <w:lang w:val="en-US" w:eastAsia="zh-CN"/>
              </w:rPr>
              <w:t>范玲玲</w:t>
            </w:r>
            <w:r>
              <w:rPr>
                <w:rFonts w:hint="eastAsia"/>
                <w:sz w:val="21"/>
                <w:szCs w:val="21"/>
                <w:lang w:val="en-US" w:eastAsia="zh-CN"/>
              </w:rPr>
              <w:t>（远程）审核工具：微信视频、电话、文件传输</w:t>
            </w:r>
            <w:r>
              <w:rPr>
                <w:rFonts w:hint="eastAsia" w:asciiTheme="minorEastAsia" w:hAnsiTheme="minorEastAsia" w:eastAsiaTheme="minorEastAsia"/>
                <w:sz w:val="21"/>
                <w:szCs w:val="21"/>
                <w:lang w:val="en-US" w:eastAsia="zh-CN"/>
              </w:rPr>
              <w:t xml:space="preserve">  </w:t>
            </w:r>
          </w:p>
          <w:p>
            <w:pPr>
              <w:spacing w:before="120"/>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审核时间：</w:t>
            </w:r>
            <w:r>
              <w:rPr>
                <w:rFonts w:asciiTheme="minorEastAsia" w:hAnsiTheme="minorEastAsia" w:eastAsiaTheme="minorEastAsia"/>
                <w:sz w:val="21"/>
                <w:szCs w:val="21"/>
              </w:rPr>
              <w:t>2022年</w:t>
            </w:r>
            <w:r>
              <w:rPr>
                <w:rFonts w:hint="eastAsia" w:asciiTheme="minorEastAsia" w:hAnsiTheme="minorEastAsia" w:eastAsiaTheme="minorEastAsia"/>
                <w:sz w:val="21"/>
                <w:szCs w:val="21"/>
                <w:lang w:val="en-US" w:eastAsia="zh-CN"/>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29日</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3" w:type="dxa"/>
            <w:vMerge w:val="continue"/>
            <w:vAlign w:val="center"/>
          </w:tcPr>
          <w:p>
            <w:pPr>
              <w:rPr>
                <w:rFonts w:cs="Times New Roman" w:asciiTheme="minorEastAsia" w:hAnsiTheme="minorEastAsia" w:eastAsiaTheme="minorEastAsia"/>
                <w:kern w:val="2"/>
                <w:sz w:val="21"/>
                <w:szCs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szCs w:val="21"/>
                <w:lang w:val="en-US" w:eastAsia="zh-CN" w:bidi="ar-SA"/>
              </w:rPr>
            </w:pPr>
          </w:p>
        </w:tc>
        <w:tc>
          <w:tcPr>
            <w:tcW w:w="10004" w:type="dxa"/>
            <w:vAlign w:val="center"/>
          </w:tcPr>
          <w:p>
            <w:pPr>
              <w:spacing w:line="30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审核条款：</w:t>
            </w:r>
            <w:r>
              <w:rPr>
                <w:rFonts w:hint="eastAsia" w:asciiTheme="minorEastAsia" w:hAnsiTheme="minorEastAsia" w:eastAsiaTheme="minorEastAsia"/>
                <w:sz w:val="21"/>
                <w:szCs w:val="21"/>
                <w:lang w:val="en-US" w:eastAsia="zh-CN"/>
              </w:rPr>
              <w:t>EnMS：</w:t>
            </w:r>
            <w:r>
              <w:rPr>
                <w:rFonts w:hint="eastAsia" w:ascii="Times New Roman" w:hAnsi="Times New Roman" w:eastAsia="宋体" w:cs="Times New Roman"/>
                <w:sz w:val="21"/>
                <w:szCs w:val="21"/>
                <w:highlight w:val="none"/>
                <w:lang w:val="en-US" w:eastAsia="zh-CN"/>
              </w:rPr>
              <w:t>5.3/6.2/8.1/9.1.1/10.1</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73" w:type="dxa"/>
            <w:vAlign w:val="top"/>
          </w:tcPr>
          <w:p>
            <w:pPr>
              <w:spacing w:line="24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24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24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本部门能源职责权限</w:t>
            </w:r>
          </w:p>
        </w:tc>
        <w:tc>
          <w:tcPr>
            <w:tcW w:w="960" w:type="dxa"/>
            <w:vAlign w:val="top"/>
          </w:tcPr>
          <w:p>
            <w:pPr>
              <w:spacing w:line="24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24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spacing w:line="24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办公室领导</w:t>
            </w:r>
            <w:r>
              <w:rPr>
                <w:rFonts w:hint="eastAsia" w:ascii="宋体" w:hAnsi="宋体" w:eastAsia="宋体" w:cs="宋体"/>
                <w:sz w:val="21"/>
                <w:szCs w:val="21"/>
                <w:highlight w:val="none"/>
                <w:lang w:val="en-US" w:eastAsia="zh-CN"/>
              </w:rPr>
              <w:t>马立亚</w:t>
            </w:r>
            <w:r>
              <w:rPr>
                <w:rFonts w:hint="eastAsia" w:ascii="宋体" w:hAnsi="宋体" w:eastAsia="宋体" w:cs="宋体"/>
                <w:sz w:val="21"/>
                <w:szCs w:val="21"/>
                <w:lang w:val="en-US" w:eastAsia="zh-CN"/>
              </w:rPr>
              <w:t>介绍：主要职责：负责</w:t>
            </w:r>
            <w:r>
              <w:rPr>
                <w:rFonts w:hint="eastAsia" w:ascii="宋体" w:hAnsi="宋体"/>
                <w:bCs/>
                <w:sz w:val="21"/>
                <w:szCs w:val="21"/>
              </w:rPr>
              <w:t>负责能源管理体系在本运行部落地，对本运行部节能减排工作负责</w:t>
            </w:r>
            <w:r>
              <w:rPr>
                <w:rFonts w:hint="eastAsia" w:ascii="宋体" w:hAnsi="宋体"/>
                <w:bCs/>
                <w:sz w:val="21"/>
                <w:szCs w:val="21"/>
                <w:lang w:eastAsia="zh-CN"/>
              </w:rPr>
              <w:t>；</w:t>
            </w:r>
            <w:r>
              <w:rPr>
                <w:rFonts w:hint="eastAsia" w:ascii="宋体" w:hAnsi="宋体"/>
                <w:bCs/>
                <w:sz w:val="21"/>
                <w:szCs w:val="21"/>
              </w:rPr>
              <w:t>负责提出本单位节能改造项目、碳减排项目和合同能源管理项目，并配合项目的实施，项目投用后进行标定，总结项目的运行情况</w:t>
            </w:r>
            <w:r>
              <w:rPr>
                <w:rFonts w:hint="eastAsia" w:ascii="宋体" w:hAnsi="宋体"/>
                <w:bCs/>
                <w:sz w:val="21"/>
                <w:szCs w:val="21"/>
                <w:lang w:eastAsia="zh-CN"/>
              </w:rPr>
              <w:t>；</w:t>
            </w:r>
            <w:r>
              <w:rPr>
                <w:rFonts w:hint="eastAsia" w:ascii="宋体" w:hAnsi="宋体"/>
                <w:bCs/>
                <w:sz w:val="21"/>
                <w:szCs w:val="21"/>
              </w:rPr>
              <w:t>负责配合能源及碳排放相关检查、核查中所需数据及材料的提供及说明工作</w:t>
            </w:r>
            <w:r>
              <w:rPr>
                <w:rFonts w:hint="eastAsia" w:ascii="宋体" w:hAnsi="宋体"/>
                <w:bCs/>
                <w:sz w:val="21"/>
                <w:szCs w:val="21"/>
                <w:lang w:val="en-US" w:eastAsia="zh-CN"/>
              </w:rPr>
              <w:t>等，负责人清楚自己的职责</w:t>
            </w:r>
            <w:r>
              <w:rPr>
                <w:rFonts w:hint="eastAsia" w:ascii="宋体" w:hAnsi="宋体" w:eastAsia="宋体" w:cs="宋体"/>
                <w:sz w:val="21"/>
                <w:szCs w:val="21"/>
                <w:lang w:val="en-US" w:eastAsia="zh-CN"/>
              </w:rPr>
              <w:t>。 内容基本符合要求。</w:t>
            </w:r>
          </w:p>
          <w:p>
            <w:pPr>
              <w:pStyle w:val="2"/>
              <w:spacing w:line="240"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1289050" cy="1158875"/>
                  <wp:effectExtent l="0" t="0" r="6350" b="9525"/>
                  <wp:docPr id="43" name="图片 43" descr="167220089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1672200898470"/>
                          <pic:cNvPicPr>
                            <a:picLocks noChangeAspect="1"/>
                          </pic:cNvPicPr>
                        </pic:nvPicPr>
                        <pic:blipFill>
                          <a:blip r:embed="rId6"/>
                          <a:stretch>
                            <a:fillRect/>
                          </a:stretch>
                        </pic:blipFill>
                        <pic:spPr>
                          <a:xfrm>
                            <a:off x="0" y="0"/>
                            <a:ext cx="1289050" cy="1158875"/>
                          </a:xfrm>
                          <a:prstGeom prst="rect">
                            <a:avLst/>
                          </a:prstGeom>
                        </pic:spPr>
                      </pic:pic>
                    </a:graphicData>
                  </a:graphic>
                </wp:inline>
              </w:drawing>
            </w:r>
            <w:r>
              <w:rPr>
                <w:rFonts w:hint="eastAsia" w:ascii="宋体" w:hAnsi="宋体" w:cs="宋体"/>
                <w:sz w:val="21"/>
                <w:szCs w:val="21"/>
                <w:lang w:val="en-US" w:eastAsia="zh-CN"/>
              </w:rPr>
              <w:t xml:space="preserve"> </w:t>
            </w:r>
            <w:r>
              <w:rPr>
                <w:rFonts w:hint="default" w:ascii="宋体" w:hAnsi="宋体" w:eastAsia="宋体" w:cs="宋体"/>
                <w:sz w:val="21"/>
                <w:szCs w:val="21"/>
                <w:lang w:val="en-US" w:eastAsia="zh-CN"/>
              </w:rPr>
              <w:drawing>
                <wp:inline distT="0" distB="0" distL="114300" distR="114300">
                  <wp:extent cx="1130935" cy="1180465"/>
                  <wp:effectExtent l="0" t="0" r="12065" b="635"/>
                  <wp:docPr id="8" name="图片 8" descr="b10a967a95b9c1ada0114b96bb88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10a967a95b9c1ada0114b96bb88e0c"/>
                          <pic:cNvPicPr>
                            <a:picLocks noChangeAspect="1"/>
                          </pic:cNvPicPr>
                        </pic:nvPicPr>
                        <pic:blipFill>
                          <a:blip r:embed="rId7"/>
                          <a:stretch>
                            <a:fillRect/>
                          </a:stretch>
                        </pic:blipFill>
                        <pic:spPr>
                          <a:xfrm>
                            <a:off x="0" y="0"/>
                            <a:ext cx="1130935" cy="1180465"/>
                          </a:xfrm>
                          <a:prstGeom prst="rect">
                            <a:avLst/>
                          </a:prstGeom>
                        </pic:spPr>
                      </pic:pic>
                    </a:graphicData>
                  </a:graphic>
                </wp:inline>
              </w:drawing>
            </w:r>
          </w:p>
        </w:tc>
        <w:tc>
          <w:tcPr>
            <w:tcW w:w="1585" w:type="dxa"/>
            <w:vAlign w:val="top"/>
          </w:tcPr>
          <w:p>
            <w:pPr>
              <w:rPr>
                <w:rFonts w:hint="eastAsia"/>
                <w:sz w:val="21"/>
                <w:szCs w:val="21"/>
                <w:lang w:val="en-US" w:eastAsia="zh-CN"/>
              </w:rPr>
            </w:pPr>
            <w:r>
              <w:rPr>
                <w:rFonts w:hint="eastAsia"/>
                <w:sz w:val="21"/>
                <w:szCs w:val="21"/>
                <w:lang w:eastAsia="zh-CN"/>
              </w:rPr>
              <w:t>☑</w:t>
            </w:r>
            <w:r>
              <w:rPr>
                <w:rFonts w:hint="eastAsia"/>
                <w:sz w:val="21"/>
                <w:szCs w:val="21"/>
                <w:lang w:val="en-US" w:eastAsia="zh-CN"/>
              </w:rPr>
              <w:t>符合</w:t>
            </w:r>
          </w:p>
          <w:p>
            <w:pPr>
              <w:rPr>
                <w:rFonts w:hint="eastAsia" w:ascii="Times New Roman" w:hAnsi="Times New Roman" w:eastAsia="宋体" w:cs="Times New Roman"/>
                <w:kern w:val="2"/>
                <w:sz w:val="21"/>
                <w:szCs w:val="21"/>
                <w:lang w:val="en-US" w:eastAsia="zh-CN" w:bidi="ar-SA"/>
              </w:rPr>
            </w:pPr>
            <w:r>
              <w:rPr>
                <w:rFonts w:hint="eastAsia"/>
                <w:sz w:val="21"/>
                <w:szCs w:val="21"/>
              </w:rPr>
              <w:t>□</w:t>
            </w:r>
            <w:r>
              <w:rPr>
                <w:rFonts w:hint="eastAsia" w:ascii="Times New Roman" w:hAnsi="Times New Roman" w:eastAsia="宋体" w:cs="Times New Roman"/>
                <w:kern w:val="2"/>
                <w:sz w:val="21"/>
                <w:szCs w:val="21"/>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3" w:type="dxa"/>
          </w:tcPr>
          <w:p>
            <w:pPr>
              <w:rPr>
                <w:rFonts w:hint="default" w:eastAsia="宋体"/>
                <w:sz w:val="21"/>
                <w:szCs w:val="21"/>
                <w:lang w:val="en-US" w:eastAsia="zh-CN"/>
              </w:rPr>
            </w:pPr>
            <w:r>
              <w:rPr>
                <w:rFonts w:hint="eastAsia"/>
                <w:color w:val="000000"/>
                <w:sz w:val="21"/>
                <w:szCs w:val="21"/>
                <w:lang w:val="en-US" w:eastAsia="zh-CN"/>
              </w:rPr>
              <w:t>能源</w:t>
            </w:r>
            <w:r>
              <w:rPr>
                <w:rFonts w:hint="eastAsia"/>
                <w:color w:val="000000"/>
                <w:sz w:val="21"/>
                <w:szCs w:val="21"/>
              </w:rPr>
              <w:t>目标</w:t>
            </w:r>
          </w:p>
        </w:tc>
        <w:tc>
          <w:tcPr>
            <w:tcW w:w="960" w:type="dxa"/>
          </w:tcPr>
          <w:p>
            <w:pPr>
              <w:rPr>
                <w:rFonts w:hint="default" w:eastAsia="宋体"/>
                <w:sz w:val="21"/>
                <w:szCs w:val="21"/>
                <w:lang w:val="en-US" w:eastAsia="zh-CN"/>
              </w:rPr>
            </w:pPr>
            <w:r>
              <w:rPr>
                <w:rFonts w:hint="eastAsia"/>
                <w:color w:val="000000"/>
                <w:sz w:val="21"/>
                <w:szCs w:val="21"/>
              </w:rPr>
              <w:t>En6.2</w:t>
            </w:r>
          </w:p>
        </w:tc>
        <w:tc>
          <w:tcPr>
            <w:tcW w:w="10004" w:type="dxa"/>
          </w:tcPr>
          <w:p>
            <w:pPr>
              <w:rPr>
                <w:sz w:val="21"/>
                <w:szCs w:val="21"/>
              </w:rPr>
            </w:pPr>
            <w:r>
              <w:rPr>
                <w:rFonts w:hint="eastAsia"/>
                <w:highlight w:val="none"/>
                <w:lang w:val="en-US" w:eastAsia="zh-CN"/>
              </w:rPr>
              <w:t>为保证公司能源目标：该部门制定绩效指标：运输费167.4（万元）；内部材料错别字等失误率≤2%；外部材料错别字等失误率≤0%；泄密事件≤0，经查符合要求。</w:t>
            </w:r>
          </w:p>
        </w:tc>
        <w:tc>
          <w:tcPr>
            <w:tcW w:w="1585" w:type="dxa"/>
            <w:vAlign w:val="top"/>
          </w:tcPr>
          <w:p>
            <w:pPr>
              <w:rPr>
                <w:rFonts w:hint="eastAsia"/>
                <w:sz w:val="21"/>
                <w:szCs w:val="21"/>
                <w:lang w:val="en-US" w:eastAsia="zh-CN"/>
              </w:rPr>
            </w:pPr>
            <w:r>
              <w:rPr>
                <w:rFonts w:hint="eastAsia"/>
                <w:sz w:val="21"/>
                <w:szCs w:val="21"/>
                <w:lang w:eastAsia="zh-CN"/>
              </w:rPr>
              <w:t>☑</w:t>
            </w:r>
            <w:r>
              <w:rPr>
                <w:rFonts w:hint="eastAsia"/>
                <w:sz w:val="21"/>
                <w:szCs w:val="21"/>
                <w:lang w:val="en-US" w:eastAsia="zh-CN"/>
              </w:rPr>
              <w:t>符合</w:t>
            </w:r>
          </w:p>
          <w:p>
            <w:pPr>
              <w:rPr>
                <w:rFonts w:hint="eastAsia" w:ascii="Times New Roman" w:hAnsi="Times New Roman" w:eastAsia="宋体" w:cs="Times New Roman"/>
                <w:kern w:val="2"/>
                <w:sz w:val="21"/>
                <w:szCs w:val="21"/>
                <w:lang w:val="en-US" w:eastAsia="zh-CN" w:bidi="ar-SA"/>
              </w:rPr>
            </w:pPr>
            <w:r>
              <w:rPr>
                <w:rFonts w:hint="eastAsia"/>
                <w:sz w:val="21"/>
                <w:szCs w:val="21"/>
              </w:rPr>
              <w:t>□</w:t>
            </w:r>
            <w:r>
              <w:rPr>
                <w:rFonts w:hint="eastAsia" w:ascii="Times New Roman" w:hAnsi="Times New Roman" w:eastAsia="宋体" w:cs="Times New Roman"/>
                <w:kern w:val="2"/>
                <w:sz w:val="21"/>
                <w:szCs w:val="21"/>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73" w:type="dxa"/>
          </w:tcPr>
          <w:p>
            <w:pPr>
              <w:rPr>
                <w:rFonts w:hint="default" w:eastAsia="宋体"/>
                <w:sz w:val="21"/>
                <w:szCs w:val="21"/>
                <w:lang w:val="en-US" w:eastAsia="zh-CN"/>
              </w:rPr>
            </w:pPr>
            <w:r>
              <w:rPr>
                <w:rFonts w:hint="eastAsia"/>
                <w:sz w:val="21"/>
                <w:szCs w:val="21"/>
                <w:lang w:val="en-US" w:eastAsia="zh-CN"/>
              </w:rPr>
              <w:t>运行控制</w:t>
            </w:r>
          </w:p>
        </w:tc>
        <w:tc>
          <w:tcPr>
            <w:tcW w:w="960" w:type="dxa"/>
          </w:tcPr>
          <w:p>
            <w:pPr>
              <w:rPr>
                <w:rFonts w:hint="eastAsia" w:eastAsia="宋体"/>
                <w:sz w:val="21"/>
                <w:szCs w:val="21"/>
                <w:lang w:val="en-US" w:eastAsia="zh-CN"/>
              </w:rPr>
            </w:pPr>
            <w:r>
              <w:rPr>
                <w:rFonts w:hint="eastAsia"/>
                <w:sz w:val="21"/>
                <w:szCs w:val="21"/>
              </w:rPr>
              <w:t>En8.</w:t>
            </w:r>
            <w:r>
              <w:rPr>
                <w:rFonts w:hint="eastAsia"/>
                <w:sz w:val="21"/>
                <w:szCs w:val="21"/>
                <w:lang w:val="en-US" w:eastAsia="zh-CN"/>
              </w:rPr>
              <w:t>1</w:t>
            </w:r>
          </w:p>
        </w:tc>
        <w:tc>
          <w:tcPr>
            <w:tcW w:w="10004" w:type="dxa"/>
            <w:vAlign w:val="top"/>
          </w:tcPr>
          <w:p>
            <w:pPr>
              <w:pStyle w:val="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u w:val="none"/>
                <w:lang w:val="en-US" w:eastAsia="zh-CN"/>
              </w:rPr>
              <w:sym w:font="Wingdings" w:char="00FE"/>
            </w:r>
            <w:r>
              <w:rPr>
                <w:rFonts w:hint="eastAsia" w:asciiTheme="minorEastAsia" w:hAnsiTheme="minorEastAsia" w:eastAsiaTheme="minorEastAsia" w:cstheme="minorEastAsia"/>
                <w:sz w:val="21"/>
                <w:szCs w:val="21"/>
                <w:u w:val="none"/>
                <w:lang w:val="en-US" w:eastAsia="zh-CN"/>
              </w:rPr>
              <w:t>手册第8.4</w:t>
            </w:r>
            <w:r>
              <w:rPr>
                <w:rStyle w:val="19"/>
                <w:rFonts w:ascii="Times New Roman"/>
                <w:color w:val="auto"/>
                <w:u w:val="none"/>
              </w:rPr>
              <w:t>能源策划和控制</w:t>
            </w:r>
            <w:r>
              <w:rPr>
                <w:rFonts w:hint="eastAsia" w:asciiTheme="minorEastAsia" w:hAnsiTheme="minorEastAsia" w:eastAsiaTheme="minorEastAsia" w:cstheme="minorEastAsia"/>
                <w:sz w:val="21"/>
                <w:szCs w:val="21"/>
                <w:u w:val="none"/>
                <w:lang w:val="en-US" w:eastAsia="zh-CN"/>
              </w:rPr>
              <w:t>条款有规定</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1.节约用电的控制：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随手关灯、</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下班前关闭电源、</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控制空调温度（夏季≥26℃；冬季≤20℃）</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2.节约用水的控制：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随手关水龙头  </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使用节水龙头及马桶</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3.节约用纸的控制：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纸张双面使用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尽量采用电子版文件</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信息中心用能主要是办公用能。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该部门要求员工照明灯不用时及时将电源关闭， 电脑不使用时及时将电源关闭，电脑设置休眠功能，夏天空调设置26度以上。</w:t>
            </w:r>
          </w:p>
          <w:p>
            <w:pPr>
              <w:rPr>
                <w:rFonts w:hint="eastAsia"/>
                <w:sz w:val="21"/>
                <w:szCs w:val="21"/>
                <w:vertAlign w:val="baseline"/>
                <w:lang w:val="en-US"/>
              </w:rPr>
            </w:pPr>
            <w:r>
              <w:rPr>
                <w:rFonts w:hint="eastAsia" w:asciiTheme="minorEastAsia" w:hAnsiTheme="minorEastAsia" w:eastAsiaTheme="minorEastAsia" w:cstheme="minorEastAsia"/>
                <w:sz w:val="21"/>
                <w:szCs w:val="21"/>
                <w:lang w:val="en-US" w:eastAsia="zh-CN"/>
              </w:rPr>
              <w:t>办公区张贴节约用电和节约用水的宣传标识。能够做到人走灯息、空调在26度以上</w:t>
            </w:r>
          </w:p>
        </w:tc>
        <w:tc>
          <w:tcPr>
            <w:tcW w:w="1585" w:type="dxa"/>
          </w:tcPr>
          <w:p>
            <w:pPr>
              <w:rPr>
                <w:rFonts w:hint="eastAsia"/>
                <w:sz w:val="21"/>
                <w:szCs w:val="21"/>
                <w:lang w:val="en-US" w:eastAsia="zh-CN"/>
              </w:rPr>
            </w:pPr>
            <w:r>
              <w:rPr>
                <w:rFonts w:hint="eastAsia"/>
                <w:sz w:val="21"/>
                <w:szCs w:val="21"/>
                <w:lang w:eastAsia="zh-CN"/>
              </w:rPr>
              <w:t>☑</w:t>
            </w:r>
            <w:r>
              <w:rPr>
                <w:rFonts w:hint="eastAsia"/>
                <w:sz w:val="21"/>
                <w:szCs w:val="21"/>
                <w:lang w:val="en-US" w:eastAsia="zh-CN"/>
              </w:rPr>
              <w:t>符合</w:t>
            </w:r>
          </w:p>
          <w:p>
            <w:pPr>
              <w:rPr>
                <w:rFonts w:hint="eastAsia" w:ascii="Times New Roman" w:hAnsi="Times New Roman" w:eastAsia="宋体" w:cs="Times New Roman"/>
                <w:kern w:val="2"/>
                <w:sz w:val="21"/>
                <w:szCs w:val="21"/>
                <w:lang w:val="en-US" w:eastAsia="zh-CN" w:bidi="ar-SA"/>
              </w:rPr>
            </w:pPr>
            <w:r>
              <w:rPr>
                <w:rFonts w:hint="eastAsia"/>
                <w:sz w:val="21"/>
                <w:szCs w:val="21"/>
              </w:rPr>
              <w:t>□</w:t>
            </w:r>
            <w:r>
              <w:rPr>
                <w:rFonts w:hint="eastAsia" w:ascii="Times New Roman" w:hAnsi="Times New Roman" w:eastAsia="宋体" w:cs="Times New Roman"/>
                <w:kern w:val="2"/>
                <w:sz w:val="21"/>
                <w:szCs w:val="21"/>
                <w:lang w:val="en-US" w:eastAsia="zh-CN" w:bidi="ar-SA"/>
              </w:rPr>
              <w:t>不符合</w:t>
            </w:r>
          </w:p>
          <w:p>
            <w:pP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73" w:type="dxa"/>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能源绩效和EnMS的监视、测量、分析和评价</w:t>
            </w:r>
          </w:p>
          <w:p>
            <w:pPr>
              <w:rPr>
                <w:rFonts w:hint="default" w:ascii="Times New Roman" w:hAnsi="Times New Roman" w:eastAsia="宋体" w:cs="Times New Roman"/>
                <w:kern w:val="2"/>
                <w:sz w:val="21"/>
                <w:szCs w:val="21"/>
                <w:lang w:val="en-US" w:eastAsia="zh-CN" w:bidi="ar-SA"/>
              </w:rPr>
            </w:pPr>
          </w:p>
        </w:tc>
        <w:tc>
          <w:tcPr>
            <w:tcW w:w="960" w:type="dxa"/>
            <w:vAlign w:val="top"/>
          </w:tcPr>
          <w:p>
            <w:pPr>
              <w:pStyle w:val="21"/>
              <w:rPr>
                <w:rFonts w:hint="default" w:ascii="Times New Roman" w:hAnsi="Times New Roman" w:eastAsia="宋体" w:cs="Times New Roman"/>
                <w:kern w:val="2"/>
                <w:sz w:val="21"/>
                <w:szCs w:val="21"/>
                <w:lang w:val="en-US" w:eastAsia="zh-CN" w:bidi="ar-SA"/>
              </w:rPr>
            </w:pPr>
            <w:r>
              <w:rPr>
                <w:rFonts w:hint="eastAsia"/>
                <w:sz w:val="21"/>
                <w:szCs w:val="21"/>
                <w:highlight w:val="none"/>
                <w:lang w:val="en-US" w:eastAsia="zh-CN"/>
              </w:rPr>
              <w:t>En9.1.1</w:t>
            </w:r>
          </w:p>
        </w:tc>
        <w:tc>
          <w:tcPr>
            <w:tcW w:w="10004" w:type="dxa"/>
            <w:vAlign w:val="top"/>
          </w:tcPr>
          <w:p>
            <w:pPr>
              <w:spacing w:line="240" w:lineRule="auto"/>
              <w:rPr>
                <w:rFonts w:hint="eastAsia" w:ascii="宋体" w:hAnsi="宋体" w:eastAsia="宋体" w:cs="宋体"/>
                <w:szCs w:val="22"/>
                <w:lang w:val="en-US" w:eastAsia="zh-CN"/>
              </w:rPr>
            </w:pPr>
            <w:r>
              <w:rPr>
                <w:rFonts w:hint="eastAsia" w:ascii="宋体" w:hAnsi="宋体" w:eastAsia="宋体" w:cs="宋体"/>
                <w:szCs w:val="22"/>
                <w:lang w:val="en-US" w:eastAsia="zh-CN"/>
              </w:rPr>
              <w:t>查一体化管理手册规定的监测内容包括：</w:t>
            </w:r>
            <w:r>
              <w:rPr>
                <w:rFonts w:hint="eastAsia" w:ascii="宋体" w:hAnsi="宋体" w:eastAsia="宋体" w:cs="宋体"/>
                <w:sz w:val="21"/>
                <w:szCs w:val="21"/>
              </w:rPr>
              <w:t>生产技术部是能源管理体系绩效监视和测量的的</w:t>
            </w:r>
            <w:r>
              <w:rPr>
                <w:rFonts w:hint="eastAsia" w:ascii="宋体" w:hAnsi="宋体" w:eastAsia="宋体" w:cs="宋体"/>
                <w:b w:val="0"/>
                <w:bCs/>
                <w:color w:val="auto"/>
                <w:sz w:val="21"/>
                <w:szCs w:val="21"/>
                <w:u w:val="none"/>
              </w:rPr>
              <w:t>业务主责部门</w:t>
            </w:r>
            <w:r>
              <w:rPr>
                <w:rFonts w:hint="eastAsia" w:ascii="宋体" w:hAnsi="宋体" w:eastAsia="宋体" w:cs="宋体"/>
                <w:sz w:val="21"/>
                <w:szCs w:val="21"/>
              </w:rPr>
              <w:t>，制定相应监视测量工作计划，组织各专业管理部门开展能源监视和测量工作</w:t>
            </w:r>
            <w:r>
              <w:rPr>
                <w:rFonts w:hint="eastAsia" w:ascii="宋体" w:hAnsi="宋体" w:eastAsia="宋体" w:cs="宋体"/>
                <w:sz w:val="21"/>
                <w:szCs w:val="21"/>
                <w:lang w:eastAsia="zh-CN"/>
              </w:rPr>
              <w:t>；</w:t>
            </w:r>
            <w:r>
              <w:rPr>
                <w:rFonts w:hint="eastAsia" w:ascii="宋体" w:hAnsi="宋体" w:eastAsia="宋体" w:cs="宋体"/>
                <w:sz w:val="21"/>
                <w:szCs w:val="21"/>
              </w:rPr>
              <w:t>能源管理监视和测量的内容包括：主要能源使用和能源评审的输出结果；能源目标、指标和管理方案的实施完成情况；能源绩效参数的实现情况；能源基准；能源对标管理；主要能源使用的设施、设备、系统、过程的经济运行参数及能效测试；能源三级计量的完善和管理状况；实际值与能源基准、目标指标的对比</w:t>
            </w:r>
            <w:r>
              <w:rPr>
                <w:rFonts w:hint="eastAsia" w:ascii="宋体" w:hAnsi="宋体" w:eastAsia="宋体" w:cs="宋体"/>
                <w:sz w:val="21"/>
                <w:szCs w:val="21"/>
                <w:lang w:eastAsia="zh-CN"/>
              </w:rPr>
              <w:t>；</w:t>
            </w:r>
            <w:r>
              <w:rPr>
                <w:rFonts w:hint="eastAsia" w:ascii="宋体" w:hAnsi="宋体" w:eastAsia="宋体" w:cs="宋体"/>
                <w:sz w:val="21"/>
                <w:szCs w:val="21"/>
              </w:rPr>
              <w:t>能源管理绩效监视与测量结果由生产技术部进行汇总、分析、评价、考核。</w:t>
            </w:r>
          </w:p>
          <w:p>
            <w:pPr>
              <w:pStyle w:val="3"/>
              <w:spacing w:line="240" w:lineRule="auto"/>
              <w:rPr>
                <w:rFonts w:hint="eastAsia" w:ascii="Times New Roman" w:hAnsi="Times New Roman" w:eastAsia="宋体" w:cs="Times New Roman"/>
                <w:kern w:val="2"/>
                <w:sz w:val="21"/>
                <w:szCs w:val="22"/>
                <w:lang w:val="en-US" w:eastAsia="zh-CN" w:bidi="ar-SA"/>
              </w:rPr>
            </w:pPr>
            <w:r>
              <w:rPr>
                <w:rFonts w:hint="eastAsia" w:ascii="宋体" w:hAnsi="宋体" w:eastAsia="宋体" w:cs="宋体"/>
                <w:kern w:val="2"/>
                <w:sz w:val="21"/>
                <w:szCs w:val="22"/>
                <w:lang w:val="en-US" w:eastAsia="zh-CN" w:bidi="ar-SA"/>
              </w:rPr>
              <w:t>公司、生产技术部每月对能源绩效的相关的关键活动、关键区域</w:t>
            </w:r>
            <w:r>
              <w:rPr>
                <w:rFonts w:hint="eastAsia" w:ascii="Times New Roman" w:hAnsi="Times New Roman" w:eastAsia="宋体" w:cs="Times New Roman"/>
                <w:kern w:val="2"/>
                <w:sz w:val="21"/>
                <w:szCs w:val="22"/>
                <w:lang w:val="en-US" w:eastAsia="zh-CN" w:bidi="ar-SA"/>
              </w:rPr>
              <w:t>、关键设备设施的运行控制情况进行检查和评价，以便及时发现问题并采取措施进行有效控制。包括：能源目标和指标的实现情况；能源管理实施方案进展和效果；能源绩效参数的变化；关键运行特性的控制；优控能源绩效改进机会的控制；实际能源消耗与预期的对比；检查和评价的方法包括目测、实测、巡视、关键参数记录的分析等。按规定的控制准则监测工艺运行参数,各主要用能部门指定专人对部门用能情况进行巡视和监控，确保关键运行特性得到逐级控制，发现的用能异常情况应及时在设备运行记录中体现并及时处置或反馈给责任部门处理。对于发现的较大偏差，应上报</w:t>
            </w:r>
            <w:r>
              <w:rPr>
                <w:rFonts w:hint="eastAsia" w:cs="Times New Roman"/>
                <w:kern w:val="2"/>
                <w:sz w:val="21"/>
                <w:szCs w:val="22"/>
                <w:lang w:val="en-US" w:eastAsia="zh-CN" w:bidi="ar-SA"/>
              </w:rPr>
              <w:t>生产技术部</w:t>
            </w:r>
            <w:r>
              <w:rPr>
                <w:rFonts w:hint="eastAsia" w:ascii="Times New Roman" w:hAnsi="Times New Roman" w:eastAsia="宋体" w:cs="Times New Roman"/>
                <w:kern w:val="2"/>
                <w:sz w:val="21"/>
                <w:szCs w:val="22"/>
                <w:lang w:val="en-US" w:eastAsia="zh-CN" w:bidi="ar-SA"/>
              </w:rPr>
              <w:t>,由</w:t>
            </w:r>
            <w:r>
              <w:rPr>
                <w:rFonts w:hint="eastAsia" w:cs="Times New Roman"/>
                <w:kern w:val="2"/>
                <w:sz w:val="21"/>
                <w:szCs w:val="22"/>
                <w:lang w:val="en-US" w:eastAsia="zh-CN" w:bidi="ar-SA"/>
              </w:rPr>
              <w:t>生产技术部</w:t>
            </w:r>
            <w:r>
              <w:rPr>
                <w:rFonts w:hint="eastAsia" w:ascii="Times New Roman" w:hAnsi="Times New Roman" w:eastAsia="宋体" w:cs="Times New Roman"/>
                <w:kern w:val="2"/>
                <w:sz w:val="21"/>
                <w:szCs w:val="22"/>
                <w:lang w:val="en-US" w:eastAsia="zh-CN" w:bidi="ar-SA"/>
              </w:rPr>
              <w:t>组织调查原因,采取纠偏措施。</w:t>
            </w:r>
          </w:p>
          <w:p>
            <w:pPr>
              <w:pStyle w:val="3"/>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有关法律法规的遵循情况；见9.1.2审核记录；</w:t>
            </w:r>
          </w:p>
          <w:p>
            <w:pPr>
              <w:pStyle w:val="3"/>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体系运行的覆盖情况；见</w:t>
            </w:r>
            <w:r>
              <w:rPr>
                <w:rFonts w:hint="eastAsia" w:cs="Times New Roman"/>
                <w:kern w:val="2"/>
                <w:sz w:val="21"/>
                <w:szCs w:val="22"/>
                <w:lang w:val="en-US" w:eastAsia="zh-CN" w:bidi="ar-SA"/>
              </w:rPr>
              <w:t>企业管理部</w:t>
            </w:r>
            <w:r>
              <w:rPr>
                <w:rFonts w:hint="eastAsia" w:ascii="Times New Roman" w:hAnsi="Times New Roman" w:eastAsia="宋体" w:cs="Times New Roman"/>
                <w:kern w:val="2"/>
                <w:sz w:val="21"/>
                <w:szCs w:val="22"/>
                <w:lang w:val="en-US" w:eastAsia="zh-CN" w:bidi="ar-SA"/>
              </w:rPr>
              <w:t>内审记录、管理层管理评审记录；</w:t>
            </w:r>
          </w:p>
          <w:p>
            <w:pPr>
              <w:pStyle w:val="3"/>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用能系统、过程和环节是否在规定状态下运行；现场巡视</w:t>
            </w:r>
            <w:r>
              <w:rPr>
                <w:rFonts w:hint="eastAsia" w:cs="Times New Roman"/>
                <w:kern w:val="2"/>
                <w:sz w:val="21"/>
                <w:szCs w:val="22"/>
                <w:lang w:val="en-US" w:eastAsia="zh-CN" w:bidi="ar-SA"/>
              </w:rPr>
              <w:t>生产技术</w:t>
            </w:r>
            <w:r>
              <w:rPr>
                <w:rFonts w:hint="eastAsia" w:ascii="Times New Roman" w:hAnsi="Times New Roman" w:eastAsia="宋体" w:cs="Times New Roman"/>
                <w:kern w:val="2"/>
                <w:sz w:val="21"/>
                <w:szCs w:val="22"/>
                <w:lang w:val="en-US" w:eastAsia="zh-CN" w:bidi="ar-SA"/>
              </w:rPr>
              <w:t>部未发现不正常状态；</w:t>
            </w:r>
          </w:p>
          <w:p>
            <w:pPr>
              <w:pStyle w:val="3"/>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目标、指标的实现情况和能源管理方案的进展情况按计划实施。</w:t>
            </w:r>
          </w:p>
          <w:p>
            <w:pPr>
              <w:pStyle w:val="3"/>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能源计量、统计制度的执行情况；用于贸易结算的能源计量主要是</w:t>
            </w:r>
            <w:r>
              <w:rPr>
                <w:rFonts w:hint="eastAsia" w:ascii="Times New Roman" w:hAnsi="Times New Roman" w:eastAsia="宋体" w:cs="Times New Roman"/>
                <w:kern w:val="2"/>
                <w:sz w:val="21"/>
                <w:szCs w:val="22"/>
                <w:highlight w:val="none"/>
                <w:lang w:val="en-US" w:eastAsia="zh-CN" w:bidi="ar-SA"/>
              </w:rPr>
              <w:t>供方电力局和自来水公司</w:t>
            </w:r>
            <w:r>
              <w:rPr>
                <w:rFonts w:hint="eastAsia" w:ascii="Times New Roman" w:hAnsi="Times New Roman" w:eastAsia="宋体" w:cs="Times New Roman"/>
                <w:kern w:val="2"/>
                <w:sz w:val="21"/>
                <w:szCs w:val="22"/>
                <w:lang w:val="en-US" w:eastAsia="zh-CN" w:bidi="ar-SA"/>
              </w:rPr>
              <w:t>提供设备并安装进行计量，</w:t>
            </w:r>
            <w:r>
              <w:rPr>
                <w:rFonts w:hint="eastAsia" w:cs="Times New Roman"/>
                <w:kern w:val="2"/>
                <w:sz w:val="21"/>
                <w:szCs w:val="22"/>
                <w:lang w:val="en-US" w:eastAsia="zh-CN" w:bidi="ar-SA"/>
              </w:rPr>
              <w:t>公司</w:t>
            </w:r>
            <w:r>
              <w:rPr>
                <w:rFonts w:hint="eastAsia" w:ascii="Times New Roman" w:hAnsi="Times New Roman" w:eastAsia="宋体" w:cs="Times New Roman"/>
                <w:kern w:val="2"/>
                <w:sz w:val="21"/>
                <w:szCs w:val="22"/>
                <w:lang w:val="en-US" w:eastAsia="zh-CN" w:bidi="ar-SA"/>
              </w:rPr>
              <w:t>对能源计量控制；</w:t>
            </w:r>
          </w:p>
          <w:p>
            <w:pPr>
              <w:pStyle w:val="3"/>
              <w:spacing w:line="24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组织提供的计算数据和分析：见6.6条款及8.1条款审核记录。</w:t>
            </w:r>
          </w:p>
          <w:p>
            <w:pPr>
              <w:pStyle w:val="3"/>
              <w:spacing w:line="240" w:lineRule="auto"/>
              <w:rPr>
                <w:rFonts w:hint="default"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企业的能源种类有：</w:t>
            </w:r>
            <w:r>
              <w:rPr>
                <w:rFonts w:hint="eastAsia" w:eastAsia="宋体" w:cs="Times New Roman"/>
                <w:kern w:val="2"/>
                <w:sz w:val="21"/>
                <w:szCs w:val="22"/>
                <w:lang w:val="en-US" w:eastAsia="zh-CN" w:bidi="ar-SA"/>
              </w:rPr>
              <w:t>燃料气、</w:t>
            </w:r>
            <w:r>
              <w:rPr>
                <w:rFonts w:hint="eastAsia" w:ascii="Times New Roman" w:hAnsi="Times New Roman" w:eastAsia="宋体"/>
                <w:sz w:val="21"/>
                <w:szCs w:val="21"/>
                <w:lang w:val="en-US" w:eastAsia="zh-CN"/>
              </w:rPr>
              <w:t>催化烧焦</w:t>
            </w:r>
            <w:r>
              <w:rPr>
                <w:rFonts w:hint="eastAsia" w:ascii="Times New Roman" w:hAnsi="Times New Roman"/>
                <w:sz w:val="21"/>
                <w:szCs w:val="21"/>
              </w:rPr>
              <w:t>、蒸汽、电力和新鲜水</w:t>
            </w:r>
            <w:r>
              <w:rPr>
                <w:rFonts w:hint="eastAsia" w:ascii="Times New Roman" w:hAnsi="Times New Roman" w:eastAsia="宋体" w:cs="Times New Roman"/>
                <w:kern w:val="2"/>
                <w:sz w:val="21"/>
                <w:szCs w:val="22"/>
                <w:lang w:val="en-US" w:eastAsia="zh-CN" w:bidi="ar-SA"/>
              </w:rPr>
              <w:t>；主要能源使用为：</w:t>
            </w:r>
            <w:r>
              <w:rPr>
                <w:rFonts w:hint="eastAsia" w:eastAsia="宋体" w:cs="Times New Roman"/>
                <w:kern w:val="2"/>
                <w:sz w:val="21"/>
                <w:szCs w:val="22"/>
                <w:lang w:val="en-US" w:eastAsia="zh-CN" w:bidi="ar-SA"/>
              </w:rPr>
              <w:t>燃料气、电、催化烧焦等</w:t>
            </w:r>
            <w:r>
              <w:rPr>
                <w:rFonts w:hint="eastAsia" w:ascii="Times New Roman" w:hAnsi="Times New Roman" w:eastAsia="宋体" w:cs="Times New Roman"/>
                <w:kern w:val="2"/>
                <w:sz w:val="21"/>
                <w:szCs w:val="22"/>
                <w:lang w:val="en-US" w:eastAsia="zh-CN" w:bidi="ar-SA"/>
              </w:rPr>
              <w:t>；影响主要能源使用的相关变量见6.3条款审核记录</w:t>
            </w:r>
            <w:r>
              <w:rPr>
                <w:rFonts w:hint="eastAsia" w:cs="Times New Roman"/>
                <w:kern w:val="2"/>
                <w:sz w:val="21"/>
                <w:szCs w:val="22"/>
                <w:lang w:val="en-US" w:eastAsia="zh-CN" w:bidi="ar-SA"/>
              </w:rPr>
              <w:t>。</w:t>
            </w:r>
          </w:p>
          <w:p>
            <w:pPr>
              <w:pStyle w:val="3"/>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能源数据分析：</w:t>
            </w:r>
            <w:r>
              <w:rPr>
                <w:rFonts w:hint="eastAsia" w:eastAsia="宋体" w:cs="Times New Roman"/>
                <w:kern w:val="2"/>
                <w:sz w:val="21"/>
                <w:szCs w:val="22"/>
                <w:lang w:val="en-US" w:eastAsia="zh-CN" w:bidi="ar-SA"/>
              </w:rPr>
              <w:t>详见</w:t>
            </w:r>
            <w:r>
              <w:rPr>
                <w:rFonts w:hint="eastAsia" w:ascii="宋体" w:hAnsi="宋体" w:eastAsia="宋体" w:cs="Times New Roman"/>
                <w:b w:val="0"/>
                <w:bCs w:val="0"/>
                <w:sz w:val="21"/>
                <w:szCs w:val="21"/>
                <w:lang w:val="en-US" w:eastAsia="zh-CN"/>
              </w:rPr>
              <w:t>炼油运行四部</w:t>
            </w:r>
            <w:r>
              <w:rPr>
                <w:rFonts w:hint="eastAsia" w:ascii="宋体" w:hAnsi="宋体" w:cs="Times New Roman"/>
                <w:b w:val="0"/>
                <w:bCs w:val="0"/>
                <w:sz w:val="21"/>
                <w:szCs w:val="21"/>
                <w:lang w:val="en-US" w:eastAsia="zh-CN"/>
              </w:rPr>
              <w:t>、</w:t>
            </w:r>
            <w:r>
              <w:rPr>
                <w:rFonts w:hint="eastAsia" w:ascii="宋体" w:hAnsi="宋体" w:eastAsia="宋体" w:cs="Times New Roman"/>
                <w:b w:val="0"/>
                <w:bCs w:val="0"/>
                <w:sz w:val="21"/>
                <w:szCs w:val="21"/>
                <w:lang w:val="en-US" w:eastAsia="zh-CN"/>
              </w:rPr>
              <w:t>炼油运行一部</w:t>
            </w:r>
            <w:r>
              <w:rPr>
                <w:rFonts w:hint="eastAsia" w:ascii="宋体" w:hAnsi="宋体" w:cs="Times New Roman"/>
                <w:b w:val="0"/>
                <w:bCs w:val="0"/>
                <w:sz w:val="21"/>
                <w:szCs w:val="21"/>
                <w:lang w:val="en-US" w:eastAsia="zh-CN"/>
              </w:rPr>
              <w:t>、</w:t>
            </w:r>
            <w:r>
              <w:rPr>
                <w:rFonts w:hint="eastAsia" w:ascii="宋体" w:hAnsi="宋体" w:eastAsia="宋体" w:cs="Times New Roman"/>
                <w:b w:val="0"/>
                <w:bCs w:val="0"/>
                <w:sz w:val="21"/>
                <w:szCs w:val="21"/>
                <w:lang w:val="en-US" w:eastAsia="zh-CN"/>
              </w:rPr>
              <w:t>炼油运行二部</w:t>
            </w:r>
            <w:r>
              <w:rPr>
                <w:rFonts w:hint="eastAsia" w:ascii="宋体" w:hAnsi="宋体" w:cs="Times New Roman"/>
                <w:b w:val="0"/>
                <w:bCs w:val="0"/>
                <w:sz w:val="21"/>
                <w:szCs w:val="21"/>
                <w:lang w:val="en-US" w:eastAsia="zh-CN"/>
              </w:rPr>
              <w:t>、</w:t>
            </w:r>
            <w:r>
              <w:rPr>
                <w:rFonts w:hint="eastAsia" w:eastAsia="宋体" w:cs="Times New Roman"/>
                <w:kern w:val="2"/>
                <w:sz w:val="21"/>
                <w:szCs w:val="22"/>
                <w:lang w:val="en-US" w:eastAsia="zh-CN" w:bidi="ar-SA"/>
              </w:rPr>
              <w:t>生产技术部、</w:t>
            </w:r>
            <w:r>
              <w:rPr>
                <w:rFonts w:hint="eastAsia" w:ascii="宋体" w:hAnsi="宋体" w:eastAsia="宋体" w:cs="Times New Roman"/>
                <w:b w:val="0"/>
                <w:bCs w:val="0"/>
                <w:sz w:val="21"/>
                <w:szCs w:val="21"/>
                <w:lang w:val="en-US" w:eastAsia="zh-CN"/>
              </w:rPr>
              <w:t>炼油运行五部</w:t>
            </w:r>
            <w:r>
              <w:rPr>
                <w:rFonts w:hint="eastAsia" w:ascii="宋体" w:hAnsi="宋体" w:cs="Times New Roman"/>
                <w:b w:val="0"/>
                <w:bCs w:val="0"/>
                <w:sz w:val="21"/>
                <w:szCs w:val="21"/>
                <w:lang w:val="en-US" w:eastAsia="zh-CN"/>
              </w:rPr>
              <w:t>、</w:t>
            </w:r>
            <w:r>
              <w:rPr>
                <w:rFonts w:hint="eastAsia" w:ascii="宋体" w:hAnsi="宋体" w:eastAsia="宋体" w:cs="Times New Roman"/>
                <w:b w:val="0"/>
                <w:bCs w:val="0"/>
                <w:sz w:val="21"/>
                <w:szCs w:val="21"/>
                <w:lang w:val="en-US" w:eastAsia="zh-CN"/>
              </w:rPr>
              <w:t>炼油运行三部</w:t>
            </w:r>
            <w:r>
              <w:rPr>
                <w:rFonts w:hint="eastAsia" w:ascii="宋体" w:hAnsi="宋体" w:cs="Times New Roman"/>
                <w:b w:val="0"/>
                <w:bCs w:val="0"/>
                <w:sz w:val="21"/>
                <w:szCs w:val="21"/>
                <w:lang w:val="en-US" w:eastAsia="zh-CN"/>
              </w:rPr>
              <w:t>、</w:t>
            </w:r>
            <w:r>
              <w:rPr>
                <w:rFonts w:hint="eastAsia" w:ascii="宋体" w:hAnsi="宋体" w:eastAsia="宋体" w:cs="Times New Roman"/>
                <w:b w:val="0"/>
                <w:bCs w:val="0"/>
                <w:sz w:val="21"/>
                <w:szCs w:val="21"/>
                <w:lang w:val="en-US" w:eastAsia="zh-CN"/>
              </w:rPr>
              <w:t>热电运行部</w:t>
            </w:r>
            <w:r>
              <w:rPr>
                <w:rFonts w:hint="eastAsia" w:ascii="宋体" w:hAnsi="宋体" w:cs="Times New Roman"/>
                <w:b w:val="0"/>
                <w:bCs w:val="0"/>
                <w:sz w:val="21"/>
                <w:szCs w:val="21"/>
                <w:lang w:val="en-US" w:eastAsia="zh-CN"/>
              </w:rPr>
              <w:t>、化工运行部、</w:t>
            </w:r>
            <w:r>
              <w:rPr>
                <w:rFonts w:hint="eastAsia" w:ascii="宋体" w:hAnsi="宋体" w:eastAsia="宋体" w:cs="Times New Roman"/>
                <w:b w:val="0"/>
                <w:bCs w:val="0"/>
                <w:sz w:val="21"/>
                <w:szCs w:val="21"/>
                <w:lang w:val="en-US" w:eastAsia="zh-CN"/>
              </w:rPr>
              <w:t>储运运行部</w:t>
            </w:r>
            <w:r>
              <w:rPr>
                <w:rFonts w:hint="eastAsia" w:ascii="宋体" w:hAnsi="宋体" w:cs="Times New Roman"/>
                <w:b w:val="0"/>
                <w:bCs w:val="0"/>
                <w:sz w:val="21"/>
                <w:szCs w:val="21"/>
                <w:lang w:val="en-US" w:eastAsia="zh-CN"/>
              </w:rPr>
              <w:t>、水务运行部</w:t>
            </w:r>
            <w:r>
              <w:rPr>
                <w:rFonts w:hint="eastAsia" w:eastAsia="宋体" w:cs="Times New Roman"/>
                <w:kern w:val="2"/>
                <w:sz w:val="21"/>
                <w:szCs w:val="22"/>
                <w:lang w:val="en-US" w:eastAsia="zh-CN" w:bidi="ar-SA"/>
              </w:rPr>
              <w:t>等数据分析记录。</w:t>
            </w:r>
          </w:p>
          <w:p>
            <w:pP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2"/>
                <w:lang w:val="en-US" w:eastAsia="zh-CN" w:bidi="ar-SA"/>
              </w:rPr>
              <w:t>基本符合要求。</w:t>
            </w:r>
          </w:p>
        </w:tc>
        <w:tc>
          <w:tcPr>
            <w:tcW w:w="1585" w:type="dxa"/>
            <w:vAlign w:val="top"/>
          </w:tcPr>
          <w:p>
            <w:pPr>
              <w:rPr>
                <w:rFonts w:hint="eastAsia"/>
                <w:sz w:val="21"/>
                <w:szCs w:val="21"/>
                <w:lang w:val="en-US" w:eastAsia="zh-CN"/>
              </w:rPr>
            </w:pPr>
            <w:r>
              <w:rPr>
                <w:rFonts w:hint="eastAsia"/>
                <w:sz w:val="21"/>
                <w:szCs w:val="21"/>
                <w:lang w:eastAsia="zh-CN"/>
              </w:rPr>
              <w:t>☑</w:t>
            </w:r>
            <w:r>
              <w:rPr>
                <w:rFonts w:hint="eastAsia"/>
                <w:sz w:val="21"/>
                <w:szCs w:val="21"/>
                <w:lang w:val="en-US" w:eastAsia="zh-CN"/>
              </w:rPr>
              <w:t>符合</w:t>
            </w:r>
          </w:p>
          <w:p>
            <w:pPr>
              <w:rPr>
                <w:rFonts w:hint="eastAsia" w:ascii="Times New Roman" w:hAnsi="Times New Roman" w:eastAsia="宋体" w:cs="Times New Roman"/>
                <w:kern w:val="2"/>
                <w:sz w:val="21"/>
                <w:szCs w:val="21"/>
                <w:lang w:val="en-US" w:eastAsia="zh-CN" w:bidi="ar-SA"/>
              </w:rPr>
            </w:pPr>
            <w:r>
              <w:rPr>
                <w:rFonts w:hint="eastAsia"/>
                <w:sz w:val="21"/>
                <w:szCs w:val="21"/>
              </w:rPr>
              <w:t>□</w:t>
            </w:r>
            <w:r>
              <w:rPr>
                <w:rFonts w:hint="eastAsia" w:ascii="Times New Roman" w:hAnsi="Times New Roman" w:eastAsia="宋体" w:cs="Times New Roman"/>
                <w:kern w:val="2"/>
                <w:sz w:val="21"/>
                <w:szCs w:val="21"/>
                <w:lang w:val="en-US" w:eastAsia="zh-CN" w:bidi="ar-SA"/>
              </w:rPr>
              <w:t>不符合</w:t>
            </w:r>
          </w:p>
          <w:p>
            <w:pPr>
              <w:rPr>
                <w:sz w:val="21"/>
                <w:szCs w:val="21"/>
              </w:rPr>
            </w:pPr>
          </w:p>
        </w:tc>
      </w:tr>
    </w:tbl>
    <w:p>
      <w:pPr>
        <w:pStyle w:val="10"/>
        <w:rPr>
          <w:rFonts w:hint="eastAsia"/>
        </w:rPr>
      </w:pPr>
    </w:p>
    <w:p>
      <w:pPr>
        <w:pStyle w:val="10"/>
        <w:rPr>
          <w:rFonts w:hint="eastAsia"/>
        </w:rPr>
      </w:pPr>
    </w:p>
    <w:p>
      <w:pPr>
        <w:pStyle w:val="10"/>
        <w:rPr>
          <w:rFonts w:hint="eastAsia"/>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6"/>
        <w:tblW w:w="14222"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73"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004" w:type="dxa"/>
            <w:vAlign w:val="center"/>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受审核部门：</w:t>
            </w:r>
            <w:r>
              <w:rPr>
                <w:rFonts w:hint="eastAsia" w:asciiTheme="minorEastAsia" w:hAnsiTheme="minorEastAsia" w:eastAsiaTheme="minorEastAsia"/>
                <w:sz w:val="21"/>
                <w:szCs w:val="21"/>
                <w:lang w:val="en-US" w:eastAsia="zh-CN"/>
              </w:rPr>
              <w:t>信息中心</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主管领导</w:t>
            </w:r>
            <w:r>
              <w:rPr>
                <w:rFonts w:hint="eastAsia" w:asciiTheme="minorEastAsia" w:hAnsiTheme="minorEastAsia" w:eastAsiaTheme="minorEastAsia"/>
                <w:sz w:val="21"/>
                <w:szCs w:val="21"/>
                <w:highlight w:val="none"/>
              </w:rPr>
              <w:t>：</w:t>
            </w:r>
            <w:r>
              <w:rPr>
                <w:rFonts w:hint="eastAsia" w:eastAsia="华文宋体"/>
                <w:sz w:val="21"/>
                <w:szCs w:val="21"/>
                <w:lang w:val="en-US" w:eastAsia="zh-CN"/>
              </w:rPr>
              <w:t>帅增顺</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陪同人员：</w:t>
            </w:r>
            <w:r>
              <w:rPr>
                <w:rFonts w:hint="eastAsia" w:asciiTheme="minorEastAsia" w:hAnsiTheme="minorEastAsia" w:eastAsiaTheme="minorEastAsia"/>
                <w:sz w:val="21"/>
                <w:szCs w:val="21"/>
                <w:highlight w:val="none"/>
                <w:lang w:val="en-US" w:eastAsia="zh-CN"/>
              </w:rPr>
              <w:t>杨雷波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before="1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审核员：</w:t>
            </w:r>
            <w:r>
              <w:rPr>
                <w:rFonts w:hint="eastAsia" w:asciiTheme="minorEastAsia" w:hAnsiTheme="minorEastAsia" w:eastAsiaTheme="minorEastAsia"/>
                <w:sz w:val="21"/>
                <w:szCs w:val="21"/>
                <w:lang w:val="en-US" w:eastAsia="zh-CN"/>
              </w:rPr>
              <w:t xml:space="preserve">范玲玲      </w:t>
            </w:r>
            <w:r>
              <w:rPr>
                <w:rFonts w:hint="eastAsia"/>
                <w:sz w:val="21"/>
                <w:szCs w:val="21"/>
                <w:lang w:val="en-US" w:eastAsia="zh-CN"/>
              </w:rPr>
              <w:t>（远程）审核工具：微信视频、电话、文件传输</w:t>
            </w:r>
            <w:r>
              <w:rPr>
                <w:rFonts w:hint="eastAsia" w:asciiTheme="minorEastAsia" w:hAnsiTheme="minorEastAsia" w:eastAsiaTheme="minorEastAsia"/>
                <w:sz w:val="21"/>
                <w:szCs w:val="21"/>
                <w:lang w:val="en-US" w:eastAsia="zh-CN"/>
              </w:rPr>
              <w:t xml:space="preserve">  </w:t>
            </w:r>
          </w:p>
          <w:p>
            <w:pPr>
              <w:spacing w:before="120"/>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审核时间：</w:t>
            </w:r>
            <w:r>
              <w:rPr>
                <w:rFonts w:asciiTheme="minorEastAsia" w:hAnsiTheme="minorEastAsia" w:eastAsiaTheme="minorEastAsia"/>
                <w:sz w:val="21"/>
                <w:szCs w:val="21"/>
              </w:rPr>
              <w:t>2022年</w:t>
            </w:r>
            <w:r>
              <w:rPr>
                <w:rFonts w:hint="eastAsia" w:asciiTheme="minorEastAsia" w:hAnsiTheme="minorEastAsia" w:eastAsiaTheme="minorEastAsia"/>
                <w:sz w:val="21"/>
                <w:szCs w:val="21"/>
                <w:lang w:val="en-US" w:eastAsia="zh-CN"/>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line="30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审核条款：</w:t>
            </w:r>
            <w:r>
              <w:rPr>
                <w:rFonts w:hint="eastAsia" w:ascii="Times New Roman" w:hAnsi="Times New Roman" w:eastAsia="宋体" w:cs="Times New Roman"/>
                <w:sz w:val="21"/>
                <w:szCs w:val="21"/>
                <w:highlight w:val="none"/>
                <w:lang w:val="en-US" w:eastAsia="zh-CN"/>
              </w:rPr>
              <w:t>EnMS:5.3/6.2/7.4/8.1/10.1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73" w:type="dxa"/>
            <w:vAlign w:val="top"/>
          </w:tcPr>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部门能源职责权限</w:t>
            </w:r>
          </w:p>
        </w:tc>
        <w:tc>
          <w:tcPr>
            <w:tcW w:w="960" w:type="dxa"/>
            <w:vAlign w:val="top"/>
          </w:tcPr>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vAlign w:val="center"/>
          </w:tcPr>
          <w:p>
            <w:pPr>
              <w:spacing w:line="240" w:lineRule="auto"/>
              <w:rPr>
                <w:rFonts w:hint="eastAsia" w:ascii="宋体" w:hAnsi="宋体" w:eastAsia="宋体" w:cs="宋体"/>
                <w:b w:val="0"/>
                <w:bCs w:val="0"/>
                <w:color w:val="auto"/>
                <w:szCs w:val="22"/>
                <w:u w:val="none"/>
                <w:lang w:val="en-US" w:eastAsia="zh-CN"/>
              </w:rPr>
            </w:pPr>
            <w:r>
              <w:rPr>
                <w:rFonts w:hint="eastAsia" w:ascii="宋体" w:hAnsi="宋体" w:eastAsia="宋体" w:cs="宋体"/>
                <w:b w:val="0"/>
                <w:bCs w:val="0"/>
                <w:color w:val="auto"/>
                <w:sz w:val="21"/>
                <w:szCs w:val="21"/>
                <w:u w:val="none"/>
                <w:lang w:val="en-US" w:eastAsia="zh-CN"/>
              </w:rPr>
              <w:t>信息中心</w:t>
            </w:r>
            <w:r>
              <w:rPr>
                <w:rFonts w:hint="eastAsia" w:ascii="宋体" w:hAnsi="宋体" w:eastAsia="宋体" w:cs="宋体"/>
                <w:b w:val="0"/>
                <w:bCs w:val="0"/>
                <w:color w:val="auto"/>
                <w:szCs w:val="22"/>
                <w:u w:val="none"/>
                <w:lang w:val="en-US" w:eastAsia="zh-CN"/>
              </w:rPr>
              <w:t>领导</w:t>
            </w:r>
            <w:r>
              <w:rPr>
                <w:rFonts w:hint="eastAsia" w:ascii="宋体" w:hAnsi="宋体" w:eastAsia="宋体" w:cs="宋体"/>
                <w:b w:val="0"/>
                <w:bCs w:val="0"/>
                <w:color w:val="auto"/>
                <w:sz w:val="21"/>
                <w:szCs w:val="21"/>
                <w:u w:val="none"/>
                <w:lang w:val="en-US" w:eastAsia="zh-CN"/>
              </w:rPr>
              <w:t>帅增顺</w:t>
            </w:r>
            <w:r>
              <w:rPr>
                <w:rFonts w:hint="eastAsia" w:ascii="宋体" w:hAnsi="宋体" w:eastAsia="宋体" w:cs="宋体"/>
                <w:b w:val="0"/>
                <w:bCs w:val="0"/>
                <w:color w:val="auto"/>
                <w:szCs w:val="22"/>
                <w:u w:val="none"/>
                <w:lang w:val="en-US" w:eastAsia="zh-CN"/>
              </w:rPr>
              <w:t>介绍：中心设置机房与IT基础设施、网络管理、信息安全、IT项目管理、系统应用与运维、软件开发等岗位，主要</w:t>
            </w:r>
            <w:r>
              <w:rPr>
                <w:rFonts w:hint="eastAsia" w:ascii="宋体" w:hAnsi="宋体" w:eastAsia="宋体" w:cs="宋体"/>
                <w:b w:val="0"/>
                <w:bCs w:val="0"/>
                <w:color w:val="auto"/>
                <w:sz w:val="21"/>
                <w:szCs w:val="21"/>
                <w:u w:val="none"/>
              </w:rPr>
              <w:t>负责节能工业化与信息化融合相关工作</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rPr>
              <w:t>负责能源管理、流程优化系统等管理信息系统的建设、管理和运行维护相关工作，不断提升相关信息系统的可靠性，提升能源管理信息化水平</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rPr>
              <w:t>负责能耗在线监测系统正常运行，保证数据正常传输</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rPr>
              <w:t>负责配合能源及碳排放相关检查、核查中所需数据及材料的提供及说明工作</w:t>
            </w:r>
            <w:r>
              <w:rPr>
                <w:rFonts w:hint="eastAsia" w:ascii="宋体" w:hAnsi="宋体" w:eastAsia="宋体" w:cs="宋体"/>
                <w:b w:val="0"/>
                <w:bCs w:val="0"/>
                <w:color w:val="auto"/>
                <w:szCs w:val="22"/>
                <w:u w:val="none"/>
                <w:lang w:val="en-US" w:eastAsia="zh-CN"/>
              </w:rPr>
              <w:t>等。主管领导</w:t>
            </w:r>
            <w:r>
              <w:rPr>
                <w:rFonts w:hint="eastAsia" w:ascii="宋体" w:hAnsi="宋体" w:eastAsia="宋体" w:cs="宋体"/>
                <w:b w:val="0"/>
                <w:bCs w:val="0"/>
                <w:color w:val="auto"/>
                <w:sz w:val="21"/>
                <w:szCs w:val="21"/>
                <w:u w:val="none"/>
                <w:lang w:val="en-US" w:eastAsia="zh-CN"/>
              </w:rPr>
              <w:t>帅增顺</w:t>
            </w:r>
            <w:r>
              <w:rPr>
                <w:rFonts w:hint="eastAsia" w:ascii="宋体" w:hAnsi="宋体" w:eastAsia="宋体" w:cs="宋体"/>
                <w:b w:val="0"/>
                <w:bCs w:val="0"/>
                <w:color w:val="auto"/>
                <w:szCs w:val="22"/>
                <w:u w:val="none"/>
                <w:lang w:val="en-US" w:eastAsia="zh-CN"/>
              </w:rPr>
              <w:t>对职责清楚。</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b w:val="0"/>
                <w:bCs w:val="0"/>
                <w:color w:val="auto"/>
                <w:szCs w:val="22"/>
                <w:u w:val="none"/>
                <w:lang w:val="en-US" w:eastAsia="zh-CN"/>
              </w:rPr>
            </w:pPr>
            <w:r>
              <w:rPr>
                <w:rFonts w:hint="eastAsia" w:ascii="宋体" w:hAnsi="宋体" w:eastAsia="宋体" w:cs="宋体"/>
                <w:b w:val="0"/>
                <w:bCs w:val="0"/>
                <w:color w:val="auto"/>
                <w:szCs w:val="22"/>
                <w:u w:val="none"/>
                <w:lang w:val="en-US" w:eastAsia="zh-CN"/>
              </w:rPr>
              <w:t>内容基本符合要求。</w:t>
            </w:r>
          </w:p>
          <w:p>
            <w:pPr>
              <w:pStyle w:val="2"/>
              <w:spacing w:line="240" w:lineRule="auto"/>
              <w:ind w:left="0" w:leftChars="0" w:firstLine="0" w:firstLineChars="0"/>
              <w:rPr>
                <w:rFonts w:hint="default" w:eastAsia="宋体"/>
                <w:lang w:val="en-US" w:eastAsia="zh-CN"/>
              </w:rPr>
            </w:pPr>
            <w:r>
              <w:rPr>
                <w:rFonts w:hint="default" w:eastAsia="宋体"/>
                <w:lang w:val="en-US" w:eastAsia="zh-CN"/>
              </w:rPr>
              <w:drawing>
                <wp:inline distT="0" distB="0" distL="114300" distR="114300">
                  <wp:extent cx="1044575" cy="1465580"/>
                  <wp:effectExtent l="0" t="0" r="9525" b="7620"/>
                  <wp:docPr id="3" name="图片 3" descr="cfecf6b2def28e41e2ff05f36e244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fecf6b2def28e41e2ff05f36e244d2"/>
                          <pic:cNvPicPr>
                            <a:picLocks noChangeAspect="1"/>
                          </pic:cNvPicPr>
                        </pic:nvPicPr>
                        <pic:blipFill>
                          <a:blip r:embed="rId8"/>
                          <a:stretch>
                            <a:fillRect/>
                          </a:stretch>
                        </pic:blipFill>
                        <pic:spPr>
                          <a:xfrm>
                            <a:off x="0" y="0"/>
                            <a:ext cx="1044575" cy="1465580"/>
                          </a:xfrm>
                          <a:prstGeom prst="rect">
                            <a:avLst/>
                          </a:prstGeom>
                        </pic:spPr>
                      </pic:pic>
                    </a:graphicData>
                  </a:graphic>
                </wp:inline>
              </w:drawing>
            </w:r>
            <w:r>
              <w:rPr>
                <w:rFonts w:hint="eastAsia" w:eastAsia="宋体"/>
                <w:lang w:val="en-US" w:eastAsia="zh-CN"/>
              </w:rPr>
              <w:t xml:space="preserve"> </w:t>
            </w:r>
            <w:r>
              <w:rPr>
                <w:rFonts w:hint="default" w:eastAsia="宋体"/>
                <w:lang w:val="en-US" w:eastAsia="zh-CN"/>
              </w:rPr>
              <w:drawing>
                <wp:inline distT="0" distB="0" distL="114300" distR="114300">
                  <wp:extent cx="1487170" cy="1469390"/>
                  <wp:effectExtent l="0" t="0" r="11430" b="3810"/>
                  <wp:docPr id="5" name="图片 5" descr="167218876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2188761641"/>
                          <pic:cNvPicPr>
                            <a:picLocks noChangeAspect="1"/>
                          </pic:cNvPicPr>
                        </pic:nvPicPr>
                        <pic:blipFill>
                          <a:blip r:embed="rId9"/>
                          <a:stretch>
                            <a:fillRect/>
                          </a:stretch>
                        </pic:blipFill>
                        <pic:spPr>
                          <a:xfrm>
                            <a:off x="0" y="0"/>
                            <a:ext cx="1487170" cy="1469390"/>
                          </a:xfrm>
                          <a:prstGeom prst="rect">
                            <a:avLst/>
                          </a:prstGeom>
                        </pic:spPr>
                      </pic:pic>
                    </a:graphicData>
                  </a:graphic>
                </wp:inline>
              </w:drawing>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3" w:type="dxa"/>
          </w:tcPr>
          <w:p>
            <w:pPr>
              <w:rPr>
                <w:rFonts w:hint="default" w:eastAsia="宋体"/>
                <w:lang w:val="en-US" w:eastAsia="zh-CN"/>
              </w:rPr>
            </w:pPr>
            <w:r>
              <w:rPr>
                <w:rFonts w:hint="eastAsia"/>
                <w:color w:val="000000"/>
                <w:szCs w:val="21"/>
                <w:lang w:val="en-US" w:eastAsia="zh-CN"/>
              </w:rPr>
              <w:t>能源</w:t>
            </w:r>
            <w:r>
              <w:rPr>
                <w:rFonts w:hint="eastAsia"/>
                <w:color w:val="000000"/>
                <w:szCs w:val="21"/>
              </w:rPr>
              <w:t>目标</w:t>
            </w:r>
          </w:p>
        </w:tc>
        <w:tc>
          <w:tcPr>
            <w:tcW w:w="960" w:type="dxa"/>
          </w:tcPr>
          <w:p>
            <w:pPr>
              <w:rPr>
                <w:rFonts w:hint="default" w:eastAsia="宋体"/>
                <w:lang w:val="en-US" w:eastAsia="zh-CN"/>
              </w:rPr>
            </w:pPr>
            <w:r>
              <w:rPr>
                <w:rFonts w:hint="eastAsia"/>
                <w:color w:val="000000"/>
                <w:szCs w:val="21"/>
              </w:rPr>
              <w:t>En6.2</w:t>
            </w:r>
          </w:p>
        </w:tc>
        <w:tc>
          <w:tcPr>
            <w:tcW w:w="10004" w:type="dxa"/>
          </w:tcPr>
          <w:p>
            <w:pPr>
              <w:rPr>
                <w:rFonts w:hint="default" w:eastAsia="宋体"/>
                <w:lang w:val="en-US" w:eastAsia="zh-CN"/>
              </w:rPr>
            </w:pPr>
            <w:r>
              <w:rPr>
                <w:rFonts w:hint="eastAsia"/>
                <w:highlight w:val="none"/>
                <w:lang w:val="en-US" w:eastAsia="zh-CN"/>
              </w:rPr>
              <w:t>为保证公司能源目标：该部门制定绩效指标，提供2022年11月份绩效指标完成情况，详见下图，经查符合要求。</w:t>
            </w:r>
          </w:p>
          <w:p>
            <w:pPr>
              <w:rPr>
                <w:rFonts w:hint="eastAsia" w:eastAsia="宋体"/>
                <w:lang w:eastAsia="zh-CN"/>
              </w:rPr>
            </w:pPr>
            <w:r>
              <w:rPr>
                <w:rFonts w:hint="eastAsia" w:eastAsia="宋体"/>
                <w:lang w:eastAsia="zh-CN"/>
              </w:rPr>
              <w:drawing>
                <wp:inline distT="0" distB="0" distL="114300" distR="114300">
                  <wp:extent cx="1468120" cy="1311275"/>
                  <wp:effectExtent l="0" t="0" r="5080" b="9525"/>
                  <wp:docPr id="6" name="图片 6" descr="f097a18d176c6f0b4c18f79ed01a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097a18d176c6f0b4c18f79ed01a69a"/>
                          <pic:cNvPicPr>
                            <a:picLocks noChangeAspect="1"/>
                          </pic:cNvPicPr>
                        </pic:nvPicPr>
                        <pic:blipFill>
                          <a:blip r:embed="rId10"/>
                          <a:stretch>
                            <a:fillRect/>
                          </a:stretch>
                        </pic:blipFill>
                        <pic:spPr>
                          <a:xfrm>
                            <a:off x="0" y="0"/>
                            <a:ext cx="1468120" cy="1311275"/>
                          </a:xfrm>
                          <a:prstGeom prst="rect">
                            <a:avLst/>
                          </a:prstGeom>
                        </pic:spPr>
                      </pic:pic>
                    </a:graphicData>
                  </a:graphic>
                </wp:inline>
              </w:drawing>
            </w:r>
          </w:p>
        </w:tc>
        <w:tc>
          <w:tcPr>
            <w:tcW w:w="1585" w:type="dxa"/>
            <w:vAlign w:val="top"/>
          </w:tcPr>
          <w:p>
            <w:pPr>
              <w:rPr>
                <w:rFonts w:hint="eastAsia"/>
                <w:lang w:val="en-US" w:eastAsia="zh-CN"/>
              </w:rPr>
            </w:pPr>
            <w:r>
              <w:rPr>
                <w:rFonts w:hint="eastAsia"/>
                <w:lang w:eastAsia="zh-CN"/>
              </w:rPr>
              <w:sym w:font="Wingdings 2" w:char="00A3"/>
            </w:r>
            <w:r>
              <w:rPr>
                <w:rFonts w:hint="eastAsia"/>
                <w:lang w:val="en-US" w:eastAsia="zh-CN"/>
              </w:rPr>
              <w:t>不符合</w:t>
            </w:r>
          </w:p>
          <w:p>
            <w:pPr>
              <w:rPr>
                <w:rFonts w:hint="eastAsia" w:ascii="Times New Roman" w:hAnsi="Times New Roman" w:eastAsia="宋体" w:cs="Times New Roman"/>
                <w:kern w:val="2"/>
                <w:sz w:val="21"/>
                <w:lang w:val="en-US" w:eastAsia="zh-CN" w:bidi="ar-SA"/>
              </w:rPr>
            </w:pPr>
            <w:r>
              <w:rPr>
                <w:rFonts w:hint="eastAsia"/>
              </w:rPr>
              <w:sym w:font="Wingdings 2" w:char="0052"/>
            </w: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资金支持/运行</w:t>
            </w:r>
          </w:p>
        </w:tc>
        <w:tc>
          <w:tcPr>
            <w:tcW w:w="960" w:type="dxa"/>
            <w:vAlign w:val="top"/>
          </w:tcPr>
          <w:p>
            <w:pPr>
              <w:pStyle w:val="21"/>
              <w:rPr>
                <w:rFonts w:hint="default" w:ascii="Times New Roman" w:hAnsi="Times New Roman" w:eastAsia="宋体" w:cs="Times New Roman"/>
                <w:bCs/>
                <w:spacing w:val="10"/>
                <w:kern w:val="2"/>
                <w:sz w:val="21"/>
                <w:lang w:val="en-US" w:eastAsia="zh-CN" w:bidi="ar-SA"/>
              </w:rPr>
            </w:pPr>
            <w:r>
              <w:rPr>
                <w:rFonts w:hint="eastAsia"/>
                <w:lang w:val="en-US" w:eastAsia="zh-CN"/>
              </w:rPr>
              <w:t>En8.1</w:t>
            </w:r>
          </w:p>
        </w:tc>
        <w:tc>
          <w:tcPr>
            <w:tcW w:w="10004" w:type="dxa"/>
            <w:vAlign w:val="top"/>
          </w:tcPr>
          <w:p>
            <w:pPr>
              <w:pStyle w:val="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u w:val="none"/>
                <w:lang w:val="en-US" w:eastAsia="zh-CN"/>
              </w:rPr>
              <w:sym w:font="Wingdings" w:char="00FE"/>
            </w:r>
            <w:r>
              <w:rPr>
                <w:rFonts w:hint="eastAsia" w:asciiTheme="minorEastAsia" w:hAnsiTheme="minorEastAsia" w:eastAsiaTheme="minorEastAsia" w:cstheme="minorEastAsia"/>
                <w:sz w:val="21"/>
                <w:szCs w:val="21"/>
                <w:u w:val="none"/>
                <w:lang w:val="en-US" w:eastAsia="zh-CN"/>
              </w:rPr>
              <w:t>手册第8.4</w:t>
            </w:r>
            <w:r>
              <w:rPr>
                <w:rStyle w:val="19"/>
                <w:rFonts w:ascii="Times New Roman"/>
                <w:color w:val="auto"/>
                <w:u w:val="none"/>
              </w:rPr>
              <w:t>能源策划和控制</w:t>
            </w:r>
            <w:r>
              <w:rPr>
                <w:rFonts w:hint="eastAsia" w:asciiTheme="minorEastAsia" w:hAnsiTheme="minorEastAsia" w:eastAsiaTheme="minorEastAsia" w:cstheme="minorEastAsia"/>
                <w:sz w:val="21"/>
                <w:szCs w:val="21"/>
                <w:u w:val="none"/>
                <w:lang w:val="en-US" w:eastAsia="zh-CN"/>
              </w:rPr>
              <w:t>条款有规定</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1.节约用电的控制：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随手关灯、</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下班前关闭电源、</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控制空调温度（夏季≥26℃；冬季≤20℃）</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2.节约用水的控制：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随手关水龙头  </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使用节水龙头及马桶</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3.节约用纸的控制：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纸张双面使用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尽量采用电子版文件</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信息中心用能主要是办公用能。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该部门要求员工照明灯不用时及时将电源关闭， 电脑不使用时及时将电源关闭，电脑设置休眠功能，夏天空调设置26度以上。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default" w:ascii="Times New Roman" w:hAnsi="Times New Roman" w:eastAsia="宋体" w:cs="Times New Roman"/>
                <w:bCs w:val="0"/>
                <w:color w:val="0000FF"/>
                <w:spacing w:val="0"/>
                <w:kern w:val="2"/>
                <w:sz w:val="21"/>
                <w:szCs w:val="22"/>
                <w:lang w:val="en-US" w:eastAsia="zh-CN" w:bidi="ar-SA"/>
              </w:rPr>
            </w:pPr>
            <w:r>
              <w:rPr>
                <w:rFonts w:hint="eastAsia" w:asciiTheme="minorEastAsia" w:hAnsiTheme="minorEastAsia" w:eastAsiaTheme="minorEastAsia" w:cstheme="minorEastAsia"/>
                <w:sz w:val="21"/>
                <w:szCs w:val="21"/>
                <w:lang w:val="en-US" w:eastAsia="zh-CN"/>
              </w:rPr>
              <w:t>办公区张贴节约用电和节约用水的宣传标识。能够做到人走灯息、空调在26度以上。</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Align w:val="top"/>
          </w:tcPr>
          <w:p>
            <w:pPr>
              <w:rPr>
                <w:rFonts w:ascii="Times New Roman" w:hAnsi="Times New Roman" w:eastAsia="宋体" w:cs="Times New Roman"/>
                <w:kern w:val="2"/>
                <w:sz w:val="21"/>
                <w:lang w:val="en-US" w:eastAsia="zh-CN" w:bidi="ar-SA"/>
              </w:rPr>
            </w:pPr>
            <w:r>
              <w:rPr>
                <w:rFonts w:hint="eastAsia"/>
              </w:rPr>
              <w:t>信息交流</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rPr>
              <w:t>En</w:t>
            </w:r>
            <w:r>
              <w:t>7</w:t>
            </w:r>
            <w:r>
              <w:rPr>
                <w:rFonts w:hint="eastAsia"/>
              </w:rPr>
              <w:t>.</w:t>
            </w:r>
            <w:r>
              <w:t>4</w:t>
            </w:r>
          </w:p>
        </w:tc>
        <w:tc>
          <w:tcPr>
            <w:tcW w:w="10004" w:type="dxa"/>
            <w:vAlign w:val="top"/>
          </w:tcPr>
          <w:p>
            <w:pPr>
              <w:pStyle w:val="13"/>
              <w:numPr>
                <w:ilvl w:val="0"/>
                <w:numId w:val="0"/>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在沟通方面，管理手册、</w:t>
            </w:r>
            <w:r>
              <w:rPr>
                <w:rFonts w:hint="eastAsia" w:ascii="Times New Roman" w:hAnsi="宋体" w:cs="Times New Roman"/>
              </w:rPr>
              <w:t>《信息资源管理办法</w:t>
            </w:r>
            <w:r>
              <w:rPr>
                <w:rFonts w:hint="eastAsia" w:hAnsi="宋体"/>
                <w:sz w:val="21"/>
                <w:szCs w:val="21"/>
              </w:rPr>
              <w:t>》</w:t>
            </w:r>
            <w:r>
              <w:rPr>
                <w:rFonts w:hint="eastAsia" w:ascii="Times New Roman" w:hAnsi="宋体" w:cs="Times New Roman"/>
                <w:lang w:val="en-US" w:eastAsia="zh-CN"/>
              </w:rPr>
              <w:t>、</w:t>
            </w:r>
            <w:r>
              <w:rPr>
                <w:rFonts w:hint="eastAsia" w:hAnsi="宋体"/>
                <w:sz w:val="21"/>
                <w:szCs w:val="21"/>
              </w:rPr>
              <w:t>《沟通与协商管理办法》</w:t>
            </w:r>
            <w:r>
              <w:rPr>
                <w:rFonts w:hint="eastAsia" w:hAnsi="宋体"/>
                <w:sz w:val="21"/>
                <w:szCs w:val="21"/>
                <w:lang w:val="en-US" w:eastAsia="zh-CN"/>
              </w:rPr>
              <w:t>等</w:t>
            </w:r>
            <w:r>
              <w:rPr>
                <w:rFonts w:hint="eastAsia"/>
                <w:color w:val="000000" w:themeColor="text1"/>
                <w:lang w:val="en-US" w:eastAsia="zh-CN"/>
                <w14:textFill>
                  <w14:solidFill>
                    <w14:schemeClr w14:val="tx1"/>
                  </w14:solidFill>
                </w14:textFill>
              </w:rPr>
              <w:t>文件中公司均有相应的规定。</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外部信息指有关的法律法规，上级部门、顾客、供方及其他相关方的信息,由各部门根据职责分工在公司内部及外部相关方之间进行传递和沟通，主要包括：</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 来源于认证机构、节能行政主管部门、节能监察机构及能源监测机构监督、检查或监测的结果及反馈的有关信息；</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b) 法律法规、标准类信息；</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 来源于顾客、供方及其他相关方的信息。</w:t>
            </w:r>
          </w:p>
          <w:p>
            <w:pPr>
              <w:pStyle w:val="32"/>
              <w:spacing w:line="36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公司内部</w:t>
            </w:r>
            <w:r>
              <w:rPr>
                <w:rFonts w:hint="eastAsia" w:ascii="Times New Roman" w:hAnsi="宋体" w:cs="Times New Roman"/>
              </w:rPr>
              <w:t>公司确定与管理体系相关的内部沟通需求，建立并实施《信息资源管理办法》，包括：沟通的内容、沟通的时机、沟通的对象、如何沟通（包括沟通的方法、工具和途径）。公司建立职工代表大会制度，推行厂务公开、民主管理，开展职业健康安全危险源识别和风险评价等活动，提供员工参与协商沟通渠道，确保员工权益得到保障。</w:t>
            </w:r>
            <w:r>
              <w:rPr>
                <w:rFonts w:hint="eastAsia"/>
                <w:color w:val="000000" w:themeColor="text1"/>
                <w:lang w:val="en-US" w:eastAsia="zh-CN"/>
                <w14:textFill>
                  <w14:solidFill>
                    <w14:schemeClr w14:val="tx1"/>
                  </w14:solidFill>
                </w14:textFill>
              </w:rPr>
              <w:t>公司沟通还包括：会议、电话、网络、文件、专题会议等。</w:t>
            </w:r>
          </w:p>
          <w:p>
            <w:pPr>
              <w:numPr>
                <w:ilvl w:val="0"/>
                <w:numId w:val="0"/>
              </w:numPr>
              <w:ind w:firstLine="420" w:firstLineChars="200"/>
              <w:rPr>
                <w:rFonts w:hint="eastAsia" w:ascii="Times New Roman" w:hAnsi="Times New Roman" w:eastAsia="宋体" w:cs="Times New Roman"/>
                <w:kern w:val="2"/>
                <w:sz w:val="21"/>
                <w:lang w:val="en-US" w:eastAsia="zh-CN" w:bidi="ar-SA"/>
              </w:rPr>
            </w:pPr>
            <w:r>
              <w:rPr>
                <w:rFonts w:hint="eastAsia"/>
                <w:color w:val="000000" w:themeColor="text1"/>
                <w:lang w:eastAsia="zh-CN"/>
                <w14:textFill>
                  <w14:solidFill>
                    <w14:schemeClr w14:val="tx1"/>
                  </w14:solidFill>
                </w14:textFill>
              </w:rPr>
              <w:t>公司内外部信息沟通保持了畅通。</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highlight w:val="none"/>
              </w:rPr>
              <w:t>不符合与纠正措施</w:t>
            </w:r>
          </w:p>
        </w:tc>
        <w:tc>
          <w:tcPr>
            <w:tcW w:w="960" w:type="dxa"/>
            <w:vAlign w:val="top"/>
          </w:tcPr>
          <w:p>
            <w:pPr>
              <w:pStyle w:val="21"/>
              <w:rPr>
                <w:rFonts w:hint="default"/>
                <w:highlight w:val="none"/>
                <w:lang w:val="en-US" w:eastAsia="zh-CN"/>
              </w:rPr>
            </w:pPr>
            <w:r>
              <w:rPr>
                <w:rFonts w:hint="eastAsia"/>
                <w:highlight w:val="none"/>
                <w:lang w:val="en-US" w:eastAsia="zh-CN"/>
              </w:rPr>
              <w:t>En10.1</w:t>
            </w:r>
          </w:p>
          <w:p>
            <w:pPr>
              <w:pStyle w:val="21"/>
              <w:rPr>
                <w:rFonts w:ascii="Times New Roman" w:hAnsi="Times New Roman" w:eastAsia="宋体" w:cs="Times New Roman"/>
                <w:kern w:val="2"/>
                <w:sz w:val="21"/>
                <w:lang w:val="en-US" w:eastAsia="zh-CN" w:bidi="ar-SA"/>
              </w:rPr>
            </w:pPr>
          </w:p>
        </w:tc>
        <w:tc>
          <w:tcPr>
            <w:tcW w:w="10004" w:type="dxa"/>
            <w:vAlign w:val="top"/>
          </w:tcPr>
          <w:p>
            <w:pPr>
              <w:rPr>
                <w:rFonts w:ascii="宋体" w:hAnsi="宋体" w:cs="宋体"/>
                <w:sz w:val="21"/>
                <w:szCs w:val="21"/>
              </w:rPr>
            </w:pPr>
            <w:r>
              <w:rPr>
                <w:rFonts w:hint="eastAsia" w:ascii="宋体" w:hAnsi="宋体" w:cs="宋体"/>
                <w:sz w:val="21"/>
                <w:szCs w:val="21"/>
              </w:rPr>
              <w:t>公司</w:t>
            </w:r>
            <w:r>
              <w:rPr>
                <w:rFonts w:hint="eastAsia" w:ascii="宋体" w:hAnsi="宋体" w:cs="宋体"/>
                <w:sz w:val="21"/>
                <w:szCs w:val="21"/>
                <w:lang w:val="en-US" w:eastAsia="zh-CN"/>
              </w:rPr>
              <w:t>管理手册10.1中</w:t>
            </w:r>
            <w:r>
              <w:rPr>
                <w:rFonts w:hint="eastAsia" w:ascii="宋体" w:hAnsi="宋体" w:cs="宋体"/>
                <w:sz w:val="21"/>
                <w:szCs w:val="21"/>
              </w:rPr>
              <w:t>，规定了纠正措施的来源,明确了对不合格项应进行原因分析,制定纠正措施计划,实施跟踪验证,确保所采取 的纠正措施满足预期要求。</w:t>
            </w:r>
          </w:p>
          <w:p>
            <w:pPr>
              <w:rPr>
                <w:rFonts w:ascii="宋体" w:hAnsi="宋体" w:cs="宋体"/>
                <w:sz w:val="21"/>
                <w:szCs w:val="21"/>
              </w:rPr>
            </w:pPr>
            <w:r>
              <w:rPr>
                <w:rFonts w:hint="eastAsia" w:ascii="宋体" w:hAnsi="宋体" w:cs="宋体"/>
                <w:sz w:val="21"/>
                <w:szCs w:val="21"/>
              </w:rPr>
              <w:t>内审中没有发现的不符合项。</w:t>
            </w:r>
          </w:p>
          <w:p>
            <w:pPr>
              <w:rPr>
                <w:rFonts w:ascii="宋体" w:hAnsi="宋体" w:cs="宋体"/>
                <w:sz w:val="21"/>
                <w:szCs w:val="21"/>
              </w:rPr>
            </w:pPr>
            <w:r>
              <w:rPr>
                <w:rFonts w:hint="eastAsia" w:ascii="宋体" w:hAnsi="宋体" w:cs="宋体"/>
                <w:sz w:val="21"/>
                <w:szCs w:val="21"/>
              </w:rPr>
              <w:t>通过交谈，基本能清楚纠正和预防措施的控制要求。改进的示例包括纠正、纠正措施、持续改进。</w:t>
            </w:r>
          </w:p>
          <w:p>
            <w:pPr>
              <w:rPr>
                <w:rFonts w:ascii="宋体" w:hAnsi="宋体" w:cs="宋体"/>
                <w:sz w:val="21"/>
                <w:szCs w:val="21"/>
              </w:rPr>
            </w:pPr>
            <w:r>
              <w:rPr>
                <w:rFonts w:hint="eastAsia" w:ascii="宋体" w:hAnsi="宋体" w:cs="宋体"/>
                <w:sz w:val="21"/>
                <w:szCs w:val="21"/>
              </w:rPr>
              <w:t>根据不同过程、不同产品和不同要求，采取不同的方法进行监视、测量和分析。无其他不符合发生。</w:t>
            </w:r>
          </w:p>
          <w:p>
            <w:pPr>
              <w:rPr>
                <w:rFonts w:ascii="Times New Roman" w:hAnsi="Times New Roman" w:eastAsia="宋体" w:cs="Times New Roman"/>
                <w:kern w:val="2"/>
                <w:sz w:val="21"/>
                <w:lang w:val="en-US" w:eastAsia="zh-CN" w:bidi="ar-SA"/>
              </w:rPr>
            </w:pPr>
            <w:r>
              <w:rPr>
                <w:rFonts w:hint="eastAsia" w:ascii="宋体" w:hAnsi="宋体" w:cs="宋体"/>
                <w:sz w:val="21"/>
                <w:szCs w:val="21"/>
              </w:rPr>
              <w:t>公司利用En方针、目标、内审和外审、数据分析、纠正和预防措施以及管理评审，识别任何改进的机会，持续改进质量管理体系的适宜性、充分性和有效性。</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tc>
      </w:tr>
    </w:tbl>
    <w:p>
      <w:pPr>
        <w:pStyle w:val="10"/>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bookmarkStart w:id="0" w:name="_GoBack"/>
      <w:bookmarkEnd w:id="0"/>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6"/>
        <w:tblW w:w="14222"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73"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004" w:type="dxa"/>
            <w:vAlign w:val="center"/>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受审核部门：</w:t>
            </w:r>
            <w:r>
              <w:rPr>
                <w:rFonts w:hint="eastAsia" w:asciiTheme="minorEastAsia" w:hAnsiTheme="minorEastAsia" w:eastAsiaTheme="minorEastAsia"/>
                <w:sz w:val="21"/>
                <w:szCs w:val="21"/>
                <w:lang w:val="en-US" w:eastAsia="zh-CN"/>
              </w:rPr>
              <w:t>财务管理部</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主管领导</w:t>
            </w:r>
            <w:r>
              <w:rPr>
                <w:rFonts w:hint="eastAsia" w:asciiTheme="minorEastAsia" w:hAnsiTheme="minorEastAsia" w:eastAsiaTheme="minorEastAsia"/>
                <w:sz w:val="21"/>
                <w:szCs w:val="21"/>
                <w:highlight w:val="none"/>
              </w:rPr>
              <w:t>：</w:t>
            </w:r>
            <w:r>
              <w:rPr>
                <w:rFonts w:hint="eastAsia" w:eastAsia="华文宋体"/>
                <w:sz w:val="21"/>
                <w:szCs w:val="21"/>
                <w:lang w:val="en-US" w:eastAsia="zh-CN"/>
              </w:rPr>
              <w:t>贾勇</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陪同人员：</w:t>
            </w:r>
            <w:r>
              <w:rPr>
                <w:rFonts w:hint="eastAsia" w:asciiTheme="minorEastAsia" w:hAnsiTheme="minorEastAsia" w:eastAsiaTheme="minorEastAsia"/>
                <w:sz w:val="21"/>
                <w:szCs w:val="21"/>
                <w:highlight w:val="none"/>
                <w:lang w:val="en-US" w:eastAsia="zh-CN"/>
              </w:rPr>
              <w:t>杨雷波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before="1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审核员：</w:t>
            </w:r>
            <w:r>
              <w:rPr>
                <w:rFonts w:hint="eastAsia" w:asciiTheme="minorEastAsia" w:hAnsiTheme="minorEastAsia" w:eastAsiaTheme="minorEastAsia"/>
                <w:sz w:val="21"/>
                <w:szCs w:val="21"/>
                <w:lang w:val="en-US" w:eastAsia="zh-CN"/>
              </w:rPr>
              <w:t xml:space="preserve">范玲玲      </w:t>
            </w:r>
            <w:r>
              <w:rPr>
                <w:rFonts w:hint="eastAsia"/>
                <w:sz w:val="21"/>
                <w:szCs w:val="21"/>
                <w:lang w:val="en-US" w:eastAsia="zh-CN"/>
              </w:rPr>
              <w:t>（远程）审核工具：微信视频、电话、文件传输</w:t>
            </w:r>
            <w:r>
              <w:rPr>
                <w:rFonts w:hint="eastAsia" w:asciiTheme="minorEastAsia" w:hAnsiTheme="minorEastAsia" w:eastAsiaTheme="minorEastAsia"/>
                <w:sz w:val="21"/>
                <w:szCs w:val="21"/>
                <w:lang w:val="en-US" w:eastAsia="zh-CN"/>
              </w:rPr>
              <w:t xml:space="preserve">  </w:t>
            </w:r>
          </w:p>
          <w:p>
            <w:pPr>
              <w:spacing w:before="120"/>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审核时间：</w:t>
            </w:r>
            <w:r>
              <w:rPr>
                <w:rFonts w:asciiTheme="minorEastAsia" w:hAnsiTheme="minorEastAsia" w:eastAsiaTheme="minorEastAsia"/>
                <w:sz w:val="21"/>
                <w:szCs w:val="21"/>
              </w:rPr>
              <w:t>2022年</w:t>
            </w:r>
            <w:r>
              <w:rPr>
                <w:rFonts w:hint="eastAsia" w:asciiTheme="minorEastAsia" w:hAnsiTheme="minorEastAsia" w:eastAsiaTheme="minorEastAsia"/>
                <w:sz w:val="21"/>
                <w:szCs w:val="21"/>
                <w:lang w:val="en-US" w:eastAsia="zh-CN"/>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line="30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审核条款：</w:t>
            </w:r>
            <w:r>
              <w:rPr>
                <w:rFonts w:hint="eastAsia" w:ascii="Times New Roman" w:hAnsi="Times New Roman" w:eastAsia="宋体" w:cs="Times New Roman"/>
                <w:sz w:val="21"/>
                <w:szCs w:val="21"/>
                <w:highlight w:val="none"/>
                <w:lang w:val="en-US" w:eastAsia="zh-CN"/>
              </w:rPr>
              <w:t>EnMS:5.3/6.2/7.</w:t>
            </w:r>
            <w:r>
              <w:rPr>
                <w:rFonts w:hint="eastAsia"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/8.1/10.1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73" w:type="dxa"/>
            <w:vAlign w:val="top"/>
          </w:tcPr>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部门能源职责权限</w:t>
            </w:r>
          </w:p>
        </w:tc>
        <w:tc>
          <w:tcPr>
            <w:tcW w:w="960" w:type="dxa"/>
            <w:vAlign w:val="top"/>
          </w:tcPr>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5.3/6.2</w:t>
            </w:r>
          </w:p>
        </w:tc>
        <w:tc>
          <w:tcPr>
            <w:tcW w:w="10004" w:type="dxa"/>
            <w:vAlign w:val="center"/>
          </w:tcPr>
          <w:p>
            <w:pPr>
              <w:spacing w:line="240" w:lineRule="auto"/>
              <w:rPr>
                <w:rFonts w:hint="eastAsia" w:ascii="宋体" w:hAnsi="宋体" w:eastAsia="宋体" w:cs="宋体"/>
                <w:b w:val="0"/>
                <w:bCs w:val="0"/>
                <w:color w:val="auto"/>
                <w:szCs w:val="22"/>
                <w:u w:val="none"/>
                <w:lang w:val="en-US" w:eastAsia="zh-CN"/>
              </w:rPr>
            </w:pPr>
            <w:r>
              <w:rPr>
                <w:rFonts w:hint="eastAsia" w:asciiTheme="minorEastAsia" w:hAnsiTheme="minorEastAsia" w:eastAsiaTheme="minorEastAsia"/>
                <w:sz w:val="21"/>
                <w:szCs w:val="21"/>
                <w:lang w:val="en-US" w:eastAsia="zh-CN"/>
              </w:rPr>
              <w:t>财务管理部</w:t>
            </w:r>
            <w:r>
              <w:rPr>
                <w:rFonts w:hint="eastAsia" w:ascii="宋体" w:hAnsi="宋体" w:eastAsia="宋体" w:cs="宋体"/>
                <w:b w:val="0"/>
                <w:bCs w:val="0"/>
                <w:color w:val="auto"/>
                <w:szCs w:val="22"/>
                <w:u w:val="none"/>
                <w:lang w:val="en-US" w:eastAsia="zh-CN"/>
              </w:rPr>
              <w:t>领导</w:t>
            </w:r>
            <w:r>
              <w:rPr>
                <w:rFonts w:hint="eastAsia" w:ascii="宋体" w:hAnsi="宋体" w:eastAsia="宋体" w:cs="宋体"/>
                <w:b w:val="0"/>
                <w:bCs w:val="0"/>
                <w:color w:val="auto"/>
                <w:sz w:val="21"/>
                <w:szCs w:val="21"/>
                <w:u w:val="none"/>
                <w:lang w:val="en-US" w:eastAsia="zh-CN"/>
              </w:rPr>
              <w:t>贾勇</w:t>
            </w:r>
            <w:r>
              <w:rPr>
                <w:rFonts w:hint="eastAsia" w:ascii="宋体" w:hAnsi="宋体" w:eastAsia="宋体" w:cs="宋体"/>
                <w:b w:val="0"/>
                <w:bCs w:val="0"/>
                <w:color w:val="auto"/>
                <w:szCs w:val="22"/>
                <w:u w:val="none"/>
                <w:lang w:val="en-US" w:eastAsia="zh-CN"/>
              </w:rPr>
              <w:t>介绍：有预算管理、财务管理、成本管理、税务管理、资产管理、资金管理、会计管理等岗位，主要</w:t>
            </w:r>
            <w:r>
              <w:rPr>
                <w:rFonts w:hint="eastAsia" w:ascii="宋体" w:hAnsi="宋体" w:eastAsia="宋体" w:cs="宋体"/>
                <w:b w:val="0"/>
                <w:bCs w:val="0"/>
                <w:color w:val="auto"/>
                <w:sz w:val="21"/>
                <w:szCs w:val="21"/>
                <w:u w:val="none"/>
              </w:rPr>
              <w:t>负责</w:t>
            </w:r>
            <w:r>
              <w:rPr>
                <w:rFonts w:hint="eastAsia" w:ascii="宋体" w:hAnsi="宋体" w:eastAsia="宋体"/>
                <w:color w:val="auto"/>
                <w:sz w:val="21"/>
                <w:szCs w:val="21"/>
              </w:rPr>
              <w:t>负责筹措资金，做好公司的资金平衡与调度，保证公司的正常运转</w:t>
            </w:r>
            <w:r>
              <w:rPr>
                <w:rFonts w:hint="eastAsia" w:ascii="宋体" w:hAnsi="宋体" w:eastAsia="宋体"/>
                <w:color w:val="auto"/>
                <w:sz w:val="21"/>
                <w:szCs w:val="21"/>
                <w:lang w:eastAsia="zh-CN"/>
              </w:rPr>
              <w:t>；</w:t>
            </w:r>
            <w:r>
              <w:rPr>
                <w:rFonts w:hint="eastAsia" w:ascii="宋体" w:hAnsi="宋体" w:eastAsia="宋体"/>
                <w:color w:val="auto"/>
                <w:sz w:val="21"/>
                <w:szCs w:val="21"/>
              </w:rPr>
              <w:t>负责公司资金的日常管理</w:t>
            </w:r>
            <w:r>
              <w:rPr>
                <w:rFonts w:hint="eastAsia" w:ascii="宋体" w:hAnsi="宋体" w:eastAsia="宋体"/>
                <w:color w:val="auto"/>
                <w:sz w:val="21"/>
                <w:szCs w:val="21"/>
                <w:lang w:eastAsia="zh-CN"/>
              </w:rPr>
              <w:t>；</w:t>
            </w:r>
            <w:r>
              <w:rPr>
                <w:rFonts w:hint="eastAsia" w:ascii="宋体" w:hAnsi="宋体"/>
              </w:rPr>
              <w:t>负责依据国家法律法规</w:t>
            </w:r>
            <w:r>
              <w:rPr>
                <w:rFonts w:hint="eastAsia" w:ascii="宋体" w:hAnsi="宋体"/>
                <w:kern w:val="0"/>
                <w:szCs w:val="32"/>
                <w:lang w:val="en-GB"/>
              </w:rPr>
              <w:t>、股份公司相关制度</w:t>
            </w:r>
            <w:r>
              <w:rPr>
                <w:rFonts w:hint="eastAsia" w:ascii="宋体" w:hAnsi="宋体"/>
                <w:szCs w:val="21"/>
              </w:rPr>
              <w:t>组织公司成本费用管理、核算与分析工作</w:t>
            </w:r>
            <w:r>
              <w:rPr>
                <w:rFonts w:hint="eastAsia" w:ascii="宋体" w:hAnsi="宋体"/>
                <w:szCs w:val="21"/>
                <w:lang w:eastAsia="zh-CN"/>
              </w:rPr>
              <w:t>；</w:t>
            </w:r>
            <w:r>
              <w:rPr>
                <w:rFonts w:hint="eastAsia" w:ascii="宋体" w:hAnsi="宋体" w:eastAsia="宋体"/>
                <w:b w:val="0"/>
                <w:bCs/>
                <w:color w:val="auto"/>
                <w:kern w:val="2"/>
                <w:sz w:val="21"/>
                <w:szCs w:val="24"/>
                <w:u w:val="none"/>
              </w:rPr>
              <w:t xml:space="preserve"> 参与部分重大采购合同的谈判监督，参与部分工程招投标监督，参与部分废旧物资处理的监督</w:t>
            </w:r>
            <w:r>
              <w:rPr>
                <w:rFonts w:hint="eastAsia" w:ascii="宋体" w:hAnsi="宋体" w:eastAsia="宋体" w:cs="宋体"/>
                <w:b w:val="0"/>
                <w:bCs w:val="0"/>
                <w:color w:val="auto"/>
                <w:szCs w:val="22"/>
                <w:u w:val="none"/>
                <w:lang w:val="en-US" w:eastAsia="zh-CN"/>
              </w:rPr>
              <w:t>等。主管领导</w:t>
            </w:r>
            <w:r>
              <w:rPr>
                <w:rFonts w:hint="eastAsia" w:eastAsia="华文宋体"/>
                <w:sz w:val="21"/>
                <w:szCs w:val="21"/>
                <w:lang w:val="en-US" w:eastAsia="zh-CN"/>
              </w:rPr>
              <w:t>贾勇</w:t>
            </w:r>
            <w:r>
              <w:rPr>
                <w:rFonts w:hint="eastAsia" w:ascii="宋体" w:hAnsi="宋体" w:eastAsia="宋体" w:cs="宋体"/>
                <w:b w:val="0"/>
                <w:bCs w:val="0"/>
                <w:color w:val="auto"/>
                <w:szCs w:val="22"/>
                <w:u w:val="none"/>
                <w:lang w:val="en-US" w:eastAsia="zh-CN"/>
              </w:rPr>
              <w:t>对职责清楚。</w:t>
            </w:r>
          </w:p>
          <w:p>
            <w:pPr>
              <w:pStyle w:val="21"/>
              <w:rPr>
                <w:rFonts w:hint="default"/>
                <w:lang w:val="en-US" w:eastAsia="zh-CN"/>
              </w:rPr>
            </w:pPr>
            <w:r>
              <w:rPr>
                <w:rFonts w:hint="eastAsia" w:ascii="宋体" w:hAnsi="宋体" w:eastAsia="宋体" w:cs="宋体"/>
                <w:b w:val="0"/>
                <w:bCs w:val="0"/>
                <w:color w:val="auto"/>
                <w:szCs w:val="22"/>
                <w:u w:val="none"/>
                <w:lang w:val="en-US" w:eastAsia="zh-CN"/>
              </w:rPr>
              <w:t>经与受审核方部门负责人沟通该部门部门的目标指标</w:t>
            </w:r>
            <w:r>
              <w:rPr>
                <w:rFonts w:hint="eastAsia" w:ascii="宋体" w:hAnsi="宋体" w:cs="宋体"/>
                <w:b w:val="0"/>
                <w:bCs w:val="0"/>
                <w:color w:val="auto"/>
                <w:szCs w:val="22"/>
                <w:u w:val="none"/>
                <w:lang w:val="en-US" w:eastAsia="zh-CN"/>
              </w:rPr>
              <w:t xml:space="preserve">：现金操作成本≥203元/吨；吨化工产品完全费用（化工）≤617元/吨 ；单位完全费用（炼油）≤306元/吨；利润总额（非上市）≥710万元）；经查2022年1-11月目标考核记录，经查符合要求 </w:t>
            </w:r>
            <w:r>
              <w:rPr>
                <w:rFonts w:hint="eastAsia" w:ascii="宋体" w:hAnsi="宋体" w:eastAsia="宋体" w:cs="宋体"/>
                <w:b w:val="0"/>
                <w:bCs w:val="0"/>
                <w:color w:val="auto"/>
                <w:szCs w:val="22"/>
                <w:u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b w:val="0"/>
                <w:bCs w:val="0"/>
                <w:color w:val="auto"/>
                <w:szCs w:val="22"/>
                <w:u w:val="none"/>
                <w:lang w:val="en-US" w:eastAsia="zh-CN"/>
              </w:rPr>
            </w:pPr>
            <w:r>
              <w:rPr>
                <w:rFonts w:hint="eastAsia" w:ascii="宋体" w:hAnsi="宋体" w:eastAsia="宋体" w:cs="宋体"/>
                <w:b w:val="0"/>
                <w:bCs w:val="0"/>
                <w:color w:val="auto"/>
                <w:szCs w:val="22"/>
                <w:u w:val="none"/>
                <w:lang w:val="en-US" w:eastAsia="zh-CN"/>
              </w:rPr>
              <w:t>内容基本符合要求。</w:t>
            </w:r>
          </w:p>
          <w:p>
            <w:pPr>
              <w:pStyle w:val="2"/>
              <w:spacing w:line="240" w:lineRule="auto"/>
              <w:ind w:left="0" w:leftChars="0" w:firstLine="0" w:firstLineChars="0"/>
              <w:rPr>
                <w:rFonts w:hint="default" w:eastAsia="宋体"/>
                <w:lang w:val="en-US" w:eastAsia="zh-CN"/>
              </w:rPr>
            </w:pPr>
            <w:r>
              <w:rPr>
                <w:rFonts w:hint="default" w:eastAsia="宋体"/>
                <w:lang w:val="en-US" w:eastAsia="zh-CN"/>
              </w:rPr>
              <w:drawing>
                <wp:inline distT="0" distB="0" distL="114300" distR="114300">
                  <wp:extent cx="1280160" cy="1168400"/>
                  <wp:effectExtent l="0" t="0" r="2540" b="0"/>
                  <wp:docPr id="10" name="图片 10" descr="1672192699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72192699665"/>
                          <pic:cNvPicPr>
                            <a:picLocks noChangeAspect="1"/>
                          </pic:cNvPicPr>
                        </pic:nvPicPr>
                        <pic:blipFill>
                          <a:blip r:embed="rId11"/>
                          <a:stretch>
                            <a:fillRect/>
                          </a:stretch>
                        </pic:blipFill>
                        <pic:spPr>
                          <a:xfrm>
                            <a:off x="0" y="0"/>
                            <a:ext cx="1280160" cy="1168400"/>
                          </a:xfrm>
                          <a:prstGeom prst="rect">
                            <a:avLst/>
                          </a:prstGeom>
                        </pic:spPr>
                      </pic:pic>
                    </a:graphicData>
                  </a:graphic>
                </wp:inline>
              </w:drawing>
            </w:r>
            <w:r>
              <w:rPr>
                <w:rFonts w:hint="eastAsia" w:eastAsia="宋体"/>
                <w:lang w:val="en-US" w:eastAsia="zh-CN"/>
              </w:rPr>
              <w:t xml:space="preserve"> </w:t>
            </w:r>
            <w:r>
              <w:rPr>
                <w:rFonts w:hint="default" w:eastAsia="宋体"/>
                <w:lang w:val="en-US" w:eastAsia="zh-CN"/>
              </w:rPr>
              <w:drawing>
                <wp:inline distT="0" distB="0" distL="114300" distR="114300">
                  <wp:extent cx="1240790" cy="1165225"/>
                  <wp:effectExtent l="0" t="0" r="3810" b="3175"/>
                  <wp:docPr id="11" name="图片 11" descr="7169c8cc982161285806ceef8a62f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169c8cc982161285806ceef8a62f29"/>
                          <pic:cNvPicPr>
                            <a:picLocks noChangeAspect="1"/>
                          </pic:cNvPicPr>
                        </pic:nvPicPr>
                        <pic:blipFill>
                          <a:blip r:embed="rId12"/>
                          <a:stretch>
                            <a:fillRect/>
                          </a:stretch>
                        </pic:blipFill>
                        <pic:spPr>
                          <a:xfrm>
                            <a:off x="0" y="0"/>
                            <a:ext cx="1240790" cy="1165225"/>
                          </a:xfrm>
                          <a:prstGeom prst="rect">
                            <a:avLst/>
                          </a:prstGeom>
                        </pic:spPr>
                      </pic:pic>
                    </a:graphicData>
                  </a:graphic>
                </wp:inline>
              </w:drawing>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资金支持/运行</w:t>
            </w:r>
          </w:p>
        </w:tc>
        <w:tc>
          <w:tcPr>
            <w:tcW w:w="960" w:type="dxa"/>
            <w:vAlign w:val="top"/>
          </w:tcPr>
          <w:p>
            <w:pPr>
              <w:pStyle w:val="21"/>
              <w:rPr>
                <w:rFonts w:hint="eastAsia"/>
                <w:lang w:val="en-US" w:eastAsia="zh-CN"/>
              </w:rPr>
            </w:pPr>
            <w:r>
              <w:rPr>
                <w:rFonts w:hint="eastAsia"/>
                <w:lang w:val="en-US" w:eastAsia="zh-CN"/>
              </w:rPr>
              <w:t>En7.1</w:t>
            </w:r>
          </w:p>
          <w:p>
            <w:pPr>
              <w:pStyle w:val="21"/>
              <w:rPr>
                <w:rFonts w:hint="default" w:ascii="Times New Roman" w:hAnsi="Times New Roman" w:eastAsia="宋体" w:cs="Times New Roman"/>
                <w:bCs/>
                <w:spacing w:val="10"/>
                <w:kern w:val="2"/>
                <w:sz w:val="21"/>
                <w:lang w:val="en-US" w:eastAsia="zh-CN" w:bidi="ar-SA"/>
              </w:rPr>
            </w:pPr>
            <w:r>
              <w:rPr>
                <w:rFonts w:hint="eastAsia"/>
                <w:lang w:val="en-US" w:eastAsia="zh-CN"/>
              </w:rPr>
              <w:t>8.1</w:t>
            </w:r>
          </w:p>
        </w:tc>
        <w:tc>
          <w:tcPr>
            <w:tcW w:w="10004" w:type="dxa"/>
            <w:vAlign w:val="top"/>
          </w:tcPr>
          <w:p>
            <w:pPr>
              <w:pStyle w:val="21"/>
              <w:rPr>
                <w:rFonts w:hint="default"/>
                <w:sz w:val="21"/>
                <w:szCs w:val="21"/>
                <w:lang w:val="en-US" w:eastAsia="zh-CN"/>
              </w:rPr>
            </w:pPr>
            <w:r>
              <w:rPr>
                <w:rFonts w:hint="eastAsia"/>
                <w:sz w:val="21"/>
                <w:szCs w:val="21"/>
                <w:lang w:val="en-US" w:eastAsia="zh-CN"/>
              </w:rPr>
              <w:t>如：</w:t>
            </w:r>
            <w:r>
              <w:rPr>
                <w:rFonts w:hint="eastAsia"/>
                <w:sz w:val="21"/>
                <w:szCs w:val="21"/>
                <w:lang w:val="en-US" w:eastAsia="zh-CN"/>
              </w:rPr>
              <w:sym w:font="Wingdings" w:char="00FE"/>
            </w:r>
            <w:r>
              <w:rPr>
                <w:rFonts w:hint="eastAsia"/>
                <w:sz w:val="21"/>
                <w:szCs w:val="21"/>
                <w:lang w:val="en-US" w:eastAsia="zh-CN"/>
              </w:rPr>
              <w:t>手册第8.4</w:t>
            </w:r>
            <w:r>
              <w:rPr>
                <w:sz w:val="21"/>
                <w:szCs w:val="21"/>
              </w:rPr>
              <w:t>能源策划和控制</w:t>
            </w:r>
            <w:r>
              <w:rPr>
                <w:rFonts w:hint="eastAsia"/>
                <w:sz w:val="21"/>
                <w:szCs w:val="21"/>
                <w:lang w:val="en-US" w:eastAsia="zh-CN"/>
              </w:rPr>
              <w:t>条款有规定</w:t>
            </w:r>
          </w:p>
          <w:p>
            <w:pPr>
              <w:pStyle w:val="21"/>
              <w:rPr>
                <w:rFonts w:hint="eastAsia"/>
                <w:sz w:val="21"/>
                <w:szCs w:val="21"/>
                <w:lang w:val="en-US" w:eastAsia="zh-CN"/>
              </w:rPr>
            </w:pPr>
            <w:r>
              <w:rPr>
                <w:rFonts w:hint="eastAsia"/>
                <w:sz w:val="21"/>
                <w:szCs w:val="21"/>
                <w:lang w:val="en-US" w:eastAsia="zh-CN"/>
              </w:rPr>
              <w:t>1.节约用电的控制：</w:t>
            </w:r>
            <w:r>
              <w:rPr>
                <w:rFonts w:hint="eastAsia"/>
                <w:sz w:val="21"/>
                <w:szCs w:val="21"/>
                <w:lang w:val="en-US" w:eastAsia="zh-CN"/>
              </w:rPr>
              <w:sym w:font="Wingdings" w:char="00FE"/>
            </w:r>
            <w:r>
              <w:rPr>
                <w:rFonts w:hint="eastAsia"/>
                <w:sz w:val="21"/>
                <w:szCs w:val="21"/>
                <w:lang w:val="en-US" w:eastAsia="zh-CN"/>
              </w:rPr>
              <w:t>随手关灯、</w:t>
            </w:r>
            <w:r>
              <w:rPr>
                <w:rFonts w:hint="eastAsia"/>
                <w:sz w:val="21"/>
                <w:szCs w:val="21"/>
                <w:lang w:val="en-US" w:eastAsia="zh-CN"/>
              </w:rPr>
              <w:sym w:font="Wingdings" w:char="00FE"/>
            </w:r>
            <w:r>
              <w:rPr>
                <w:rFonts w:hint="eastAsia"/>
                <w:sz w:val="21"/>
                <w:szCs w:val="21"/>
                <w:lang w:val="en-US" w:eastAsia="zh-CN"/>
              </w:rPr>
              <w:t>下班前关闭电源、</w:t>
            </w:r>
            <w:r>
              <w:rPr>
                <w:rFonts w:hint="eastAsia"/>
                <w:sz w:val="21"/>
                <w:szCs w:val="21"/>
                <w:lang w:val="en-US" w:eastAsia="zh-CN"/>
              </w:rPr>
              <w:sym w:font="Wingdings" w:char="00FE"/>
            </w:r>
            <w:r>
              <w:rPr>
                <w:rFonts w:hint="eastAsia"/>
                <w:sz w:val="21"/>
                <w:szCs w:val="21"/>
                <w:lang w:val="en-US" w:eastAsia="zh-CN"/>
              </w:rPr>
              <w:t>控制空调温度（夏季≥26℃；冬季≤20℃）</w:t>
            </w:r>
          </w:p>
          <w:p>
            <w:pPr>
              <w:pStyle w:val="21"/>
              <w:rPr>
                <w:rFonts w:hint="eastAsia"/>
                <w:sz w:val="21"/>
                <w:szCs w:val="21"/>
                <w:lang w:val="en-US" w:eastAsia="zh-CN"/>
              </w:rPr>
            </w:pPr>
            <w:r>
              <w:rPr>
                <w:rFonts w:hint="eastAsia"/>
                <w:sz w:val="21"/>
                <w:szCs w:val="21"/>
                <w:lang w:val="en-US" w:eastAsia="zh-CN"/>
              </w:rPr>
              <w:t>2.节约用水的控制：</w:t>
            </w:r>
            <w:r>
              <w:rPr>
                <w:rFonts w:hint="eastAsia"/>
                <w:sz w:val="21"/>
                <w:szCs w:val="21"/>
                <w:lang w:val="en-US" w:eastAsia="zh-CN"/>
              </w:rPr>
              <w:sym w:font="Wingdings" w:char="00FE"/>
            </w:r>
            <w:r>
              <w:rPr>
                <w:rFonts w:hint="eastAsia"/>
                <w:sz w:val="21"/>
                <w:szCs w:val="21"/>
                <w:lang w:val="en-US" w:eastAsia="zh-CN"/>
              </w:rPr>
              <w:t xml:space="preserve">随手关水龙头  </w:t>
            </w:r>
            <w:r>
              <w:rPr>
                <w:rFonts w:hint="eastAsia"/>
                <w:sz w:val="21"/>
                <w:szCs w:val="21"/>
                <w:lang w:val="en-US" w:eastAsia="zh-CN"/>
              </w:rPr>
              <w:sym w:font="Wingdings" w:char="00FE"/>
            </w:r>
            <w:r>
              <w:rPr>
                <w:rFonts w:hint="eastAsia"/>
                <w:sz w:val="21"/>
                <w:szCs w:val="21"/>
                <w:lang w:val="en-US" w:eastAsia="zh-CN"/>
              </w:rPr>
              <w:t>使用节水龙头及马桶</w:t>
            </w:r>
          </w:p>
          <w:p>
            <w:pPr>
              <w:pStyle w:val="21"/>
              <w:rPr>
                <w:rFonts w:hint="eastAsia"/>
                <w:sz w:val="21"/>
                <w:szCs w:val="21"/>
                <w:lang w:val="en-US" w:eastAsia="zh-CN"/>
              </w:rPr>
            </w:pPr>
            <w:r>
              <w:rPr>
                <w:rFonts w:hint="eastAsia"/>
                <w:sz w:val="21"/>
                <w:szCs w:val="21"/>
                <w:lang w:val="en-US" w:eastAsia="zh-CN"/>
              </w:rPr>
              <w:t>3.节约用纸的控制：</w:t>
            </w:r>
            <w:r>
              <w:rPr>
                <w:rFonts w:hint="eastAsia"/>
                <w:sz w:val="21"/>
                <w:szCs w:val="21"/>
                <w:lang w:val="en-US" w:eastAsia="zh-CN"/>
              </w:rPr>
              <w:sym w:font="Wingdings" w:char="00FE"/>
            </w:r>
            <w:r>
              <w:rPr>
                <w:rFonts w:hint="eastAsia"/>
                <w:sz w:val="21"/>
                <w:szCs w:val="21"/>
                <w:lang w:val="en-US" w:eastAsia="zh-CN"/>
              </w:rPr>
              <w:t xml:space="preserve">纸张双面使用  </w:t>
            </w:r>
            <w:r>
              <w:rPr>
                <w:rFonts w:hint="eastAsia"/>
                <w:sz w:val="21"/>
                <w:szCs w:val="21"/>
                <w:lang w:val="en-US" w:eastAsia="zh-CN"/>
              </w:rPr>
              <w:sym w:font="Wingdings" w:char="00A8"/>
            </w:r>
            <w:r>
              <w:rPr>
                <w:rFonts w:hint="eastAsia"/>
                <w:sz w:val="21"/>
                <w:szCs w:val="21"/>
                <w:lang w:val="en-US" w:eastAsia="zh-CN"/>
              </w:rPr>
              <w:t>尽量采用电子版文件</w:t>
            </w:r>
          </w:p>
          <w:p>
            <w:pPr>
              <w:pStyle w:val="21"/>
              <w:rPr>
                <w:rFonts w:hint="eastAsia"/>
                <w:sz w:val="21"/>
                <w:szCs w:val="21"/>
                <w:lang w:val="en-US" w:eastAsia="zh-CN"/>
              </w:rPr>
            </w:pPr>
            <w:r>
              <w:rPr>
                <w:rFonts w:hint="eastAsia"/>
                <w:sz w:val="21"/>
                <w:szCs w:val="21"/>
                <w:lang w:val="en-US" w:eastAsia="zh-CN"/>
              </w:rPr>
              <w:t>财务管理部用能主要是办公用能。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sz w:val="21"/>
                <w:szCs w:val="21"/>
                <w:lang w:val="en-US" w:eastAsia="zh-CN"/>
              </w:rPr>
            </w:pPr>
            <w:r>
              <w:rPr>
                <w:rFonts w:hint="eastAsia"/>
                <w:sz w:val="21"/>
                <w:szCs w:val="21"/>
                <w:lang w:val="en-US" w:eastAsia="zh-CN"/>
              </w:rPr>
              <w:t>该部门要求员工照明灯不用时及时将电源关闭， 电脑不使用时及时将电源关闭，电脑设置休眠功能，夏天空调设置26度以上。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sz w:val="21"/>
                <w:szCs w:val="21"/>
                <w:lang w:val="en-US" w:eastAsia="zh-CN"/>
              </w:rPr>
            </w:pPr>
            <w:r>
              <w:rPr>
                <w:rFonts w:hint="eastAsia"/>
                <w:sz w:val="21"/>
                <w:szCs w:val="21"/>
                <w:lang w:val="en-US" w:eastAsia="zh-CN"/>
              </w:rPr>
              <w:t>办公区张贴节约用电和节约用水的宣传标识。能够做到人走灯息、空调在26度以上。</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查阅文件，提供《管理手册》、</w:t>
            </w:r>
            <w:r>
              <w:rPr>
                <w:rFonts w:hint="eastAsia"/>
                <w:color w:val="000000" w:themeColor="text1"/>
                <w:szCs w:val="22"/>
                <w:highlight w:val="none"/>
                <w:lang w:val="en-US" w:eastAsia="zh-CN"/>
                <w14:textFill>
                  <w14:solidFill>
                    <w14:schemeClr w14:val="tx1"/>
                  </w14:solidFill>
                </w14:textFill>
              </w:rPr>
              <w:t>能源管理制度，有</w:t>
            </w:r>
            <w:r>
              <w:rPr>
                <w:rFonts w:hint="eastAsia"/>
                <w:color w:val="000000" w:themeColor="text1"/>
                <w:szCs w:val="22"/>
                <w:lang w:val="en-US" w:eastAsia="zh-CN"/>
                <w14:textFill>
                  <w14:solidFill>
                    <w14:schemeClr w14:val="tx1"/>
                  </w14:solidFill>
                </w14:textFill>
              </w:rPr>
              <w:t>发布，实施，有编审批，确保了其适宜性和充分性。基本符合标准要求。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Cs w:val="22"/>
                <w:highlight w:val="none"/>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财务部的主要能源使用种类：电和水；无单独计量结算，办公大楼公用电和水。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Cs w:val="22"/>
                <w:lang w:val="en-US" w:eastAsia="zh-CN"/>
                <w14:textFill>
                  <w14:solidFill>
                    <w14:schemeClr w14:val="tx1"/>
                  </w14:solidFill>
                </w14:textFill>
              </w:rPr>
            </w:pPr>
            <w:r>
              <w:rPr>
                <w:rFonts w:hint="eastAsia"/>
                <w:color w:val="000000" w:themeColor="text1"/>
                <w:szCs w:val="22"/>
                <w:highlight w:val="none"/>
                <w:lang w:val="en-US" w:eastAsia="zh-CN"/>
                <w14:textFill>
                  <w14:solidFill>
                    <w14:schemeClr w14:val="tx1"/>
                  </w14:solidFill>
                </w14:textFill>
              </w:rPr>
              <w:t>提供电、水、液氨、天然气等的财务结算发票、回执单或收据等缴费凭证</w:t>
            </w:r>
            <w:r>
              <w:rPr>
                <w:rFonts w:hint="eastAsia"/>
                <w:color w:val="000000" w:themeColor="text1"/>
                <w:szCs w:val="22"/>
                <w:lang w:val="en-US" w:eastAsia="zh-CN"/>
                <w14:textFill>
                  <w14:solidFill>
                    <w14:schemeClr w14:val="tx1"/>
                  </w14:solidFill>
                </w14:textFill>
              </w:rPr>
              <w:t>。</w:t>
            </w:r>
          </w:p>
          <w:p>
            <w:pPr>
              <w:pStyle w:val="4"/>
              <w:numPr>
                <w:ilvl w:val="0"/>
                <w:numId w:val="0"/>
              </w:numPr>
              <w:rPr>
                <w:rFonts w:hint="default"/>
                <w:lang w:val="en-US" w:eastAsia="zh-CN"/>
              </w:rPr>
            </w:pPr>
            <w:r>
              <w:rPr>
                <w:rFonts w:hint="default"/>
                <w:lang w:val="en-US" w:eastAsia="zh-CN"/>
              </w:rPr>
              <w:drawing>
                <wp:inline distT="0" distB="0" distL="114300" distR="114300">
                  <wp:extent cx="1336675" cy="883920"/>
                  <wp:effectExtent l="0" t="0" r="9525" b="5080"/>
                  <wp:docPr id="12" name="图片 12" descr="167219345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72193458256"/>
                          <pic:cNvPicPr>
                            <a:picLocks noChangeAspect="1"/>
                          </pic:cNvPicPr>
                        </pic:nvPicPr>
                        <pic:blipFill>
                          <a:blip r:embed="rId13"/>
                          <a:stretch>
                            <a:fillRect/>
                          </a:stretch>
                        </pic:blipFill>
                        <pic:spPr>
                          <a:xfrm>
                            <a:off x="0" y="0"/>
                            <a:ext cx="1336675" cy="88392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449705" cy="903605"/>
                  <wp:effectExtent l="0" t="0" r="10795" b="10795"/>
                  <wp:docPr id="13" name="图片 13" descr="f24c38601ee4756f3234c8f5cf412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24c38601ee4756f3234c8f5cf4123b"/>
                          <pic:cNvPicPr>
                            <a:picLocks noChangeAspect="1"/>
                          </pic:cNvPicPr>
                        </pic:nvPicPr>
                        <pic:blipFill>
                          <a:blip r:embed="rId14"/>
                          <a:stretch>
                            <a:fillRect/>
                          </a:stretch>
                        </pic:blipFill>
                        <pic:spPr>
                          <a:xfrm>
                            <a:off x="0" y="0"/>
                            <a:ext cx="1449705" cy="90360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418590" cy="911860"/>
                  <wp:effectExtent l="0" t="0" r="3810" b="2540"/>
                  <wp:docPr id="14" name="图片 14" descr="7c1dd0ff571c19bad54adeaf297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c1dd0ff571c19bad54adeaf2979693"/>
                          <pic:cNvPicPr>
                            <a:picLocks noChangeAspect="1"/>
                          </pic:cNvPicPr>
                        </pic:nvPicPr>
                        <pic:blipFill>
                          <a:blip r:embed="rId15"/>
                          <a:stretch>
                            <a:fillRect/>
                          </a:stretch>
                        </pic:blipFill>
                        <pic:spPr>
                          <a:xfrm>
                            <a:off x="0" y="0"/>
                            <a:ext cx="1418590" cy="9118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255395" cy="896620"/>
                  <wp:effectExtent l="0" t="0" r="1905" b="5080"/>
                  <wp:docPr id="15" name="图片 15" descr="308f3b09ee682c01d54a3aefc79a9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08f3b09ee682c01d54a3aefc79a9d9"/>
                          <pic:cNvPicPr>
                            <a:picLocks noChangeAspect="1"/>
                          </pic:cNvPicPr>
                        </pic:nvPicPr>
                        <pic:blipFill>
                          <a:blip r:embed="rId16"/>
                          <a:stretch>
                            <a:fillRect/>
                          </a:stretch>
                        </pic:blipFill>
                        <pic:spPr>
                          <a:xfrm>
                            <a:off x="0" y="0"/>
                            <a:ext cx="1255395" cy="896620"/>
                          </a:xfrm>
                          <a:prstGeom prst="rect">
                            <a:avLst/>
                          </a:prstGeom>
                        </pic:spPr>
                      </pic:pic>
                    </a:graphicData>
                  </a:graphic>
                </wp:inline>
              </w:drawing>
            </w:r>
          </w:p>
          <w:p>
            <w:pPr>
              <w:pStyle w:val="4"/>
              <w:numPr>
                <w:ilvl w:val="0"/>
                <w:numId w:val="0"/>
              </w:numPr>
              <w:rPr>
                <w:rFonts w:hint="default"/>
                <w:lang w:val="en-US" w:eastAsia="zh-CN"/>
              </w:rPr>
            </w:pPr>
            <w:r>
              <w:rPr>
                <w:rFonts w:hint="eastAsia"/>
                <w:lang w:val="en-US" w:eastAsia="zh-CN"/>
              </w:rPr>
              <w:t>天然气                水                     液氨                  电</w:t>
            </w:r>
          </w:p>
          <w:p>
            <w:pPr>
              <w:pStyle w:val="4"/>
              <w:numPr>
                <w:ilvl w:val="0"/>
                <w:numId w:val="0"/>
              </w:numPr>
              <w:rPr>
                <w:rFonts w:hint="default"/>
                <w:lang w:val="en-US" w:eastAsia="zh-CN"/>
              </w:rPr>
            </w:pPr>
            <w:r>
              <w:rPr>
                <w:rFonts w:hint="eastAsia"/>
                <w:color w:val="000000" w:themeColor="text1"/>
                <w:szCs w:val="22"/>
                <w:lang w:val="en-US" w:eastAsia="zh-CN"/>
                <w14:textFill>
                  <w14:solidFill>
                    <w14:schemeClr w14:val="tx1"/>
                  </w14:solidFill>
                </w14:textFill>
              </w:rPr>
              <w:t>目前在能源方面的财务管理没有发生不符合。资金全部到位。</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highlight w:val="none"/>
              </w:rPr>
              <w:t>不符合与纠正措施</w:t>
            </w:r>
          </w:p>
        </w:tc>
        <w:tc>
          <w:tcPr>
            <w:tcW w:w="960" w:type="dxa"/>
            <w:vAlign w:val="top"/>
          </w:tcPr>
          <w:p>
            <w:pPr>
              <w:pStyle w:val="21"/>
              <w:rPr>
                <w:rFonts w:hint="default"/>
                <w:highlight w:val="none"/>
                <w:lang w:val="en-US" w:eastAsia="zh-CN"/>
              </w:rPr>
            </w:pPr>
            <w:r>
              <w:rPr>
                <w:rFonts w:hint="eastAsia"/>
                <w:highlight w:val="none"/>
                <w:lang w:val="en-US" w:eastAsia="zh-CN"/>
              </w:rPr>
              <w:t>En10.1</w:t>
            </w:r>
          </w:p>
          <w:p>
            <w:pPr>
              <w:pStyle w:val="21"/>
              <w:rPr>
                <w:rFonts w:ascii="Times New Roman" w:hAnsi="Times New Roman" w:eastAsia="宋体" w:cs="Times New Roman"/>
                <w:kern w:val="2"/>
                <w:sz w:val="21"/>
                <w:lang w:val="en-US" w:eastAsia="zh-CN" w:bidi="ar-SA"/>
              </w:rPr>
            </w:pPr>
          </w:p>
        </w:tc>
        <w:tc>
          <w:tcPr>
            <w:tcW w:w="10004" w:type="dxa"/>
            <w:vAlign w:val="top"/>
          </w:tcPr>
          <w:p>
            <w:pPr>
              <w:rPr>
                <w:rFonts w:ascii="宋体" w:hAnsi="宋体" w:cs="宋体"/>
                <w:sz w:val="21"/>
                <w:szCs w:val="21"/>
              </w:rPr>
            </w:pPr>
            <w:r>
              <w:rPr>
                <w:rFonts w:hint="eastAsia" w:ascii="宋体" w:hAnsi="宋体" w:cs="宋体"/>
                <w:sz w:val="21"/>
                <w:szCs w:val="21"/>
              </w:rPr>
              <w:t>公司</w:t>
            </w:r>
            <w:r>
              <w:rPr>
                <w:rFonts w:hint="eastAsia" w:ascii="宋体" w:hAnsi="宋体" w:cs="宋体"/>
                <w:sz w:val="21"/>
                <w:szCs w:val="21"/>
                <w:lang w:val="en-US" w:eastAsia="zh-CN"/>
              </w:rPr>
              <w:t>管理手册10.1中</w:t>
            </w:r>
            <w:r>
              <w:rPr>
                <w:rFonts w:hint="eastAsia" w:ascii="宋体" w:hAnsi="宋体" w:cs="宋体"/>
                <w:sz w:val="21"/>
                <w:szCs w:val="21"/>
              </w:rPr>
              <w:t>，规定了纠正措施的来源,明确了对不合格项应进行原因分析,制定纠正措施计划,实施跟踪验证,确保所采取 的纠正措施满足预期要求。</w:t>
            </w:r>
          </w:p>
          <w:p>
            <w:pPr>
              <w:rPr>
                <w:rFonts w:ascii="宋体" w:hAnsi="宋体" w:cs="宋体"/>
                <w:sz w:val="21"/>
                <w:szCs w:val="21"/>
              </w:rPr>
            </w:pPr>
            <w:r>
              <w:rPr>
                <w:rFonts w:hint="eastAsia" w:ascii="宋体" w:hAnsi="宋体" w:cs="宋体"/>
                <w:sz w:val="21"/>
                <w:szCs w:val="21"/>
              </w:rPr>
              <w:t>内审中没有发现的不符合项。</w:t>
            </w:r>
          </w:p>
          <w:p>
            <w:pPr>
              <w:rPr>
                <w:rFonts w:ascii="宋体" w:hAnsi="宋体" w:cs="宋体"/>
                <w:sz w:val="21"/>
                <w:szCs w:val="21"/>
              </w:rPr>
            </w:pPr>
            <w:r>
              <w:rPr>
                <w:rFonts w:hint="eastAsia" w:ascii="宋体" w:hAnsi="宋体" w:cs="宋体"/>
                <w:sz w:val="21"/>
                <w:szCs w:val="21"/>
              </w:rPr>
              <w:t>通过交谈，基本能清楚纠正和预防措施的控制要求。改进的示例包括纠正、纠正措施、持续改进。</w:t>
            </w:r>
          </w:p>
          <w:p>
            <w:pPr>
              <w:rPr>
                <w:rFonts w:ascii="宋体" w:hAnsi="宋体" w:cs="宋体"/>
                <w:sz w:val="21"/>
                <w:szCs w:val="21"/>
              </w:rPr>
            </w:pPr>
            <w:r>
              <w:rPr>
                <w:rFonts w:hint="eastAsia" w:ascii="宋体" w:hAnsi="宋体" w:cs="宋体"/>
                <w:sz w:val="21"/>
                <w:szCs w:val="21"/>
              </w:rPr>
              <w:t>根据不同过程、不同产品和不同要求，采取不同的方法进行监视、测量和分析。无其他不符合发生。</w:t>
            </w:r>
          </w:p>
          <w:p>
            <w:pPr>
              <w:rPr>
                <w:rFonts w:ascii="Times New Roman" w:hAnsi="Times New Roman" w:eastAsia="宋体" w:cs="Times New Roman"/>
                <w:kern w:val="2"/>
                <w:sz w:val="21"/>
                <w:lang w:val="en-US" w:eastAsia="zh-CN" w:bidi="ar-SA"/>
              </w:rPr>
            </w:pPr>
            <w:r>
              <w:rPr>
                <w:rFonts w:hint="eastAsia" w:ascii="宋体" w:hAnsi="宋体" w:cs="宋体"/>
                <w:sz w:val="21"/>
                <w:szCs w:val="21"/>
              </w:rPr>
              <w:t>公司利用En方针、目标、内审和外审、数据分析、纠正和预防措施以及管理评审，识别任何改进的机会，持续改进管理体系的适宜性、充分性和有效性。</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tc>
      </w:tr>
    </w:tbl>
    <w:p>
      <w:pPr>
        <w:pStyle w:val="10"/>
        <w:rPr>
          <w:rFonts w:hint="eastAsia"/>
        </w:rPr>
      </w:pPr>
    </w:p>
    <w:p>
      <w:pPr>
        <w:pStyle w:val="10"/>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6"/>
        <w:tblW w:w="14222"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73"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004" w:type="dxa"/>
            <w:vAlign w:val="center"/>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受审核部门：</w:t>
            </w:r>
            <w:r>
              <w:rPr>
                <w:rFonts w:hint="eastAsia" w:asciiTheme="minorEastAsia" w:hAnsiTheme="minorEastAsia" w:eastAsiaTheme="minorEastAsia"/>
                <w:sz w:val="21"/>
                <w:szCs w:val="21"/>
                <w:lang w:val="en-US" w:eastAsia="zh-CN"/>
              </w:rPr>
              <w:t>党群文化部</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主管领导</w:t>
            </w:r>
            <w:r>
              <w:rPr>
                <w:rFonts w:hint="eastAsia" w:asciiTheme="minorEastAsia" w:hAnsiTheme="minorEastAsia" w:eastAsiaTheme="minorEastAsia"/>
                <w:sz w:val="21"/>
                <w:szCs w:val="21"/>
                <w:highlight w:val="none"/>
              </w:rPr>
              <w:t>：</w:t>
            </w:r>
            <w:r>
              <w:rPr>
                <w:rFonts w:hint="eastAsia" w:eastAsia="华文宋体"/>
                <w:sz w:val="21"/>
                <w:szCs w:val="21"/>
                <w:lang w:val="en-US" w:eastAsia="zh-CN"/>
              </w:rPr>
              <w:t>梁文萍</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陪同人员：</w:t>
            </w:r>
            <w:r>
              <w:rPr>
                <w:rFonts w:hint="eastAsia" w:asciiTheme="minorEastAsia" w:hAnsiTheme="minorEastAsia" w:eastAsiaTheme="minorEastAsia"/>
                <w:sz w:val="21"/>
                <w:szCs w:val="21"/>
                <w:highlight w:val="none"/>
                <w:lang w:val="en-US" w:eastAsia="zh-CN"/>
              </w:rPr>
              <w:t>杨雷波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before="1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审核员：</w:t>
            </w:r>
            <w:r>
              <w:rPr>
                <w:rFonts w:hint="eastAsia" w:asciiTheme="minorEastAsia" w:hAnsiTheme="minorEastAsia" w:eastAsiaTheme="minorEastAsia"/>
                <w:sz w:val="21"/>
                <w:szCs w:val="21"/>
                <w:lang w:val="en-US" w:eastAsia="zh-CN"/>
              </w:rPr>
              <w:t xml:space="preserve">范玲玲      </w:t>
            </w:r>
            <w:r>
              <w:rPr>
                <w:rFonts w:hint="eastAsia"/>
                <w:sz w:val="21"/>
                <w:szCs w:val="21"/>
                <w:lang w:val="en-US" w:eastAsia="zh-CN"/>
              </w:rPr>
              <w:t>（远程）审核工具：微信视频、电话、文件传输</w:t>
            </w:r>
            <w:r>
              <w:rPr>
                <w:rFonts w:hint="eastAsia" w:asciiTheme="minorEastAsia" w:hAnsiTheme="minorEastAsia" w:eastAsiaTheme="minorEastAsia"/>
                <w:sz w:val="21"/>
                <w:szCs w:val="21"/>
                <w:lang w:val="en-US" w:eastAsia="zh-CN"/>
              </w:rPr>
              <w:t xml:space="preserve">  </w:t>
            </w:r>
          </w:p>
          <w:p>
            <w:pPr>
              <w:spacing w:before="120"/>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审核时间：</w:t>
            </w:r>
            <w:r>
              <w:rPr>
                <w:rFonts w:asciiTheme="minorEastAsia" w:hAnsiTheme="minorEastAsia" w:eastAsiaTheme="minorEastAsia"/>
                <w:sz w:val="21"/>
                <w:szCs w:val="21"/>
              </w:rPr>
              <w:t>2022年</w:t>
            </w:r>
            <w:r>
              <w:rPr>
                <w:rFonts w:hint="eastAsia" w:asciiTheme="minorEastAsia" w:hAnsiTheme="minorEastAsia" w:eastAsiaTheme="minorEastAsia"/>
                <w:sz w:val="21"/>
                <w:szCs w:val="21"/>
                <w:lang w:val="en-US" w:eastAsia="zh-CN"/>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line="30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审核条款：</w:t>
            </w:r>
            <w:r>
              <w:rPr>
                <w:rFonts w:hint="eastAsia" w:ascii="Times New Roman" w:hAnsi="Times New Roman" w:eastAsia="宋体" w:cs="Times New Roman"/>
                <w:sz w:val="21"/>
                <w:szCs w:val="21"/>
                <w:highlight w:val="none"/>
                <w:lang w:val="en-US" w:eastAsia="zh-CN"/>
              </w:rPr>
              <w:t>EnMS:5.3/6.2/7.4/8.1/10.1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73" w:type="dxa"/>
            <w:vAlign w:val="top"/>
          </w:tcPr>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部门能源职责权限</w:t>
            </w:r>
          </w:p>
        </w:tc>
        <w:tc>
          <w:tcPr>
            <w:tcW w:w="960" w:type="dxa"/>
            <w:vAlign w:val="top"/>
          </w:tcPr>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vAlign w:val="center"/>
          </w:tcPr>
          <w:p>
            <w:pPr>
              <w:pStyle w:val="33"/>
              <w:adjustRightInd w:val="0"/>
              <w:snapToGrid w:val="0"/>
              <w:spacing w:before="0" w:beforeAutospacing="0" w:after="0" w:afterAutospacing="0" w:line="400" w:lineRule="exact"/>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lang w:val="en-US" w:eastAsia="zh-CN"/>
              </w:rPr>
              <w:t>党群文化部</w:t>
            </w:r>
            <w:r>
              <w:rPr>
                <w:rFonts w:hint="eastAsia" w:ascii="宋体" w:hAnsi="宋体" w:eastAsia="宋体" w:cs="宋体"/>
                <w:b w:val="0"/>
                <w:bCs w:val="0"/>
                <w:color w:val="auto"/>
                <w:sz w:val="21"/>
                <w:szCs w:val="21"/>
                <w:u w:val="none"/>
                <w:lang w:val="en-US" w:eastAsia="zh-CN"/>
              </w:rPr>
              <w:t>领导</w:t>
            </w:r>
            <w:r>
              <w:rPr>
                <w:rFonts w:hint="eastAsia" w:ascii="宋体" w:hAnsi="宋体" w:eastAsia="宋体" w:cs="宋体"/>
                <w:b w:val="0"/>
                <w:bCs w:val="0"/>
                <w:color w:val="auto"/>
                <w:sz w:val="21"/>
                <w:szCs w:val="21"/>
                <w:lang w:val="en-US" w:eastAsia="zh-CN"/>
              </w:rPr>
              <w:t>梁文萍</w:t>
            </w:r>
            <w:r>
              <w:rPr>
                <w:rFonts w:hint="eastAsia" w:ascii="宋体" w:hAnsi="宋体" w:eastAsia="宋体" w:cs="宋体"/>
                <w:b w:val="0"/>
                <w:bCs w:val="0"/>
                <w:color w:val="auto"/>
                <w:sz w:val="21"/>
                <w:szCs w:val="21"/>
                <w:u w:val="none"/>
                <w:lang w:val="en-US" w:eastAsia="zh-CN"/>
              </w:rPr>
              <w:t>介绍：主要</w:t>
            </w:r>
            <w:r>
              <w:rPr>
                <w:rFonts w:hint="eastAsia" w:ascii="宋体" w:hAnsi="宋体" w:eastAsia="宋体" w:cs="宋体"/>
                <w:b w:val="0"/>
                <w:bCs w:val="0"/>
                <w:color w:val="auto"/>
                <w:sz w:val="21"/>
                <w:szCs w:val="21"/>
                <w:u w:val="none"/>
              </w:rPr>
              <w:t>负责</w:t>
            </w:r>
            <w:r>
              <w:rPr>
                <w:rFonts w:hint="eastAsia" w:ascii="宋体" w:hAnsi="宋体" w:eastAsia="宋体" w:cs="宋体"/>
                <w:b w:val="0"/>
                <w:bCs w:val="0"/>
                <w:color w:val="auto"/>
                <w:sz w:val="21"/>
                <w:szCs w:val="21"/>
              </w:rPr>
              <w:t>组织建设民主</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管理维护</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职工</w:t>
            </w:r>
            <w:r>
              <w:rPr>
                <w:rFonts w:hint="eastAsia" w:ascii="宋体" w:hAnsi="宋体" w:eastAsia="宋体" w:cs="宋体"/>
                <w:b w:val="0"/>
                <w:bCs w:val="0"/>
                <w:color w:val="auto"/>
                <w:kern w:val="2"/>
                <w:sz w:val="21"/>
                <w:szCs w:val="21"/>
              </w:rPr>
              <w:t>合法</w:t>
            </w:r>
            <w:r>
              <w:rPr>
                <w:rFonts w:hint="eastAsia" w:ascii="宋体" w:hAnsi="宋体" w:eastAsia="宋体" w:cs="宋体"/>
                <w:b w:val="0"/>
                <w:bCs w:val="0"/>
                <w:color w:val="auto"/>
                <w:sz w:val="21"/>
                <w:szCs w:val="21"/>
              </w:rPr>
              <w:t>权益</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女工工作</w:t>
            </w:r>
            <w:r>
              <w:rPr>
                <w:rFonts w:hint="eastAsia" w:ascii="宋体" w:hAnsi="宋体" w:eastAsia="宋体" w:cs="宋体"/>
                <w:b w:val="0"/>
                <w:bCs w:val="0"/>
                <w:color w:val="auto"/>
                <w:kern w:val="2"/>
                <w:sz w:val="21"/>
                <w:szCs w:val="21"/>
              </w:rPr>
              <w:t>服务</w:t>
            </w:r>
            <w:r>
              <w:rPr>
                <w:rFonts w:hint="eastAsia" w:ascii="宋体" w:hAnsi="宋体" w:eastAsia="宋体" w:cs="宋体"/>
                <w:b w:val="0"/>
                <w:bCs w:val="0"/>
                <w:color w:val="auto"/>
                <w:sz w:val="21"/>
                <w:szCs w:val="21"/>
              </w:rPr>
              <w:t>职工</w:t>
            </w:r>
            <w:r>
              <w:rPr>
                <w:rFonts w:hint="eastAsia" w:ascii="宋体" w:hAnsi="宋体" w:eastAsia="宋体" w:cs="宋体"/>
                <w:b w:val="0"/>
                <w:bCs w:val="0"/>
                <w:color w:val="auto"/>
                <w:kern w:val="2"/>
                <w:sz w:val="21"/>
                <w:szCs w:val="21"/>
              </w:rPr>
              <w:t>群众</w:t>
            </w:r>
            <w:r>
              <w:rPr>
                <w:rFonts w:hint="eastAsia" w:ascii="宋体" w:hAnsi="宋体" w:eastAsia="宋体" w:cs="宋体"/>
                <w:b w:val="0"/>
                <w:bCs w:val="0"/>
                <w:color w:val="auto"/>
                <w:kern w:val="2"/>
                <w:sz w:val="21"/>
                <w:szCs w:val="21"/>
                <w:lang w:eastAsia="zh-CN"/>
              </w:rPr>
              <w:t>，</w:t>
            </w:r>
            <w:r>
              <w:rPr>
                <w:rFonts w:hint="eastAsia" w:ascii="宋体" w:hAnsi="宋体" w:eastAsia="宋体" w:cs="宋体"/>
                <w:b w:val="0"/>
                <w:bCs w:val="0"/>
                <w:color w:val="auto"/>
                <w:kern w:val="2"/>
                <w:sz w:val="21"/>
                <w:szCs w:val="21"/>
                <w:highlight w:val="none"/>
                <w:lang w:val="en-US" w:eastAsia="zh-CN"/>
              </w:rPr>
              <w:t>服务</w:t>
            </w:r>
            <w:r>
              <w:rPr>
                <w:rFonts w:hint="eastAsia" w:ascii="宋体" w:hAnsi="宋体" w:eastAsia="宋体" w:cs="宋体"/>
                <w:b w:val="0"/>
                <w:bCs w:val="0"/>
                <w:color w:val="auto"/>
                <w:kern w:val="2"/>
                <w:sz w:val="21"/>
                <w:szCs w:val="21"/>
                <w:highlight w:val="none"/>
              </w:rPr>
              <w:t>生产</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rPr>
              <w:t>宣教文体</w:t>
            </w:r>
            <w:r>
              <w:rPr>
                <w:rFonts w:hint="eastAsia" w:ascii="宋体" w:hAnsi="宋体" w:eastAsia="宋体" w:cs="宋体"/>
                <w:b w:val="0"/>
                <w:bCs w:val="0"/>
                <w:color w:val="auto"/>
                <w:kern w:val="2"/>
                <w:sz w:val="21"/>
                <w:szCs w:val="21"/>
                <w:lang w:val="en-US" w:eastAsia="zh-CN"/>
              </w:rPr>
              <w:t>等</w:t>
            </w:r>
            <w:r>
              <w:rPr>
                <w:rFonts w:hint="eastAsia" w:eastAsia="宋体" w:cs="宋体"/>
                <w:b w:val="0"/>
                <w:bCs w:val="0"/>
                <w:color w:val="auto"/>
                <w:kern w:val="2"/>
                <w:sz w:val="21"/>
                <w:szCs w:val="21"/>
                <w:lang w:val="en-US" w:eastAsia="zh-CN"/>
              </w:rPr>
              <w:t>工作，涉及能源工作很少。</w:t>
            </w:r>
            <w:r>
              <w:rPr>
                <w:rFonts w:hint="eastAsia" w:ascii="宋体" w:hAnsi="宋体" w:eastAsia="宋体" w:cs="宋体"/>
                <w:b w:val="0"/>
                <w:bCs w:val="0"/>
                <w:color w:val="auto"/>
                <w:sz w:val="21"/>
                <w:szCs w:val="21"/>
                <w:u w:val="none"/>
                <w:lang w:val="en-US" w:eastAsia="zh-CN"/>
              </w:rPr>
              <w:t>主管领导</w:t>
            </w:r>
            <w:r>
              <w:rPr>
                <w:rFonts w:hint="eastAsia" w:eastAsia="华文宋体"/>
                <w:sz w:val="21"/>
                <w:szCs w:val="21"/>
                <w:lang w:val="en-US" w:eastAsia="zh-CN"/>
              </w:rPr>
              <w:t>梁文萍</w:t>
            </w:r>
            <w:r>
              <w:rPr>
                <w:rFonts w:hint="eastAsia" w:ascii="宋体" w:hAnsi="宋体" w:eastAsia="宋体" w:cs="宋体"/>
                <w:b w:val="0"/>
                <w:bCs w:val="0"/>
                <w:color w:val="auto"/>
                <w:sz w:val="21"/>
                <w:szCs w:val="21"/>
                <w:u w:val="none"/>
                <w:lang w:val="en-US" w:eastAsia="zh-CN"/>
              </w:rPr>
              <w:t>对职责清楚。</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内容基本符合要求。</w:t>
            </w:r>
          </w:p>
          <w:p>
            <w:pPr>
              <w:pStyle w:val="2"/>
              <w:spacing w:line="240" w:lineRule="auto"/>
              <w:ind w:left="0" w:leftChars="0" w:firstLine="0" w:firstLineChars="0"/>
              <w:rPr>
                <w:rFonts w:hint="default" w:eastAsia="宋体"/>
                <w:lang w:val="en-US" w:eastAsia="zh-CN"/>
              </w:rPr>
            </w:pPr>
            <w:r>
              <w:rPr>
                <w:rFonts w:hint="default" w:eastAsia="宋体"/>
                <w:lang w:val="en-US" w:eastAsia="zh-CN"/>
              </w:rPr>
              <w:drawing>
                <wp:inline distT="0" distB="0" distL="114300" distR="114300">
                  <wp:extent cx="1073150" cy="965200"/>
                  <wp:effectExtent l="0" t="0" r="6350" b="0"/>
                  <wp:docPr id="19" name="图片 19" descr="167219390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72193907450"/>
                          <pic:cNvPicPr>
                            <a:picLocks noChangeAspect="1"/>
                          </pic:cNvPicPr>
                        </pic:nvPicPr>
                        <pic:blipFill>
                          <a:blip r:embed="rId17"/>
                          <a:stretch>
                            <a:fillRect/>
                          </a:stretch>
                        </pic:blipFill>
                        <pic:spPr>
                          <a:xfrm>
                            <a:off x="0" y="0"/>
                            <a:ext cx="1073150" cy="965200"/>
                          </a:xfrm>
                          <a:prstGeom prst="rect">
                            <a:avLst/>
                          </a:prstGeom>
                        </pic:spPr>
                      </pic:pic>
                    </a:graphicData>
                  </a:graphic>
                </wp:inline>
              </w:drawing>
            </w:r>
            <w:r>
              <w:rPr>
                <w:rFonts w:hint="eastAsia" w:eastAsia="宋体"/>
                <w:lang w:val="en-US" w:eastAsia="zh-CN"/>
              </w:rPr>
              <w:t xml:space="preserve"> </w:t>
            </w:r>
            <w:r>
              <w:rPr>
                <w:rFonts w:hint="default" w:eastAsia="宋体"/>
                <w:lang w:val="en-US" w:eastAsia="zh-CN"/>
              </w:rPr>
              <w:drawing>
                <wp:inline distT="0" distB="0" distL="114300" distR="114300">
                  <wp:extent cx="1073785" cy="970915"/>
                  <wp:effectExtent l="0" t="0" r="5715" b="6985"/>
                  <wp:docPr id="20" name="图片 20" descr="a9f04e9c6067e4687118be612cfe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a9f04e9c6067e4687118be612cfe866"/>
                          <pic:cNvPicPr>
                            <a:picLocks noChangeAspect="1"/>
                          </pic:cNvPicPr>
                        </pic:nvPicPr>
                        <pic:blipFill>
                          <a:blip r:embed="rId18"/>
                          <a:stretch>
                            <a:fillRect/>
                          </a:stretch>
                        </pic:blipFill>
                        <pic:spPr>
                          <a:xfrm>
                            <a:off x="0" y="0"/>
                            <a:ext cx="1073785" cy="970915"/>
                          </a:xfrm>
                          <a:prstGeom prst="rect">
                            <a:avLst/>
                          </a:prstGeom>
                        </pic:spPr>
                      </pic:pic>
                    </a:graphicData>
                  </a:graphic>
                </wp:inline>
              </w:drawing>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3" w:type="dxa"/>
          </w:tcPr>
          <w:p>
            <w:pPr>
              <w:rPr>
                <w:rFonts w:hint="default" w:eastAsia="宋体"/>
                <w:lang w:val="en-US" w:eastAsia="zh-CN"/>
              </w:rPr>
            </w:pPr>
            <w:r>
              <w:rPr>
                <w:rFonts w:hint="eastAsia"/>
                <w:color w:val="000000"/>
                <w:szCs w:val="21"/>
                <w:lang w:val="en-US" w:eastAsia="zh-CN"/>
              </w:rPr>
              <w:t>能源</w:t>
            </w:r>
            <w:r>
              <w:rPr>
                <w:rFonts w:hint="eastAsia"/>
                <w:color w:val="000000"/>
                <w:szCs w:val="21"/>
              </w:rPr>
              <w:t>目标</w:t>
            </w:r>
          </w:p>
        </w:tc>
        <w:tc>
          <w:tcPr>
            <w:tcW w:w="960" w:type="dxa"/>
          </w:tcPr>
          <w:p>
            <w:pPr>
              <w:rPr>
                <w:rFonts w:hint="default" w:eastAsia="宋体"/>
                <w:lang w:val="en-US" w:eastAsia="zh-CN"/>
              </w:rPr>
            </w:pPr>
            <w:r>
              <w:rPr>
                <w:rFonts w:hint="eastAsia"/>
                <w:color w:val="000000"/>
                <w:szCs w:val="21"/>
              </w:rPr>
              <w:t>En6.2</w:t>
            </w:r>
          </w:p>
        </w:tc>
        <w:tc>
          <w:tcPr>
            <w:tcW w:w="10004" w:type="dxa"/>
          </w:tcPr>
          <w:p>
            <w:pPr>
              <w:rPr>
                <w:rFonts w:hint="eastAsia" w:eastAsia="宋体"/>
                <w:lang w:eastAsia="zh-CN"/>
              </w:rPr>
            </w:pPr>
            <w:r>
              <w:rPr>
                <w:rFonts w:hint="eastAsia"/>
                <w:highlight w:val="none"/>
                <w:lang w:val="en-US" w:eastAsia="zh-CN"/>
              </w:rPr>
              <w:t>为保证公司能源目标：该部门制定绩效指标，但没有设置该部门的能源目标指标，执行公司的能源目标，经查符合要求。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资金支持/运行</w:t>
            </w:r>
          </w:p>
        </w:tc>
        <w:tc>
          <w:tcPr>
            <w:tcW w:w="960" w:type="dxa"/>
            <w:vAlign w:val="top"/>
          </w:tcPr>
          <w:p>
            <w:pPr>
              <w:pStyle w:val="21"/>
              <w:rPr>
                <w:rFonts w:hint="default" w:ascii="Times New Roman" w:hAnsi="Times New Roman" w:eastAsia="宋体" w:cs="Times New Roman"/>
                <w:bCs/>
                <w:spacing w:val="10"/>
                <w:kern w:val="2"/>
                <w:sz w:val="21"/>
                <w:lang w:val="en-US" w:eastAsia="zh-CN" w:bidi="ar-SA"/>
              </w:rPr>
            </w:pPr>
            <w:r>
              <w:rPr>
                <w:rFonts w:hint="eastAsia"/>
                <w:lang w:val="en-US" w:eastAsia="zh-CN"/>
              </w:rPr>
              <w:t>En8.1</w:t>
            </w:r>
          </w:p>
        </w:tc>
        <w:tc>
          <w:tcPr>
            <w:tcW w:w="10004" w:type="dxa"/>
            <w:vAlign w:val="top"/>
          </w:tcPr>
          <w:p>
            <w:pPr>
              <w:pStyle w:val="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u w:val="none"/>
                <w:lang w:val="en-US" w:eastAsia="zh-CN"/>
              </w:rPr>
              <w:sym w:font="Wingdings" w:char="00FE"/>
            </w:r>
            <w:r>
              <w:rPr>
                <w:rFonts w:hint="eastAsia" w:asciiTheme="minorEastAsia" w:hAnsiTheme="minorEastAsia" w:eastAsiaTheme="minorEastAsia" w:cstheme="minorEastAsia"/>
                <w:sz w:val="21"/>
                <w:szCs w:val="21"/>
                <w:u w:val="none"/>
                <w:lang w:val="en-US" w:eastAsia="zh-CN"/>
              </w:rPr>
              <w:t>手册第8.4</w:t>
            </w:r>
            <w:r>
              <w:rPr>
                <w:rStyle w:val="19"/>
                <w:rFonts w:ascii="Times New Roman"/>
                <w:color w:val="auto"/>
                <w:u w:val="none"/>
              </w:rPr>
              <w:t>能源策划和控制</w:t>
            </w:r>
            <w:r>
              <w:rPr>
                <w:rFonts w:hint="eastAsia" w:asciiTheme="minorEastAsia" w:hAnsiTheme="minorEastAsia" w:eastAsiaTheme="minorEastAsia" w:cstheme="minorEastAsia"/>
                <w:sz w:val="21"/>
                <w:szCs w:val="21"/>
                <w:u w:val="none"/>
                <w:lang w:val="en-US" w:eastAsia="zh-CN"/>
              </w:rPr>
              <w:t>条款有规定</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1.节约用电的控制：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随手关灯、</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下班前关闭电源、</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控制空调温度（夏季≥26℃；冬季≤20℃）</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2.节约用水的控制：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随手关水龙头  </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使用节水龙头及马桶</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3.节约用纸的控制：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纸张双面使用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尽量采用电子版文件</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sz w:val="21"/>
                <w:szCs w:val="21"/>
                <w:lang w:val="en-US" w:eastAsia="zh-CN"/>
              </w:rPr>
              <w:t>党群文化部</w:t>
            </w:r>
            <w:r>
              <w:rPr>
                <w:rFonts w:hint="eastAsia" w:asciiTheme="minorEastAsia" w:hAnsiTheme="minorEastAsia" w:eastAsiaTheme="minorEastAsia" w:cstheme="minorEastAsia"/>
                <w:sz w:val="21"/>
                <w:szCs w:val="21"/>
                <w:lang w:val="en-US" w:eastAsia="zh-CN"/>
              </w:rPr>
              <w:t>用能主要是办公用能。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该部门要求员工照明灯不用时及时将电源关闭， 电脑不使用时及时将电源关闭，电脑设置休眠功能，夏天空调设置26度以上。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default" w:ascii="Times New Roman" w:hAnsi="Times New Roman" w:eastAsia="宋体" w:cs="Times New Roman"/>
                <w:bCs w:val="0"/>
                <w:color w:val="0000FF"/>
                <w:spacing w:val="0"/>
                <w:kern w:val="2"/>
                <w:sz w:val="21"/>
                <w:szCs w:val="22"/>
                <w:lang w:val="en-US" w:eastAsia="zh-CN" w:bidi="ar-SA"/>
              </w:rPr>
            </w:pPr>
            <w:r>
              <w:rPr>
                <w:rFonts w:hint="eastAsia" w:asciiTheme="minorEastAsia" w:hAnsiTheme="minorEastAsia" w:eastAsiaTheme="minorEastAsia" w:cstheme="minorEastAsia"/>
                <w:sz w:val="21"/>
                <w:szCs w:val="21"/>
                <w:lang w:val="en-US" w:eastAsia="zh-CN"/>
              </w:rPr>
              <w:t>办公区张贴节约用电和节约用水的宣传标识。能够做到人走灯息、空调在26度以上。</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Align w:val="top"/>
          </w:tcPr>
          <w:p>
            <w:pPr>
              <w:rPr>
                <w:rFonts w:ascii="Times New Roman" w:hAnsi="Times New Roman" w:eastAsia="宋体" w:cs="Times New Roman"/>
                <w:kern w:val="2"/>
                <w:sz w:val="21"/>
                <w:lang w:val="en-US" w:eastAsia="zh-CN" w:bidi="ar-SA"/>
              </w:rPr>
            </w:pPr>
            <w:r>
              <w:rPr>
                <w:rFonts w:hint="eastAsia"/>
              </w:rPr>
              <w:t>信息交流</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rPr>
              <w:t>En</w:t>
            </w:r>
            <w:r>
              <w:t>7</w:t>
            </w:r>
            <w:r>
              <w:rPr>
                <w:rFonts w:hint="eastAsia"/>
              </w:rPr>
              <w:t>.</w:t>
            </w:r>
            <w:r>
              <w:t>4</w:t>
            </w:r>
          </w:p>
        </w:tc>
        <w:tc>
          <w:tcPr>
            <w:tcW w:w="10004" w:type="dxa"/>
            <w:vAlign w:val="top"/>
          </w:tcPr>
          <w:p>
            <w:pPr>
              <w:pStyle w:val="13"/>
              <w:numPr>
                <w:ilvl w:val="0"/>
                <w:numId w:val="0"/>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在沟通方面，管理手册、</w:t>
            </w:r>
            <w:r>
              <w:rPr>
                <w:rFonts w:hint="eastAsia" w:ascii="Times New Roman" w:hAnsi="宋体" w:cs="Times New Roman"/>
              </w:rPr>
              <w:t>《信息资源管理办法</w:t>
            </w:r>
            <w:r>
              <w:rPr>
                <w:rFonts w:hint="eastAsia" w:hAnsi="宋体"/>
                <w:sz w:val="21"/>
                <w:szCs w:val="21"/>
              </w:rPr>
              <w:t>》</w:t>
            </w:r>
            <w:r>
              <w:rPr>
                <w:rFonts w:hint="eastAsia" w:ascii="Times New Roman" w:hAnsi="宋体" w:cs="Times New Roman"/>
                <w:lang w:val="en-US" w:eastAsia="zh-CN"/>
              </w:rPr>
              <w:t>、</w:t>
            </w:r>
            <w:r>
              <w:rPr>
                <w:rFonts w:hint="eastAsia" w:hAnsi="宋体"/>
                <w:sz w:val="21"/>
                <w:szCs w:val="21"/>
              </w:rPr>
              <w:t>《沟通与协商管理办法》</w:t>
            </w:r>
            <w:r>
              <w:rPr>
                <w:rFonts w:hint="eastAsia" w:hAnsi="宋体"/>
                <w:sz w:val="21"/>
                <w:szCs w:val="21"/>
                <w:lang w:val="en-US" w:eastAsia="zh-CN"/>
              </w:rPr>
              <w:t>等</w:t>
            </w:r>
            <w:r>
              <w:rPr>
                <w:rFonts w:hint="eastAsia"/>
                <w:color w:val="000000" w:themeColor="text1"/>
                <w:lang w:val="en-US" w:eastAsia="zh-CN"/>
                <w14:textFill>
                  <w14:solidFill>
                    <w14:schemeClr w14:val="tx1"/>
                  </w14:solidFill>
                </w14:textFill>
              </w:rPr>
              <w:t>文件中公司均有相应的规定。</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外部信息指有关的法律法规，上级部门、顾客、供方及其他相关方的信息,由各部门根据职责分工在公司内部及外部相关方之间进行传递和沟通，主要包括：</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 来源于认证机构、节能行政主管部门、节能监察机构及能源监测机构监督、检查或监测的结果及反馈的有关信息；</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b) 法律法规、标准类信息；</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 来源于顾客、供方及其他相关方的信息。</w:t>
            </w:r>
          </w:p>
          <w:p>
            <w:pPr>
              <w:pStyle w:val="32"/>
              <w:spacing w:line="36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公司内部</w:t>
            </w:r>
            <w:r>
              <w:rPr>
                <w:rFonts w:hint="eastAsia" w:ascii="Times New Roman" w:hAnsi="宋体" w:cs="Times New Roman"/>
              </w:rPr>
              <w:t>公司确定与管理体系相关的内部沟通需求，建立并实施《信息资源管理办法》，包括：沟通的内容、沟通的时机、沟通的对象、如何沟通（包括沟通的方法、工具和途径）。公司建立职工代表大会制度，推行厂务公开、民主管理，开展职业健康安全危险源识别和风险评价等活动，提供员工参与协商沟通渠道，确保员工权益得到保障。</w:t>
            </w:r>
            <w:r>
              <w:rPr>
                <w:rFonts w:hint="eastAsia"/>
                <w:color w:val="000000" w:themeColor="text1"/>
                <w:lang w:val="en-US" w:eastAsia="zh-CN"/>
                <w14:textFill>
                  <w14:solidFill>
                    <w14:schemeClr w14:val="tx1"/>
                  </w14:solidFill>
                </w14:textFill>
              </w:rPr>
              <w:t>公司沟通还包括：会议、电话、网络、文件、专题会议等。</w:t>
            </w:r>
          </w:p>
          <w:p>
            <w:pPr>
              <w:numPr>
                <w:ilvl w:val="0"/>
                <w:numId w:val="0"/>
              </w:numPr>
              <w:ind w:firstLine="420" w:firstLineChars="200"/>
              <w:rPr>
                <w:rFonts w:hint="eastAsia" w:ascii="Times New Roman" w:hAnsi="Times New Roman" w:eastAsia="宋体" w:cs="Times New Roman"/>
                <w:kern w:val="2"/>
                <w:sz w:val="21"/>
                <w:lang w:val="en-US" w:eastAsia="zh-CN" w:bidi="ar-SA"/>
              </w:rPr>
            </w:pPr>
            <w:r>
              <w:rPr>
                <w:rFonts w:hint="eastAsia"/>
                <w:color w:val="000000" w:themeColor="text1"/>
                <w:lang w:eastAsia="zh-CN"/>
                <w14:textFill>
                  <w14:solidFill>
                    <w14:schemeClr w14:val="tx1"/>
                  </w14:solidFill>
                </w14:textFill>
              </w:rPr>
              <w:t>公司内外部信息沟通保持了畅通。</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highlight w:val="none"/>
              </w:rPr>
              <w:t>不符合与纠正措施</w:t>
            </w:r>
          </w:p>
        </w:tc>
        <w:tc>
          <w:tcPr>
            <w:tcW w:w="960" w:type="dxa"/>
            <w:vAlign w:val="top"/>
          </w:tcPr>
          <w:p>
            <w:pPr>
              <w:pStyle w:val="21"/>
              <w:rPr>
                <w:rFonts w:hint="default"/>
                <w:highlight w:val="none"/>
                <w:lang w:val="en-US" w:eastAsia="zh-CN"/>
              </w:rPr>
            </w:pPr>
            <w:r>
              <w:rPr>
                <w:rFonts w:hint="eastAsia"/>
                <w:highlight w:val="none"/>
                <w:lang w:val="en-US" w:eastAsia="zh-CN"/>
              </w:rPr>
              <w:t>En10.1</w:t>
            </w:r>
          </w:p>
          <w:p>
            <w:pPr>
              <w:pStyle w:val="21"/>
              <w:rPr>
                <w:rFonts w:ascii="Times New Roman" w:hAnsi="Times New Roman" w:eastAsia="宋体" w:cs="Times New Roman"/>
                <w:kern w:val="2"/>
                <w:sz w:val="21"/>
                <w:lang w:val="en-US" w:eastAsia="zh-CN" w:bidi="ar-SA"/>
              </w:rPr>
            </w:pPr>
          </w:p>
        </w:tc>
        <w:tc>
          <w:tcPr>
            <w:tcW w:w="10004" w:type="dxa"/>
            <w:vAlign w:val="top"/>
          </w:tcPr>
          <w:p>
            <w:pPr>
              <w:rPr>
                <w:rFonts w:ascii="宋体" w:hAnsi="宋体" w:cs="宋体"/>
                <w:sz w:val="21"/>
                <w:szCs w:val="21"/>
              </w:rPr>
            </w:pPr>
            <w:r>
              <w:rPr>
                <w:rFonts w:hint="eastAsia" w:ascii="宋体" w:hAnsi="宋体" w:cs="宋体"/>
                <w:sz w:val="21"/>
                <w:szCs w:val="21"/>
              </w:rPr>
              <w:t>公司</w:t>
            </w:r>
            <w:r>
              <w:rPr>
                <w:rFonts w:hint="eastAsia" w:ascii="宋体" w:hAnsi="宋体" w:cs="宋体"/>
                <w:sz w:val="21"/>
                <w:szCs w:val="21"/>
                <w:lang w:val="en-US" w:eastAsia="zh-CN"/>
              </w:rPr>
              <w:t>管理手册10.1中</w:t>
            </w:r>
            <w:r>
              <w:rPr>
                <w:rFonts w:hint="eastAsia" w:ascii="宋体" w:hAnsi="宋体" w:cs="宋体"/>
                <w:sz w:val="21"/>
                <w:szCs w:val="21"/>
              </w:rPr>
              <w:t>，规定了纠正措施的来源,明确了对不合格项应进行原因分析,制定纠正措施计划,实施跟踪验证,确保所采取 的纠正措施满足预期要求。</w:t>
            </w:r>
          </w:p>
          <w:p>
            <w:pPr>
              <w:rPr>
                <w:rFonts w:ascii="Times New Roman" w:hAnsi="Times New Roman" w:eastAsia="宋体" w:cs="Times New Roman"/>
                <w:kern w:val="2"/>
                <w:sz w:val="21"/>
                <w:lang w:val="en-US" w:eastAsia="zh-CN" w:bidi="ar-SA"/>
              </w:rPr>
            </w:pPr>
            <w:r>
              <w:rPr>
                <w:rFonts w:hint="eastAsia" w:ascii="宋体" w:hAnsi="宋体" w:cs="宋体"/>
                <w:sz w:val="21"/>
                <w:szCs w:val="21"/>
              </w:rPr>
              <w:t>通过交谈，基本能清楚纠正和预防措施的控制要求。</w:t>
            </w:r>
            <w:r>
              <w:rPr>
                <w:rFonts w:hint="eastAsia" w:ascii="宋体" w:hAnsi="宋体" w:cs="宋体"/>
                <w:sz w:val="21"/>
                <w:szCs w:val="21"/>
                <w:lang w:val="en-US" w:eastAsia="zh-CN"/>
              </w:rPr>
              <w:t>经沟通自体系建立该部门没有</w:t>
            </w:r>
            <w:r>
              <w:rPr>
                <w:rFonts w:hint="eastAsia" w:ascii="宋体" w:hAnsi="宋体" w:cs="宋体"/>
                <w:sz w:val="21"/>
                <w:szCs w:val="21"/>
              </w:rPr>
              <w:t>不符合发生。</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tc>
      </w:tr>
    </w:tbl>
    <w:p>
      <w:pPr>
        <w:pStyle w:val="10"/>
        <w:rPr>
          <w:rFonts w:hint="eastAsia"/>
        </w:rPr>
      </w:pPr>
    </w:p>
    <w:p>
      <w:pPr>
        <w:pStyle w:val="10"/>
        <w:rPr>
          <w:rFonts w:hint="eastAsia"/>
        </w:rPr>
      </w:pPr>
    </w:p>
    <w:p>
      <w:pPr>
        <w:spacing w:line="480" w:lineRule="exact"/>
        <w:jc w:val="both"/>
        <w:rPr>
          <w:rFonts w:hint="eastAsia" w:ascii="隶书" w:hAnsi="宋体" w:eastAsia="隶书"/>
          <w:bCs/>
          <w:color w:val="000000" w:themeColor="text1"/>
          <w:sz w:val="36"/>
          <w:szCs w:val="36"/>
          <w14:textFill>
            <w14:solidFill>
              <w14:schemeClr w14:val="tx1"/>
            </w14:solidFill>
          </w14:textFill>
        </w:rPr>
      </w:pPr>
    </w:p>
    <w:p>
      <w:pPr>
        <w:spacing w:line="480" w:lineRule="exact"/>
        <w:jc w:val="center"/>
        <w:rPr>
          <w:rFonts w:hint="eastAsia" w:ascii="隶书" w:hAnsi="宋体" w:eastAsia="隶书"/>
          <w:bCs/>
          <w:color w:val="000000" w:themeColor="text1"/>
          <w:sz w:val="36"/>
          <w:szCs w:val="36"/>
          <w14:textFill>
            <w14:solidFill>
              <w14:schemeClr w14:val="tx1"/>
            </w14:solidFill>
          </w14:textFill>
        </w:rPr>
      </w:pPr>
    </w:p>
    <w:p>
      <w:pPr>
        <w:spacing w:line="480" w:lineRule="exact"/>
        <w:jc w:val="center"/>
        <w:rPr>
          <w:rFonts w:ascii="隶书" w:hAnsi="宋体" w:eastAsia="隶书"/>
          <w:bCs/>
          <w:color w:val="000000" w:themeColor="text1"/>
          <w:sz w:val="36"/>
          <w:szCs w:val="36"/>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tbl>
      <w:tblPr>
        <w:tblStyle w:val="1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Merge w:val="restart"/>
            <w:vAlign w:val="center"/>
          </w:tcPr>
          <w:p>
            <w:pPr>
              <w:numPr>
                <w:ilvl w:val="0"/>
                <w:numId w:val="0"/>
              </w:numPr>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过程与活动、</w:t>
            </w:r>
          </w:p>
          <w:p>
            <w:pPr>
              <w:numPr>
                <w:ilvl w:val="0"/>
                <w:numId w:val="0"/>
              </w:numPr>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抽样计划</w:t>
            </w:r>
          </w:p>
        </w:tc>
        <w:tc>
          <w:tcPr>
            <w:tcW w:w="960" w:type="dxa"/>
            <w:vMerge w:val="restart"/>
            <w:vAlign w:val="center"/>
          </w:tcPr>
          <w:p>
            <w:pPr>
              <w:numPr>
                <w:ilvl w:val="0"/>
                <w:numId w:val="0"/>
              </w:numPr>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涉及</w:t>
            </w:r>
          </w:p>
          <w:p>
            <w:pPr>
              <w:numPr>
                <w:ilvl w:val="0"/>
                <w:numId w:val="0"/>
              </w:numPr>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条款</w:t>
            </w:r>
          </w:p>
        </w:tc>
        <w:tc>
          <w:tcPr>
            <w:tcW w:w="10376" w:type="dxa"/>
            <w:vAlign w:val="center"/>
          </w:tcPr>
          <w:p>
            <w:pPr>
              <w:numPr>
                <w:ilvl w:val="0"/>
                <w:numId w:val="0"/>
              </w:numPr>
              <w:jc w:val="both"/>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 xml:space="preserve">受审核部门：企业管理部    主管领导：孙健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陪同人员： </w:t>
            </w:r>
            <w:r>
              <w:rPr>
                <w:rFonts w:hint="eastAsia"/>
                <w:color w:val="000000" w:themeColor="text1"/>
                <w:szCs w:val="21"/>
                <w:lang w:val="en-US" w:eastAsia="zh-CN"/>
                <w14:textFill>
                  <w14:solidFill>
                    <w14:schemeClr w14:val="tx1"/>
                  </w14:solidFill>
                </w14:textFill>
              </w:rPr>
              <w:t>杨雷波</w:t>
            </w:r>
          </w:p>
        </w:tc>
        <w:tc>
          <w:tcPr>
            <w:tcW w:w="1213" w:type="dxa"/>
            <w:vMerge w:val="restart"/>
            <w:vAlign w:val="center"/>
          </w:tcPr>
          <w:p>
            <w:pPr>
              <w:numPr>
                <w:ilvl w:val="0"/>
                <w:numId w:val="0"/>
              </w:numPr>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jc w:val="center"/>
              <w:rPr>
                <w:rFonts w:hint="eastAsia"/>
                <w:color w:val="000000" w:themeColor="text1"/>
                <w:szCs w:val="22"/>
                <w:lang w:val="en-US" w:eastAsia="zh-CN"/>
                <w14:textFill>
                  <w14:solidFill>
                    <w14:schemeClr w14:val="tx1"/>
                  </w14:solidFill>
                </w14:textFill>
              </w:rPr>
            </w:pPr>
          </w:p>
        </w:tc>
        <w:tc>
          <w:tcPr>
            <w:tcW w:w="960" w:type="dxa"/>
            <w:vMerge w:val="continue"/>
            <w:vAlign w:val="center"/>
          </w:tcPr>
          <w:p>
            <w:pPr>
              <w:numPr>
                <w:ilvl w:val="0"/>
                <w:numId w:val="0"/>
              </w:numPr>
              <w:jc w:val="center"/>
              <w:rPr>
                <w:rFonts w:hint="eastAsia"/>
                <w:color w:val="000000" w:themeColor="text1"/>
                <w:szCs w:val="22"/>
                <w:lang w:val="en-US" w:eastAsia="zh-CN"/>
                <w14:textFill>
                  <w14:solidFill>
                    <w14:schemeClr w14:val="tx1"/>
                  </w14:solidFill>
                </w14:textFill>
              </w:rPr>
            </w:pPr>
          </w:p>
        </w:tc>
        <w:tc>
          <w:tcPr>
            <w:tcW w:w="10376" w:type="dxa"/>
            <w:vAlign w:val="center"/>
          </w:tcPr>
          <w:p>
            <w:pPr>
              <w:numPr>
                <w:ilvl w:val="0"/>
                <w:numId w:val="0"/>
              </w:numPr>
              <w:jc w:val="both"/>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 xml:space="preserve">审核员：范玲玲    </w:t>
            </w:r>
            <w:r>
              <w:rPr>
                <w:rFonts w:hint="eastAsia"/>
                <w:color w:val="000000"/>
                <w:sz w:val="21"/>
                <w:szCs w:val="21"/>
                <w:lang w:eastAsia="zh-CN"/>
              </w:rPr>
              <w:t>（</w:t>
            </w:r>
            <w:r>
              <w:rPr>
                <w:rFonts w:hint="eastAsia"/>
                <w:color w:val="000000"/>
                <w:sz w:val="21"/>
                <w:szCs w:val="21"/>
                <w:lang w:val="en-US" w:eastAsia="zh-CN"/>
              </w:rPr>
              <w:t>远程审核采用微信、文件传输、电话、腾讯会议等工具实施审核</w:t>
            </w:r>
            <w:r>
              <w:rPr>
                <w:rFonts w:hint="eastAsia"/>
                <w:color w:val="000000"/>
                <w:sz w:val="21"/>
                <w:szCs w:val="21"/>
                <w:lang w:eastAsia="zh-CN"/>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 xml:space="preserve"> </w:t>
            </w:r>
          </w:p>
          <w:p>
            <w:pPr>
              <w:numPr>
                <w:ilvl w:val="0"/>
                <w:numId w:val="0"/>
              </w:numPr>
              <w:jc w:val="both"/>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审核时间：2022年12月29日</w:t>
            </w:r>
          </w:p>
        </w:tc>
        <w:tc>
          <w:tcPr>
            <w:tcW w:w="1213" w:type="dxa"/>
            <w:vMerge w:val="continue"/>
          </w:tcPr>
          <w:p>
            <w:pPr>
              <w:numPr>
                <w:ilvl w:val="0"/>
                <w:numId w:val="0"/>
              </w:numPr>
              <w:jc w:val="center"/>
              <w:rPr>
                <w:rFonts w:hint="eastAsia"/>
                <w:color w:val="000000" w:themeColor="text1"/>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numPr>
                <w:ilvl w:val="0"/>
                <w:numId w:val="0"/>
              </w:numPr>
              <w:rPr>
                <w:rFonts w:hint="eastAsia"/>
                <w:color w:val="000000" w:themeColor="text1"/>
                <w:szCs w:val="22"/>
                <w:lang w:val="en-US" w:eastAsia="zh-CN"/>
                <w14:textFill>
                  <w14:solidFill>
                    <w14:schemeClr w14:val="tx1"/>
                  </w14:solidFill>
                </w14:textFill>
              </w:rPr>
            </w:pPr>
          </w:p>
        </w:tc>
        <w:tc>
          <w:tcPr>
            <w:tcW w:w="960" w:type="dxa"/>
            <w:vMerge w:val="continue"/>
            <w:vAlign w:val="center"/>
          </w:tcPr>
          <w:p>
            <w:pPr>
              <w:numPr>
                <w:ilvl w:val="0"/>
                <w:numId w:val="0"/>
              </w:numPr>
              <w:rPr>
                <w:rFonts w:hint="eastAsia"/>
                <w:color w:val="000000" w:themeColor="text1"/>
                <w:szCs w:val="22"/>
                <w:lang w:val="en-US" w:eastAsia="zh-CN"/>
                <w14:textFill>
                  <w14:solidFill>
                    <w14:schemeClr w14:val="tx1"/>
                  </w14:solidFill>
                </w14:textFill>
              </w:rPr>
            </w:pPr>
          </w:p>
        </w:tc>
        <w:tc>
          <w:tcPr>
            <w:tcW w:w="10376" w:type="dxa"/>
            <w:vAlign w:val="center"/>
          </w:tcPr>
          <w:p>
            <w:pPr>
              <w:spacing w:line="300" w:lineRule="exact"/>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审核条款：</w:t>
            </w:r>
            <w:r>
              <w:rPr>
                <w:rFonts w:hint="eastAsia" w:ascii="Times New Roman" w:hAnsi="Times New Roman" w:eastAsia="宋体" w:cs="Times New Roman"/>
                <w:sz w:val="21"/>
                <w:szCs w:val="21"/>
                <w:highlight w:val="none"/>
                <w:lang w:val="en-US" w:eastAsia="zh-CN"/>
              </w:rPr>
              <w:t>EnMS:5.3/6.2/7.4/7.5/8.1/9.2/10.1</w:t>
            </w:r>
            <w:r>
              <w:rPr>
                <w:rFonts w:hint="eastAsia" w:eastAsia="宋体"/>
                <w:color w:val="000000" w:themeColor="text1"/>
                <w:szCs w:val="22"/>
                <w:lang w:val="en-US" w:eastAsia="zh-CN"/>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 xml:space="preserve"> </w:t>
            </w:r>
          </w:p>
        </w:tc>
        <w:tc>
          <w:tcPr>
            <w:tcW w:w="1213"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21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能源</w:t>
            </w:r>
            <w:r>
              <w:rPr>
                <w:rFonts w:hint="eastAsia"/>
                <w:color w:val="000000" w:themeColor="text1"/>
                <w14:textFill>
                  <w14:solidFill>
                    <w14:schemeClr w14:val="tx1"/>
                  </w14:solidFill>
                </w14:textFill>
              </w:rPr>
              <w:t>职责、</w:t>
            </w:r>
            <w:r>
              <w:rPr>
                <w:rFonts w:hint="eastAsia"/>
                <w:color w:val="000000" w:themeColor="text1"/>
                <w:lang w:val="en-US" w:eastAsia="zh-CN"/>
                <w14:textFill>
                  <w14:solidFill>
                    <w14:schemeClr w14:val="tx1"/>
                  </w14:solidFill>
                </w14:textFill>
              </w:rPr>
              <w:t>能源</w:t>
            </w:r>
            <w:r>
              <w:rPr>
                <w:rFonts w:hint="eastAsia"/>
                <w:color w:val="000000" w:themeColor="text1"/>
                <w14:textFill>
                  <w14:solidFill>
                    <w14:schemeClr w14:val="tx1"/>
                  </w14:solidFill>
                </w14:textFill>
              </w:rPr>
              <w:t>管理目标及实现措施策划适宜性，履行职责和目标</w:t>
            </w:r>
            <w:r>
              <w:rPr>
                <w:rFonts w:hint="eastAsia"/>
                <w:color w:val="000000" w:themeColor="text1"/>
                <w:lang w:val="en-US" w:eastAsia="zh-CN"/>
                <w14:textFill>
                  <w14:solidFill>
                    <w14:schemeClr w14:val="tx1"/>
                  </w14:solidFill>
                </w14:textFill>
              </w:rPr>
              <w:t>方案</w:t>
            </w:r>
            <w:r>
              <w:rPr>
                <w:rFonts w:hint="eastAsia"/>
                <w:color w:val="000000" w:themeColor="text1"/>
                <w14:textFill>
                  <w14:solidFill>
                    <w14:schemeClr w14:val="tx1"/>
                  </w14:solidFill>
                </w14:textFill>
              </w:rPr>
              <w:t>实现情况；</w:t>
            </w:r>
          </w:p>
          <w:p>
            <w:pPr>
              <w:pStyle w:val="13"/>
              <w:rPr>
                <w:color w:val="000000" w:themeColor="text1"/>
                <w14:textFill>
                  <w14:solidFill>
                    <w14:schemeClr w14:val="tx1"/>
                  </w14:solidFill>
                </w14:textFill>
              </w:rPr>
            </w:pPr>
          </w:p>
        </w:tc>
        <w:tc>
          <w:tcPr>
            <w:tcW w:w="96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6.2</w:t>
            </w:r>
          </w:p>
          <w:p>
            <w:pPr>
              <w:pStyle w:val="13"/>
              <w:rPr>
                <w:color w:val="000000" w:themeColor="text1"/>
                <w14:textFill>
                  <w14:solidFill>
                    <w14:schemeClr w14:val="tx1"/>
                  </w14:solidFill>
                </w14:textFill>
              </w:rPr>
            </w:pPr>
          </w:p>
        </w:tc>
        <w:tc>
          <w:tcPr>
            <w:tcW w:w="10376" w:type="dxa"/>
          </w:tcPr>
          <w:p>
            <w:pPr>
              <w:pStyle w:val="13"/>
              <w:numPr>
                <w:ilvl w:val="0"/>
                <w:numId w:val="0"/>
              </w:numPr>
              <w:rPr>
                <w:rFonts w:hint="default"/>
                <w:lang w:val="en-US" w:eastAsia="zh-CN"/>
              </w:rPr>
            </w:pPr>
            <w:r>
              <w:rPr>
                <w:rFonts w:hint="eastAsia"/>
                <w:lang w:val="en-US" w:eastAsia="zh-CN"/>
              </w:rPr>
              <w:t>一、企业管理部主管领导：</w:t>
            </w:r>
            <w:r>
              <w:rPr>
                <w:rFonts w:hint="eastAsia"/>
                <w:color w:val="000000" w:themeColor="text1"/>
                <w:szCs w:val="22"/>
                <w:lang w:val="en-US" w:eastAsia="zh-CN"/>
                <w14:textFill>
                  <w14:solidFill>
                    <w14:schemeClr w14:val="tx1"/>
                  </w14:solidFill>
                </w14:textFill>
              </w:rPr>
              <w:t>孙健</w:t>
            </w:r>
            <w:r>
              <w:rPr>
                <w:rFonts w:hint="eastAsia"/>
                <w:lang w:val="en-US" w:eastAsia="zh-CN"/>
              </w:rPr>
              <w:t>。岗位设置：档案室、信访维稳办公室、保密办公室等。</w:t>
            </w:r>
          </w:p>
          <w:p>
            <w:pPr>
              <w:numPr>
                <w:ilvl w:val="0"/>
                <w:numId w:val="0"/>
              </w:numPr>
              <w:rPr>
                <w:rFonts w:hint="default" w:ascii="宋体" w:hAnsi="宋体" w:eastAsia="宋体" w:cs="宋体"/>
                <w:sz w:val="21"/>
                <w:szCs w:val="21"/>
                <w:lang w:val="en-US" w:eastAsia="zh-CN"/>
              </w:rPr>
            </w:pPr>
            <w:r>
              <w:rPr>
                <w:rFonts w:hint="eastAsia"/>
                <w:lang w:val="en-US" w:eastAsia="zh-CN"/>
              </w:rPr>
              <w:t>企业管理部部门职责：</w:t>
            </w:r>
            <w:r>
              <w:rPr>
                <w:rFonts w:hint="eastAsia" w:ascii="宋体" w:hAnsi="宋体" w:cs="宋体"/>
                <w:color w:val="000000"/>
                <w:kern w:val="0"/>
                <w:szCs w:val="21"/>
              </w:rPr>
              <w:t>企业管理部负责合同档案借阅手续的审批</w:t>
            </w:r>
            <w:r>
              <w:rPr>
                <w:rFonts w:hint="eastAsia" w:ascii="宋体" w:hAnsi="宋体" w:eastAsia="宋体" w:cs="宋体"/>
                <w:sz w:val="21"/>
                <w:szCs w:val="21"/>
                <w:lang w:val="en-US" w:eastAsia="zh-CN"/>
              </w:rPr>
              <w:t>；</w:t>
            </w:r>
            <w:r>
              <w:rPr>
                <w:rFonts w:hint="eastAsia" w:ascii="宋体" w:hAnsi="宋体" w:cs="宋体"/>
                <w:color w:val="000000"/>
                <w:kern w:val="0"/>
                <w:szCs w:val="21"/>
              </w:rPr>
              <w:t>企业管理部（法律事务部）：负责提供保密相关法律支持；协助保密委员会做好相关泄密案件查处工作</w:t>
            </w:r>
            <w:r>
              <w:rPr>
                <w:rFonts w:hint="eastAsia" w:ascii="宋体" w:hAnsi="宋体" w:cs="宋体"/>
                <w:color w:val="000000"/>
                <w:kern w:val="0"/>
                <w:szCs w:val="21"/>
                <w:lang w:eastAsia="zh-CN"/>
              </w:rPr>
              <w:t>；</w:t>
            </w:r>
            <w:r>
              <w:rPr>
                <w:rFonts w:hint="eastAsia" w:ascii="宋体" w:hAnsi="宋体" w:cs="宋体"/>
                <w:color w:val="000000"/>
                <w:kern w:val="0"/>
                <w:szCs w:val="21"/>
              </w:rPr>
              <w:t>企业管理部（法律事务部）负责重大决策事项、重大项目安排事项的合法性审查</w:t>
            </w:r>
            <w:r>
              <w:rPr>
                <w:rFonts w:hint="eastAsia" w:ascii="宋体" w:hAnsi="宋体" w:cs="宋体"/>
                <w:color w:val="000000"/>
                <w:kern w:val="0"/>
                <w:szCs w:val="21"/>
                <w:lang w:eastAsia="zh-CN"/>
              </w:rPr>
              <w:t>；</w:t>
            </w:r>
            <w:r>
              <w:rPr>
                <w:rFonts w:hint="eastAsia" w:ascii="宋体" w:hAnsi="宋体" w:cs="宋体"/>
                <w:color w:val="000000"/>
                <w:kern w:val="0"/>
                <w:szCs w:val="21"/>
              </w:rPr>
              <w:t>负责组织涉及安全生产、装置运行、产品质量等方面的技术攻关项目的征集、筛选、确定和完成情况的审核确认</w:t>
            </w:r>
            <w:r>
              <w:rPr>
                <w:rFonts w:hint="eastAsia" w:ascii="宋体" w:hAnsi="宋体" w:cs="宋体"/>
                <w:color w:val="000000"/>
                <w:kern w:val="0"/>
                <w:szCs w:val="21"/>
                <w:lang w:eastAsia="zh-CN"/>
              </w:rPr>
              <w:t>；</w:t>
            </w:r>
            <w:r>
              <w:rPr>
                <w:rFonts w:hint="eastAsia" w:ascii="宋体" w:hAnsi="宋体" w:cs="宋体"/>
                <w:color w:val="000000"/>
                <w:kern w:val="0"/>
                <w:szCs w:val="21"/>
              </w:rPr>
              <w:t>负责组织建立攻关团队和完成目标后对攻关团队的奖励</w:t>
            </w:r>
            <w:r>
              <w:rPr>
                <w:rFonts w:hint="eastAsia" w:ascii="宋体" w:hAnsi="宋体" w:cs="宋体"/>
                <w:color w:val="000000"/>
                <w:kern w:val="0"/>
                <w:szCs w:val="21"/>
                <w:lang w:eastAsia="zh-CN"/>
              </w:rPr>
              <w:t>；</w:t>
            </w:r>
            <w:r>
              <w:rPr>
                <w:rFonts w:hint="eastAsia" w:ascii="宋体" w:hAnsi="宋体" w:cs="宋体"/>
                <w:color w:val="000000"/>
                <w:kern w:val="0"/>
                <w:szCs w:val="21"/>
              </w:rPr>
              <w:t>对新引入的主力承包商的资质资信情况及相关法律问题进行审查</w:t>
            </w:r>
            <w:r>
              <w:rPr>
                <w:rFonts w:hint="eastAsia" w:ascii="宋体" w:hAnsi="宋体" w:cs="宋体"/>
                <w:color w:val="000000"/>
                <w:kern w:val="0"/>
                <w:szCs w:val="21"/>
                <w:lang w:eastAsia="zh-CN"/>
              </w:rPr>
              <w:t>，</w:t>
            </w:r>
            <w:r>
              <w:rPr>
                <w:rFonts w:hint="eastAsia" w:ascii="宋体" w:hAnsi="宋体" w:cs="宋体"/>
                <w:color w:val="000000"/>
                <w:kern w:val="0"/>
                <w:szCs w:val="21"/>
              </w:rPr>
              <w:t>并出具法律意见</w:t>
            </w:r>
            <w:r>
              <w:rPr>
                <w:rFonts w:hint="eastAsia" w:ascii="宋体" w:hAnsi="宋体" w:cs="宋体"/>
                <w:color w:val="000000"/>
                <w:kern w:val="0"/>
                <w:szCs w:val="21"/>
                <w:lang w:eastAsia="zh-CN"/>
              </w:rPr>
              <w:t>；</w:t>
            </w:r>
            <w:r>
              <w:rPr>
                <w:rFonts w:hint="eastAsia" w:ascii="宋体" w:hAnsi="宋体"/>
                <w:bCs/>
                <w:sz w:val="21"/>
                <w:szCs w:val="21"/>
              </w:rPr>
              <w:t>负责协调处理碳交易过程产生的法律纠纷</w:t>
            </w:r>
            <w:r>
              <w:rPr>
                <w:rFonts w:hint="eastAsia" w:ascii="宋体" w:hAnsi="宋体" w:eastAsia="宋体" w:cs="宋体"/>
                <w:sz w:val="21"/>
                <w:szCs w:val="21"/>
                <w:lang w:val="en-US" w:eastAsia="zh-CN"/>
              </w:rPr>
              <w:t>等</w:t>
            </w:r>
          </w:p>
          <w:p>
            <w:pPr>
              <w:pStyle w:val="3"/>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二、负责人叙述：</w:t>
            </w:r>
            <w:r>
              <w:rPr>
                <w:rFonts w:hint="eastAsia" w:ascii="宋体" w:hAnsi="宋体" w:eastAsia="宋体" w:cs="宋体"/>
                <w:sz w:val="21"/>
                <w:szCs w:val="21"/>
                <w:highlight w:val="none"/>
                <w:lang w:val="en-US" w:eastAsia="zh-CN"/>
              </w:rPr>
              <w:t>为保证公司能源目标</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办公室</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lang w:val="en-US" w:eastAsia="zh-CN"/>
              </w:rPr>
              <w:t>能源目标</w:t>
            </w:r>
            <w:r>
              <w:rPr>
                <w:rFonts w:hint="eastAsia" w:ascii="宋体" w:hAnsi="宋体" w:cs="宋体"/>
                <w:sz w:val="21"/>
                <w:szCs w:val="21"/>
                <w:highlight w:val="none"/>
                <w:lang w:val="en-US" w:eastAsia="zh-CN"/>
              </w:rPr>
              <w:t>为：合规体系建设项目完成率100%；合同系统管控问题率下降20%；基层单位、职能部室、中心管理和技术人员体系审核轮训50%并合格；提供2022年1-11月目标考核记录，经查符合要求</w:t>
            </w:r>
            <w:r>
              <w:rPr>
                <w:rFonts w:hint="eastAsia" w:ascii="宋体" w:hAnsi="宋体" w:eastAsia="宋体" w:cs="宋体"/>
                <w:sz w:val="21"/>
                <w:szCs w:val="21"/>
                <w:highlight w:val="none"/>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做好自己的本职工作。</w:t>
            </w:r>
          </w:p>
          <w:p>
            <w:pPr>
              <w:pStyle w:val="21"/>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1066800" cy="988060"/>
                  <wp:effectExtent l="0" t="0" r="0" b="2540"/>
                  <wp:docPr id="33" name="图片 33" descr="167219480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72194803928"/>
                          <pic:cNvPicPr>
                            <a:picLocks noChangeAspect="1"/>
                          </pic:cNvPicPr>
                        </pic:nvPicPr>
                        <pic:blipFill>
                          <a:blip r:embed="rId19"/>
                          <a:stretch>
                            <a:fillRect/>
                          </a:stretch>
                        </pic:blipFill>
                        <pic:spPr>
                          <a:xfrm>
                            <a:off x="0" y="0"/>
                            <a:ext cx="1066800" cy="9880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877570" cy="984885"/>
                  <wp:effectExtent l="0" t="0" r="11430" b="5715"/>
                  <wp:docPr id="34" name="图片 34" descr="83ee4e292e1600f70f20fa178d0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83ee4e292e1600f70f20fa178d09402"/>
                          <pic:cNvPicPr>
                            <a:picLocks noChangeAspect="1"/>
                          </pic:cNvPicPr>
                        </pic:nvPicPr>
                        <pic:blipFill>
                          <a:blip r:embed="rId20"/>
                          <a:stretch>
                            <a:fillRect/>
                          </a:stretch>
                        </pic:blipFill>
                        <pic:spPr>
                          <a:xfrm>
                            <a:off x="0" y="0"/>
                            <a:ext cx="877570" cy="984885"/>
                          </a:xfrm>
                          <a:prstGeom prst="rect">
                            <a:avLst/>
                          </a:prstGeom>
                        </pic:spPr>
                      </pic:pic>
                    </a:graphicData>
                  </a:graphic>
                </wp:inline>
              </w:drawing>
            </w:r>
          </w:p>
        </w:tc>
        <w:tc>
          <w:tcPr>
            <w:tcW w:w="1213" w:type="dxa"/>
          </w:tcPr>
          <w:p>
            <w:pPr>
              <w:rPr>
                <w:rFonts w:hint="eastAsia"/>
                <w:lang w:val="en-US" w:eastAsia="zh-CN"/>
              </w:rPr>
            </w:pPr>
            <w:r>
              <w:rPr>
                <w:rFonts w:hint="eastAsia"/>
                <w:lang w:eastAsia="zh-CN"/>
              </w:rPr>
              <w:t>☑</w:t>
            </w:r>
            <w:r>
              <w:rPr>
                <w:rFonts w:hint="eastAsia"/>
                <w:lang w:val="en-US" w:eastAsia="zh-CN"/>
              </w:rPr>
              <w:t>符合</w:t>
            </w:r>
          </w:p>
          <w:p>
            <w:pPr>
              <w:rPr>
                <w:rFonts w:hint="default" w:eastAsia="宋体"/>
                <w:color w:val="000000" w:themeColor="text1"/>
                <w:lang w:val="en-US" w:eastAsia="zh-CN"/>
                <w14:textFill>
                  <w14:solidFill>
                    <w14:schemeClr w14:val="tx1"/>
                  </w14:solidFill>
                </w14:textFill>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0"/>
              </w:numPr>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沟通</w:t>
            </w:r>
            <w:r>
              <w:rPr>
                <w:rFonts w:hint="eastAsia"/>
                <w:color w:val="000000" w:themeColor="text1"/>
                <w:lang w:eastAsia="zh-CN"/>
                <w14:textFill>
                  <w14:solidFill>
                    <w14:schemeClr w14:val="tx1"/>
                  </w14:solidFill>
                </w14:textFill>
              </w:rPr>
              <w:t>；</w:t>
            </w:r>
          </w:p>
          <w:p>
            <w:pPr>
              <w:pStyle w:val="3"/>
              <w:numPr>
                <w:ilvl w:val="0"/>
                <w:numId w:val="0"/>
              </w:numPr>
              <w:ind w:leftChars="0"/>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p>
        </w:tc>
        <w:tc>
          <w:tcPr>
            <w:tcW w:w="960" w:type="dxa"/>
          </w:tcPr>
          <w:p>
            <w:pPr>
              <w:pStyle w:val="13"/>
              <w:ind w:left="0" w:leftChars="0" w:firstLine="0" w:firstLineChars="0"/>
              <w:rPr>
                <w:rFonts w:hint="default" w:eastAsia="宋体"/>
                <w:color w:val="000000" w:themeColor="text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7</w:t>
            </w:r>
            <w:r>
              <w:rPr>
                <w:rFonts w:hint="eastAsia"/>
                <w:color w:val="000000" w:themeColor="text1"/>
                <w14:textFill>
                  <w14:solidFill>
                    <w14:schemeClr w14:val="tx1"/>
                  </w14:solidFill>
                </w14:textFill>
              </w:rPr>
              <w:t>.</w:t>
            </w:r>
            <w:r>
              <w:rPr>
                <w:rFonts w:hint="eastAsia" w:ascii="宋体" w:hAnsi="宋体" w:cs="Times New Roman"/>
                <w:color w:val="000000" w:themeColor="text1"/>
                <w:sz w:val="21"/>
                <w:szCs w:val="21"/>
                <w:lang w:val="en-US" w:eastAsia="zh-CN"/>
                <w14:textFill>
                  <w14:solidFill>
                    <w14:schemeClr w14:val="tx1"/>
                  </w14:solidFill>
                </w14:textFill>
              </w:rPr>
              <w:t>4</w:t>
            </w:r>
          </w:p>
        </w:tc>
        <w:tc>
          <w:tcPr>
            <w:tcW w:w="10376" w:type="dxa"/>
          </w:tcPr>
          <w:p>
            <w:pPr>
              <w:pStyle w:val="13"/>
              <w:numPr>
                <w:ilvl w:val="0"/>
                <w:numId w:val="0"/>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在沟通方面，管理手册、</w:t>
            </w:r>
            <w:r>
              <w:rPr>
                <w:rFonts w:hint="eastAsia" w:ascii="Times New Roman" w:hAnsi="宋体" w:cs="Times New Roman"/>
              </w:rPr>
              <w:t>《信息资源管理办法</w:t>
            </w:r>
            <w:r>
              <w:rPr>
                <w:rFonts w:hint="eastAsia" w:hAnsi="宋体"/>
                <w:sz w:val="21"/>
                <w:szCs w:val="21"/>
              </w:rPr>
              <w:t>》</w:t>
            </w:r>
            <w:r>
              <w:rPr>
                <w:rFonts w:hint="eastAsia" w:ascii="Times New Roman" w:hAnsi="宋体" w:cs="Times New Roman"/>
                <w:lang w:val="en-US" w:eastAsia="zh-CN"/>
              </w:rPr>
              <w:t>、</w:t>
            </w:r>
            <w:r>
              <w:rPr>
                <w:rFonts w:hint="eastAsia" w:hAnsi="宋体"/>
                <w:sz w:val="21"/>
                <w:szCs w:val="21"/>
              </w:rPr>
              <w:t>《沟通与协商管理办法》</w:t>
            </w:r>
            <w:r>
              <w:rPr>
                <w:rFonts w:hint="eastAsia" w:hAnsi="宋体"/>
                <w:sz w:val="21"/>
                <w:szCs w:val="21"/>
                <w:lang w:val="en-US" w:eastAsia="zh-CN"/>
              </w:rPr>
              <w:t>等</w:t>
            </w:r>
            <w:r>
              <w:rPr>
                <w:rFonts w:hint="eastAsia"/>
                <w:color w:val="000000" w:themeColor="text1"/>
                <w:lang w:val="en-US" w:eastAsia="zh-CN"/>
                <w14:textFill>
                  <w14:solidFill>
                    <w14:schemeClr w14:val="tx1"/>
                  </w14:solidFill>
                </w14:textFill>
              </w:rPr>
              <w:t>文件中公司均有相应的规定。</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外部信息指有关的法律法规，上级部门、顾客、供方及其他相关方的信息,由各部门根据职责分工在公司内部及外部相关方之间进行传递和沟通，主要包括：</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 来源于认证机构、节能行政主管部门、节能监察机构及能源监测机构监督、检查或监测的结果及反馈的有关信息；</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b) 法律法规、标准类信息；</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 来源于顾客、供方及其他相关方的信息。</w:t>
            </w:r>
          </w:p>
          <w:p>
            <w:pPr>
              <w:pStyle w:val="32"/>
              <w:spacing w:line="36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公司内部</w:t>
            </w:r>
            <w:r>
              <w:rPr>
                <w:rFonts w:hint="eastAsia" w:ascii="Times New Roman" w:hAnsi="宋体" w:cs="Times New Roman"/>
              </w:rPr>
              <w:t>公司确定与管理体系相关的内部沟通需求，建立并实施《信息资源管理办法》，包括：沟通的内容、沟通的时机、沟通的对象、如何沟通（包括沟通的方法、工具和途径）。公司建立职工代表大会制度，推行厂务公开、民主管理，开展职业健康安全危险源识别和风险评价等活动，提供员工参与协商沟通渠道，确保员工权益得到保障。</w:t>
            </w:r>
            <w:r>
              <w:rPr>
                <w:rFonts w:hint="eastAsia"/>
                <w:color w:val="000000" w:themeColor="text1"/>
                <w:lang w:val="en-US" w:eastAsia="zh-CN"/>
                <w14:textFill>
                  <w14:solidFill>
                    <w14:schemeClr w14:val="tx1"/>
                  </w14:solidFill>
                </w14:textFill>
              </w:rPr>
              <w:t>公司沟通还包括：会议、电话、网络、文件、专题会议等。</w:t>
            </w:r>
          </w:p>
          <w:p>
            <w:pPr>
              <w:numPr>
                <w:ilvl w:val="0"/>
                <w:numId w:val="0"/>
              </w:numPr>
              <w:ind w:firstLine="420" w:firstLineChars="200"/>
              <w:rPr>
                <w:rFonts w:hint="default"/>
                <w:color w:val="000000" w:themeColor="text1"/>
                <w:sz w:val="21"/>
                <w:szCs w:val="2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公司内外部信息沟通保持了畅通。</w:t>
            </w:r>
          </w:p>
        </w:tc>
        <w:tc>
          <w:tcPr>
            <w:tcW w:w="1213" w:type="dxa"/>
          </w:tcPr>
          <w:p>
            <w:pPr>
              <w:rPr>
                <w:rFonts w:hint="eastAsia"/>
                <w:lang w:val="en-US" w:eastAsia="zh-CN"/>
              </w:rPr>
            </w:pPr>
            <w:r>
              <w:rPr>
                <w:rFonts w:hint="eastAsia"/>
                <w:lang w:eastAsia="zh-CN"/>
              </w:rPr>
              <w:t>☑</w:t>
            </w:r>
            <w:r>
              <w:rPr>
                <w:rFonts w:hint="eastAsia"/>
                <w:lang w:val="en-US" w:eastAsia="zh-CN"/>
              </w:rPr>
              <w:t>符合</w:t>
            </w:r>
          </w:p>
          <w:p>
            <w:pPr>
              <w:pStyle w:val="21"/>
              <w:rPr>
                <w:rFonts w:hint="eastAsia"/>
                <w:color w:val="000000" w:themeColor="text1"/>
                <w:lang w:val="en-US" w:eastAsia="zh-CN"/>
                <w14:textFill>
                  <w14:solidFill>
                    <w14:schemeClr w14:val="tx1"/>
                  </w14:solidFill>
                </w14:textFill>
              </w:rPr>
            </w:pPr>
            <w:r>
              <w:rPr>
                <w:rFonts w:hint="eastAsia"/>
              </w:rPr>
              <w:t>□</w:t>
            </w:r>
            <w:r>
              <w:rPr>
                <w:rFonts w:hint="eastAsia" w:ascii="Times New Roman" w:hAnsi="Times New Roman" w:eastAsia="宋体" w:cs="Times New Roman"/>
                <w:kern w:val="2"/>
                <w:sz w:val="21"/>
                <w:szCs w:val="20"/>
                <w:lang w:val="en-US" w:eastAsia="zh-CN" w:bidi="ar-SA"/>
              </w:rPr>
              <w:t>不符合</w:t>
            </w:r>
          </w:p>
          <w:p>
            <w:pPr>
              <w:pStyle w:val="21"/>
              <w:rPr>
                <w:rFonts w:hint="eastAsia"/>
                <w:color w:val="000000" w:themeColor="text1"/>
                <w:lang w:val="en-US" w:eastAsia="zh-CN"/>
                <w14:textFill>
                  <w14:solidFill>
                    <w14:schemeClr w14:val="tx1"/>
                  </w14:solidFill>
                </w14:textFill>
              </w:rPr>
            </w:pPr>
          </w:p>
          <w:p>
            <w:pPr>
              <w:pStyle w:val="21"/>
              <w:rPr>
                <w:rFonts w:hint="eastAsia"/>
                <w:color w:val="000000" w:themeColor="text1"/>
                <w:lang w:val="en-US" w:eastAsia="zh-CN"/>
                <w14:textFill>
                  <w14:solidFill>
                    <w14:schemeClr w14:val="tx1"/>
                  </w14:solidFill>
                </w14:textFill>
              </w:rPr>
            </w:pPr>
          </w:p>
          <w:p>
            <w:pPr>
              <w:pStyle w:val="21"/>
              <w:rPr>
                <w:rFonts w:hint="eastAsia"/>
                <w:color w:val="000000" w:themeColor="text1"/>
                <w:lang w:val="en-US" w:eastAsia="zh-CN"/>
                <w14:textFill>
                  <w14:solidFill>
                    <w14:schemeClr w14:val="tx1"/>
                  </w14:solidFill>
                </w14:textFill>
              </w:rPr>
            </w:pPr>
          </w:p>
          <w:p>
            <w:pPr>
              <w:pStyle w:val="21"/>
              <w:rPr>
                <w:rFonts w:hint="eastAsia"/>
                <w:color w:val="000000" w:themeColor="text1"/>
                <w:lang w:val="en-US" w:eastAsia="zh-CN"/>
                <w14:textFill>
                  <w14:solidFill>
                    <w14:schemeClr w14:val="tx1"/>
                  </w14:solidFill>
                </w14:textFill>
              </w:rPr>
            </w:pPr>
          </w:p>
          <w:p>
            <w:pPr>
              <w:pStyle w:val="21"/>
              <w:rPr>
                <w:rFonts w:hint="eastAsia"/>
                <w:color w:val="000000" w:themeColor="text1"/>
                <w:lang w:val="en-US" w:eastAsia="zh-CN"/>
                <w14:textFill>
                  <w14:solidFill>
                    <w14:schemeClr w14:val="tx1"/>
                  </w14:solidFill>
                </w14:textFill>
              </w:rPr>
            </w:pPr>
          </w:p>
          <w:p>
            <w:pPr>
              <w:pStyle w:val="21"/>
              <w:rPr>
                <w:rFonts w:hint="eastAsia"/>
                <w:color w:val="000000" w:themeColor="text1"/>
                <w:lang w:val="en-US" w:eastAsia="zh-CN"/>
                <w14:textFill>
                  <w14:solidFill>
                    <w14:schemeClr w14:val="tx1"/>
                  </w14:solidFill>
                </w14:textFill>
              </w:rPr>
            </w:pPr>
          </w:p>
          <w:p>
            <w:pPr>
              <w:pStyle w:val="21"/>
              <w:rPr>
                <w:rFonts w:hint="eastAsia"/>
                <w:color w:val="000000" w:themeColor="text1"/>
                <w:lang w:val="en-US" w:eastAsia="zh-CN"/>
                <w14:textFill>
                  <w14:solidFill>
                    <w14:schemeClr w14:val="tx1"/>
                  </w14:solidFill>
                </w14:textFill>
              </w:rPr>
            </w:pPr>
          </w:p>
          <w:p>
            <w:pPr>
              <w:pStyle w:val="21"/>
              <w:rPr>
                <w:rFonts w:hint="eastAsia"/>
                <w:color w:val="000000" w:themeColor="text1"/>
                <w:lang w:val="en-US" w:eastAsia="zh-CN"/>
                <w14:textFill>
                  <w14:solidFill>
                    <w14:schemeClr w14:val="tx1"/>
                  </w14:solidFill>
                </w14:textFill>
              </w:rPr>
            </w:pPr>
          </w:p>
          <w:p>
            <w:pPr>
              <w:pStyle w:val="21"/>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2160" w:type="dxa"/>
          </w:tcPr>
          <w:p>
            <w:pPr>
              <w:pStyle w:val="3"/>
              <w:numPr>
                <w:ilvl w:val="0"/>
                <w:numId w:val="0"/>
              </w:numPr>
              <w:ind w:leftChars="0"/>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eastAsia" w:eastAsia="宋体" w:cs="Times New Roman"/>
                <w:color w:val="000000" w:themeColor="text1"/>
                <w:kern w:val="2"/>
                <w:sz w:val="21"/>
                <w:szCs w:val="22"/>
                <w:lang w:val="en-US" w:eastAsia="zh-CN" w:bidi="ar-SA"/>
                <w14:textFill>
                  <w14:solidFill>
                    <w14:schemeClr w14:val="tx1"/>
                  </w14:solidFill>
                </w14:textFill>
              </w:rPr>
              <w:t>运行控制</w:t>
            </w:r>
          </w:p>
        </w:tc>
        <w:tc>
          <w:tcPr>
            <w:tcW w:w="960" w:type="dxa"/>
          </w:tcPr>
          <w:p>
            <w:pPr>
              <w:pStyle w:val="13"/>
              <w:ind w:left="0" w:leftChars="0" w:firstLine="0" w:firstLineChars="0"/>
              <w:rPr>
                <w:rFonts w:hint="default"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8.1</w:t>
            </w:r>
          </w:p>
        </w:tc>
        <w:tc>
          <w:tcPr>
            <w:tcW w:w="10376" w:type="dxa"/>
          </w:tcPr>
          <w:p>
            <w:pPr>
              <w:pStyle w:val="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u w:val="none"/>
                <w:lang w:val="en-US" w:eastAsia="zh-CN"/>
              </w:rPr>
              <w:sym w:font="Wingdings" w:char="00FE"/>
            </w:r>
            <w:r>
              <w:rPr>
                <w:rFonts w:hint="eastAsia" w:asciiTheme="minorEastAsia" w:hAnsiTheme="minorEastAsia" w:eastAsiaTheme="minorEastAsia" w:cstheme="minorEastAsia"/>
                <w:sz w:val="21"/>
                <w:szCs w:val="21"/>
                <w:u w:val="none"/>
                <w:lang w:val="en-US" w:eastAsia="zh-CN"/>
              </w:rPr>
              <w:t>手册第8.4</w:t>
            </w:r>
            <w:r>
              <w:rPr>
                <w:rStyle w:val="19"/>
                <w:rFonts w:ascii="Times New Roman"/>
                <w:color w:val="auto"/>
                <w:u w:val="none"/>
              </w:rPr>
              <w:t>能源策划和控制</w:t>
            </w:r>
            <w:r>
              <w:rPr>
                <w:rFonts w:hint="eastAsia" w:asciiTheme="minorEastAsia" w:hAnsiTheme="minorEastAsia" w:eastAsiaTheme="minorEastAsia" w:cstheme="minorEastAsia"/>
                <w:sz w:val="21"/>
                <w:szCs w:val="21"/>
                <w:u w:val="none"/>
                <w:lang w:val="en-US" w:eastAsia="zh-CN"/>
              </w:rPr>
              <w:t>条款有规定</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1.节约用电的控制：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随手关灯、</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下班前关闭电源、</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控制空调温度（夏季≥26℃；冬季≤20℃）</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2.节约用水的控制：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随手关水龙头  </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使用节水龙头及马桶</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3.节约用纸的控制：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纸张双面使用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尽量采用电子版文件</w:t>
            </w:r>
          </w:p>
          <w:p>
            <w:pPr>
              <w:pStyle w:val="21"/>
              <w:rPr>
                <w:rFonts w:hint="eastAsia" w:asciiTheme="minorEastAsia" w:hAnsiTheme="minorEastAsia" w:eastAsiaTheme="minorEastAsia" w:cstheme="minorEastAsia"/>
                <w:sz w:val="21"/>
                <w:szCs w:val="21"/>
                <w:lang w:val="en-US" w:eastAsia="zh-CN"/>
              </w:rPr>
            </w:pPr>
            <w:r>
              <w:rPr>
                <w:rFonts w:hint="eastAsia"/>
                <w:color w:val="000000" w:themeColor="text1"/>
                <w:szCs w:val="22"/>
                <w:lang w:val="en-US" w:eastAsia="zh-CN"/>
                <w14:textFill>
                  <w14:solidFill>
                    <w14:schemeClr w14:val="tx1"/>
                  </w14:solidFill>
                </w14:textFill>
              </w:rPr>
              <w:t>企业管理部</w:t>
            </w:r>
            <w:r>
              <w:rPr>
                <w:rFonts w:hint="eastAsia" w:asciiTheme="minorEastAsia" w:hAnsiTheme="minorEastAsia" w:eastAsiaTheme="minorEastAsia" w:cstheme="minorEastAsia"/>
                <w:sz w:val="21"/>
                <w:szCs w:val="21"/>
                <w:lang w:val="en-US" w:eastAsia="zh-CN"/>
              </w:rPr>
              <w:t>用能主要是办公用能。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该部门要求员工照明灯不用时及时将电源关闭， 电脑不使用时及时将电源关闭，电脑设置休眠功能，夏天空调设置26度以上。</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办公区张贴节约用电和节约用水的宣传标识。能够做到人走灯息、空调在26度以上。</w:t>
            </w:r>
          </w:p>
        </w:tc>
        <w:tc>
          <w:tcPr>
            <w:tcW w:w="1213" w:type="dxa"/>
          </w:tcPr>
          <w:p>
            <w:pPr>
              <w:pStyle w:val="21"/>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vAlign w:val="top"/>
          </w:tcPr>
          <w:p>
            <w:pPr>
              <w:rPr>
                <w:rFonts w:hint="default" w:ascii="宋体" w:hAnsi="宋体" w:eastAsia="宋体" w:cs="Times New Roman"/>
                <w:color w:val="000000" w:themeColor="text1"/>
                <w:kern w:val="2"/>
                <w:sz w:val="21"/>
                <w:szCs w:val="21"/>
                <w:u w:val="none"/>
                <w:lang w:val="en-US" w:eastAsia="zh-CN" w:bidi="ar-SA"/>
                <w14:textFill>
                  <w14:solidFill>
                    <w14:schemeClr w14:val="tx1"/>
                  </w14:solidFill>
                </w14:textFill>
              </w:rPr>
            </w:pPr>
            <w:r>
              <w:rPr>
                <w:rFonts w:hint="eastAsia"/>
                <w:color w:val="000000" w:themeColor="text1"/>
                <w:szCs w:val="22"/>
                <w:u w:val="none"/>
                <w:lang w:val="en-US" w:eastAsia="zh-CN"/>
                <w14:textFill>
                  <w14:solidFill>
                    <w14:schemeClr w14:val="tx1"/>
                  </w14:solidFill>
                </w14:textFill>
              </w:rPr>
              <w:t>5文件化信息</w:t>
            </w:r>
          </w:p>
        </w:tc>
        <w:tc>
          <w:tcPr>
            <w:tcW w:w="960" w:type="dxa"/>
            <w:vAlign w:val="top"/>
          </w:tcPr>
          <w:p>
            <w:pPr>
              <w:pStyle w:val="13"/>
              <w:ind w:left="0" w:leftChars="0" w:firstLine="0" w:firstLineChars="0"/>
              <w:rPr>
                <w:rFonts w:hint="default" w:ascii="宋体" w:hAnsi="宋体" w:eastAsia="宋体" w:cs="Times New Roman"/>
                <w:color w:val="000000" w:themeColor="text1"/>
                <w:kern w:val="2"/>
                <w:sz w:val="21"/>
                <w:szCs w:val="21"/>
                <w:u w:val="none"/>
                <w:lang w:val="en-US" w:eastAsia="zh-CN" w:bidi="ar-SA"/>
                <w14:textFill>
                  <w14:solidFill>
                    <w14:schemeClr w14:val="tx1"/>
                  </w14:solidFill>
                </w14:textFill>
              </w:rPr>
            </w:pPr>
            <w:r>
              <w:rPr>
                <w:rFonts w:hint="eastAsia"/>
                <w:color w:val="000000" w:themeColor="text1"/>
                <w:szCs w:val="22"/>
                <w:u w:val="none"/>
                <w:lang w:val="en-US" w:eastAsia="zh-CN"/>
                <w14:textFill>
                  <w14:solidFill>
                    <w14:schemeClr w14:val="tx1"/>
                  </w14:solidFill>
                </w14:textFill>
              </w:rPr>
              <w:t>7.5</w:t>
            </w:r>
          </w:p>
        </w:tc>
        <w:tc>
          <w:tcPr>
            <w:tcW w:w="103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1、提供有《能源管理手册》，经过编审批符合标准要求。</w:t>
            </w:r>
          </w:p>
          <w:p>
            <w:pPr>
              <w:ind w:firstLine="420" w:firstLineChars="200"/>
              <w:jc w:val="both"/>
              <w:rPr>
                <w:rFonts w:hint="eastAsia"/>
                <w:lang w:val="en-US" w:eastAsia="zh-CN"/>
              </w:rPr>
            </w:pPr>
            <w:r>
              <w:rPr>
                <w:rFonts w:hint="eastAsia"/>
                <w:lang w:val="en-US" w:eastAsia="zh-CN"/>
              </w:rPr>
              <w:t>2、提供</w:t>
            </w:r>
            <w:r>
              <w:rPr>
                <w:rFonts w:hint="eastAsia"/>
              </w:rPr>
              <w:t>文件化信息</w:t>
            </w:r>
            <w:r>
              <w:rPr>
                <w:rFonts w:hint="eastAsia"/>
                <w:lang w:eastAsia="zh-CN"/>
              </w:rPr>
              <w:t>：</w:t>
            </w:r>
            <w:r>
              <w:rPr>
                <w:rFonts w:hint="eastAsia"/>
                <w:lang w:val="en-US" w:eastAsia="zh-CN"/>
              </w:rPr>
              <w:t>《能源管理手册》文件编号：编 号：</w:t>
            </w:r>
            <w:r>
              <w:rPr>
                <w:rFonts w:hint="eastAsia"/>
              </w:rPr>
              <w:t>SJZLH-T1-001-2018</w:t>
            </w:r>
            <w:r>
              <w:rPr>
                <w:rFonts w:hint="eastAsia"/>
                <w:lang w:val="en-US" w:eastAsia="zh-CN"/>
              </w:rPr>
              <w:t>，生效日期：2022.3.1，编 制：编写小组，审 核：</w:t>
            </w:r>
            <w:r>
              <w:rPr>
                <w:rFonts w:hint="eastAsia"/>
              </w:rPr>
              <w:t>孙健</w:t>
            </w:r>
            <w:r>
              <w:rPr>
                <w:rFonts w:hint="eastAsia"/>
                <w:lang w:val="en-US" w:eastAsia="zh-CN"/>
              </w:rPr>
              <w:t>，批 准：</w:t>
            </w:r>
            <w:r>
              <w:rPr>
                <w:rFonts w:hint="eastAsia"/>
              </w:rPr>
              <w:t>胡正海</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3、</w:t>
            </w:r>
            <w:r>
              <w:rPr>
                <w:rFonts w:hint="eastAsia"/>
                <w:lang w:eastAsia="zh-CN"/>
              </w:rPr>
              <w:t>《</w:t>
            </w:r>
            <w:r>
              <w:rPr>
                <w:rFonts w:hint="eastAsia"/>
              </w:rPr>
              <w:t>能源管理办法</w:t>
            </w:r>
            <w:r>
              <w:rPr>
                <w:rFonts w:hint="eastAsia"/>
                <w:lang w:eastAsia="zh-CN"/>
              </w:rPr>
              <w:t>》</w:t>
            </w:r>
            <w:r>
              <w:rPr>
                <w:rFonts w:hint="eastAsia"/>
                <w:lang w:val="en-US" w:eastAsia="zh-CN"/>
              </w:rPr>
              <w:t>，编号：</w:t>
            </w:r>
            <w:r>
              <w:rPr>
                <w:rFonts w:hint="eastAsia"/>
              </w:rPr>
              <w:t>SJZLH-1003-007-2018</w:t>
            </w:r>
            <w:r>
              <w:rPr>
                <w:rFonts w:hint="eastAsia"/>
                <w:lang w:val="en-US" w:eastAsia="zh-CN"/>
              </w:rPr>
              <w:t>，版本号：F/6，生效日期：2022.7.15，会签部门，审 核部门，批准等。</w:t>
            </w:r>
          </w:p>
          <w:p>
            <w:pPr>
              <w:spacing w:line="240" w:lineRule="auto"/>
              <w:ind w:firstLine="420"/>
              <w:rPr>
                <w:rFonts w:hint="eastAsia"/>
                <w:lang w:val="en-US" w:eastAsia="zh-CN"/>
              </w:rPr>
            </w:pPr>
            <w:r>
              <w:rPr>
                <w:rFonts w:hint="eastAsia"/>
                <w:lang w:val="en-US" w:eastAsia="zh-CN"/>
              </w:rPr>
              <w:t>4、提供《管理体系记录清单》，基本符合标准要求。</w:t>
            </w:r>
          </w:p>
          <w:p>
            <w:pPr>
              <w:spacing w:line="240" w:lineRule="auto"/>
              <w:ind w:firstLine="420"/>
              <w:rPr>
                <w:rFonts w:hint="eastAsia"/>
                <w:lang w:val="en-US" w:eastAsia="zh-CN"/>
              </w:rPr>
            </w:pPr>
            <w:r>
              <w:rPr>
                <w:rFonts w:hint="eastAsia"/>
                <w:lang w:val="en-US" w:eastAsia="zh-CN"/>
              </w:rPr>
              <w:t>以上</w:t>
            </w:r>
            <w:r>
              <w:rPr>
                <w:rFonts w:hint="eastAsia"/>
                <w:lang w:eastAsia="zh-CN"/>
              </w:rPr>
              <w:t>有发布，实施。有编审批。确保了其适宜性和充分性</w:t>
            </w:r>
            <w:r>
              <w:rPr>
                <w:rFonts w:hint="eastAsia"/>
              </w:rPr>
              <w:t>。</w:t>
            </w:r>
          </w:p>
          <w:p>
            <w:pPr>
              <w:spacing w:line="240" w:lineRule="auto"/>
              <w:ind w:firstLine="420" w:firstLineChars="200"/>
              <w:rPr>
                <w:rFonts w:hint="eastAsia"/>
                <w:lang w:val="en-US" w:eastAsia="zh-CN"/>
              </w:rPr>
            </w:pPr>
            <w:r>
              <w:rPr>
                <w:rFonts w:hint="eastAsia"/>
                <w:lang w:val="en-US" w:eastAsia="zh-CN"/>
              </w:rPr>
              <w:t>5、查阅有相应的外来文件，包括法律法规及其它要求清单。</w:t>
            </w:r>
          </w:p>
          <w:p>
            <w:pPr>
              <w:pStyle w:val="13"/>
              <w:numPr>
                <w:ilvl w:val="0"/>
                <w:numId w:val="0"/>
              </w:numPr>
              <w:spacing w:line="240" w:lineRule="auto"/>
              <w:ind w:left="420" w:leftChars="0"/>
              <w:rPr>
                <w:rFonts w:hint="eastAsia"/>
                <w:lang w:val="en-US" w:eastAsia="zh-CN"/>
              </w:rPr>
            </w:pPr>
            <w:r>
              <w:rPr>
                <w:rFonts w:hint="eastAsia"/>
                <w:lang w:val="en-US" w:eastAsia="zh-CN"/>
              </w:rPr>
              <w:t>6、查阅相应的文件收集、发放记录，基本符合标准要求。</w:t>
            </w:r>
          </w:p>
          <w:p>
            <w:pPr>
              <w:pStyle w:val="13"/>
              <w:numPr>
                <w:ilvl w:val="0"/>
                <w:numId w:val="0"/>
              </w:numPr>
              <w:spacing w:line="240" w:lineRule="auto"/>
              <w:rPr>
                <w:rFonts w:hint="eastAsia"/>
                <w:lang w:val="en-US" w:eastAsia="zh-CN"/>
              </w:rPr>
            </w:pPr>
            <w:r>
              <w:rPr>
                <w:rFonts w:hint="eastAsia"/>
                <w:lang w:val="en-US" w:eastAsia="zh-CN"/>
              </w:rPr>
              <w:t>提供了“工业水管理办法”的文件发放记录，发放日期，手签人等，抽设备工程部签收人员李伟娟，经查符合要求。</w:t>
            </w:r>
          </w:p>
          <w:p>
            <w:pPr>
              <w:spacing w:line="240" w:lineRule="auto"/>
              <w:ind w:firstLine="420" w:firstLineChars="200"/>
              <w:rPr>
                <w:rFonts w:hint="eastAsia"/>
                <w:lang w:val="en-US" w:eastAsia="zh-CN"/>
              </w:rPr>
            </w:pPr>
            <w:r>
              <w:rPr>
                <w:rFonts w:hint="eastAsia"/>
                <w:lang w:val="en-US" w:eastAsia="zh-CN"/>
              </w:rPr>
              <w:t>7、查阅提供的体系文件都是现行有效的。</w:t>
            </w:r>
          </w:p>
          <w:p>
            <w:pPr>
              <w:pStyle w:val="3"/>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sz w:val="21"/>
                <w:szCs w:val="21"/>
                <w:lang w:val="en-US" w:eastAsia="zh-CN"/>
              </w:rPr>
            </w:pPr>
            <w:r>
              <w:rPr>
                <w:rFonts w:hint="eastAsia"/>
                <w:sz w:val="21"/>
                <w:szCs w:val="21"/>
                <w:lang w:val="en-US" w:eastAsia="zh-CN"/>
              </w:rPr>
              <w:t>抽查部分记录清单：查看《供应商确认表》，有效。</w:t>
            </w:r>
          </w:p>
          <w:p>
            <w:pPr>
              <w:pStyle w:val="4"/>
              <w:numPr>
                <w:ilvl w:val="0"/>
                <w:numId w:val="0"/>
              </w:numPr>
              <w:rPr>
                <w:rFonts w:hint="default"/>
                <w:lang w:val="en-US" w:eastAsia="zh-CN"/>
              </w:rPr>
            </w:pPr>
            <w:r>
              <w:rPr>
                <w:rFonts w:hint="eastAsia"/>
                <w:lang w:val="en-US" w:eastAsia="zh-CN"/>
              </w:rPr>
              <w:drawing>
                <wp:inline distT="0" distB="0" distL="114300" distR="114300">
                  <wp:extent cx="1518285" cy="1299845"/>
                  <wp:effectExtent l="0" t="0" r="5715" b="8255"/>
                  <wp:docPr id="35" name="图片 35" descr="167219774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72197749786"/>
                          <pic:cNvPicPr>
                            <a:picLocks noChangeAspect="1"/>
                          </pic:cNvPicPr>
                        </pic:nvPicPr>
                        <pic:blipFill>
                          <a:blip r:embed="rId21"/>
                          <a:stretch>
                            <a:fillRect/>
                          </a:stretch>
                        </pic:blipFill>
                        <pic:spPr>
                          <a:xfrm>
                            <a:off x="0" y="0"/>
                            <a:ext cx="1518285" cy="129984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885315" cy="1207770"/>
                  <wp:effectExtent l="0" t="0" r="6985" b="11430"/>
                  <wp:docPr id="36" name="图片 36" descr="167219778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72197783567"/>
                          <pic:cNvPicPr>
                            <a:picLocks noChangeAspect="1"/>
                          </pic:cNvPicPr>
                        </pic:nvPicPr>
                        <pic:blipFill>
                          <a:blip r:embed="rId22"/>
                          <a:stretch>
                            <a:fillRect/>
                          </a:stretch>
                        </pic:blipFill>
                        <pic:spPr>
                          <a:xfrm>
                            <a:off x="0" y="0"/>
                            <a:ext cx="1885315" cy="120777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000250" cy="1219200"/>
                  <wp:effectExtent l="0" t="0" r="6350" b="0"/>
                  <wp:docPr id="37" name="图片 37" descr="167219781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672197816651"/>
                          <pic:cNvPicPr>
                            <a:picLocks noChangeAspect="1"/>
                          </pic:cNvPicPr>
                        </pic:nvPicPr>
                        <pic:blipFill>
                          <a:blip r:embed="rId23"/>
                          <a:stretch>
                            <a:fillRect/>
                          </a:stretch>
                        </pic:blipFill>
                        <pic:spPr>
                          <a:xfrm>
                            <a:off x="0" y="0"/>
                            <a:ext cx="2000250" cy="1219200"/>
                          </a:xfrm>
                          <a:prstGeom prst="rect">
                            <a:avLst/>
                          </a:prstGeom>
                        </pic:spPr>
                      </pic:pic>
                    </a:graphicData>
                  </a:graphic>
                </wp:inline>
              </w:drawing>
            </w:r>
          </w:p>
        </w:tc>
        <w:tc>
          <w:tcPr>
            <w:tcW w:w="1213" w:type="dxa"/>
          </w:tcPr>
          <w:p>
            <w:pPr>
              <w:rPr>
                <w:rFonts w:hint="eastAsia"/>
                <w:lang w:val="en-US" w:eastAsia="zh-CN"/>
              </w:rPr>
            </w:pPr>
            <w:r>
              <w:rPr>
                <w:rFonts w:hint="eastAsia"/>
                <w:lang w:eastAsia="zh-CN"/>
              </w:rPr>
              <w:t>☑</w:t>
            </w:r>
            <w:r>
              <w:rPr>
                <w:rFonts w:hint="eastAsia"/>
                <w:lang w:val="en-US" w:eastAsia="zh-CN"/>
              </w:rPr>
              <w:t>符合</w:t>
            </w:r>
          </w:p>
          <w:p>
            <w:pPr>
              <w:pStyle w:val="21"/>
              <w:rPr>
                <w:color w:val="000000" w:themeColor="text1"/>
                <w14:textFill>
                  <w14:solidFill>
                    <w14:schemeClr w14:val="tx1"/>
                  </w14:solidFill>
                </w14:textFill>
              </w:rPr>
            </w:pPr>
            <w:r>
              <w:rPr>
                <w:rFonts w:hint="eastAsia"/>
              </w:rPr>
              <w:t>□</w:t>
            </w:r>
            <w:r>
              <w:rPr>
                <w:rFonts w:hint="eastAsia" w:ascii="Times New Roman" w:hAnsi="Times New Roman" w:eastAsia="宋体" w:cs="Times New Roman"/>
                <w:kern w:val="2"/>
                <w:sz w:val="21"/>
                <w:szCs w:val="20"/>
                <w:lang w:val="en-US" w:eastAsia="zh-CN" w:bidi="ar-SA"/>
              </w:rPr>
              <w:t>不符合</w:t>
            </w:r>
          </w:p>
          <w:p>
            <w:pPr>
              <w:pStyle w:val="21"/>
              <w:rPr>
                <w:color w:val="000000" w:themeColor="text1"/>
                <w14:textFill>
                  <w14:solidFill>
                    <w14:schemeClr w14:val="tx1"/>
                  </w14:solidFill>
                </w14:textFill>
              </w:rPr>
            </w:pPr>
          </w:p>
          <w:p>
            <w:pPr>
              <w:pStyle w:val="21"/>
              <w:rPr>
                <w:rFonts w:hint="eastAsia"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Align w:val="top"/>
          </w:tcPr>
          <w:p>
            <w:pPr>
              <w:pStyle w:val="3"/>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6内部审核</w:t>
            </w:r>
          </w:p>
        </w:tc>
        <w:tc>
          <w:tcPr>
            <w:tcW w:w="960" w:type="dxa"/>
            <w:vAlign w:val="top"/>
          </w:tcPr>
          <w:p>
            <w:pPr>
              <w:pStyle w:val="13"/>
              <w:spacing w:line="240" w:lineRule="auto"/>
              <w:ind w:left="0" w:leftChars="0" w:firstLine="0" w:firstLineChars="0"/>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9.2</w:t>
            </w:r>
          </w:p>
        </w:tc>
        <w:tc>
          <w:tcPr>
            <w:tcW w:w="10376" w:type="dxa"/>
            <w:vAlign w:val="top"/>
          </w:tcPr>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before="0" w:line="240" w:lineRule="auto"/>
              <w:ind w:left="48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提供《内部审核程序》，有编审批，符合标准要求与企业实际。</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480"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2、提供有“内审计划”，公司与2022年8月15-25日进行了一次能源管理体系的内审。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受审对象：</w:t>
            </w:r>
            <w:r>
              <w:rPr>
                <w:rFonts w:hint="eastAsia" w:ascii="宋体" w:hAnsi="宋体"/>
                <w:color w:val="000000"/>
                <w:sz w:val="21"/>
                <w:szCs w:val="21"/>
              </w:rPr>
              <w:t>综合办公室、销运管理部、发展计划部、生产技术部、设备工程部、安全环保部、财务管理部、企业管理部、党委组织部（资源管理部）、审计管理部、纪委（监督部）、党群文化部（工会、团委、宣传部）、物资采购中心、</w:t>
            </w:r>
            <w:r>
              <w:rPr>
                <w:rFonts w:hint="eastAsia" w:ascii="宋体" w:hAnsi="宋体"/>
                <w:color w:val="000000"/>
                <w:sz w:val="21"/>
                <w:szCs w:val="21"/>
                <w:lang w:eastAsia="zh-Hans"/>
              </w:rPr>
              <w:t>检验计量</w:t>
            </w:r>
            <w:r>
              <w:rPr>
                <w:rFonts w:hint="eastAsia" w:ascii="宋体" w:hAnsi="宋体"/>
                <w:color w:val="000000"/>
                <w:sz w:val="21"/>
                <w:szCs w:val="21"/>
              </w:rPr>
              <w:t>中心、信息中心、行政事务中心、消防救援支队等职能管理部门和直属机构，以及炼油运行一部、炼油运行二部、炼油运行三部、炼油运行四部、炼油运行五部、化工运行部、储运运行部、热电运行部、水务运行部、电气仪表中心</w:t>
            </w:r>
            <w:r>
              <w:rPr>
                <w:rFonts w:ascii="宋体" w:hAnsi="宋体"/>
                <w:color w:val="000000"/>
                <w:sz w:val="21"/>
                <w:szCs w:val="21"/>
              </w:rPr>
              <w:t>、</w:t>
            </w:r>
            <w:r>
              <w:rPr>
                <w:rFonts w:hint="eastAsia" w:ascii="宋体" w:hAnsi="宋体"/>
                <w:color w:val="000000"/>
                <w:sz w:val="21"/>
                <w:szCs w:val="21"/>
                <w:lang w:eastAsia="zh-Hans"/>
              </w:rPr>
              <w:t>编组站</w:t>
            </w:r>
            <w:r>
              <w:rPr>
                <w:rFonts w:ascii="宋体" w:hAnsi="宋体"/>
                <w:color w:val="000000"/>
                <w:sz w:val="21"/>
                <w:szCs w:val="21"/>
                <w:lang w:eastAsia="zh-Hans"/>
              </w:rPr>
              <w:t>、</w:t>
            </w:r>
            <w:r>
              <w:rPr>
                <w:rFonts w:hint="eastAsia" w:ascii="宋体" w:hAnsi="宋体"/>
                <w:color w:val="000000"/>
                <w:sz w:val="21"/>
                <w:szCs w:val="21"/>
                <w:lang w:eastAsia="zh-Hans"/>
              </w:rPr>
              <w:t>合资运行部</w:t>
            </w:r>
            <w:r>
              <w:rPr>
                <w:rFonts w:hint="eastAsia" w:ascii="宋体" w:hAnsi="宋体"/>
                <w:color w:val="000000"/>
                <w:sz w:val="21"/>
                <w:szCs w:val="21"/>
              </w:rPr>
              <w:t>，共计 2</w:t>
            </w:r>
            <w:r>
              <w:rPr>
                <w:rFonts w:ascii="宋体" w:hAnsi="宋体"/>
                <w:color w:val="000000"/>
                <w:sz w:val="21"/>
                <w:szCs w:val="21"/>
              </w:rPr>
              <w:t>9</w:t>
            </w:r>
            <w:r>
              <w:rPr>
                <w:rFonts w:hint="eastAsia" w:ascii="宋体" w:hAnsi="宋体"/>
                <w:color w:val="000000"/>
                <w:sz w:val="21"/>
                <w:szCs w:val="21"/>
              </w:rPr>
              <w:t>个行政单位及其下属装置</w:t>
            </w:r>
            <w:r>
              <w:rPr>
                <w:rFonts w:hint="eastAsia" w:ascii="宋体" w:hAnsi="宋体" w:eastAsia="宋体" w:cs="宋体"/>
                <w:sz w:val="21"/>
                <w:szCs w:val="21"/>
                <w:lang w:val="en-US" w:eastAsia="zh-CN"/>
              </w:rPr>
              <w:t>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审核依据：ISO50001:2018《能源管理体系 要求》、法律法规、标准和其他要求、一体化管理手册、能源管理制度、记录等。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审核目的：评价公司能源管理体系运行的符合性、有效性，为管理评审提供输入；确定是否符合外部审核的条件。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审核范围:</w:t>
            </w:r>
            <w:r>
              <w:rPr>
                <w:rFonts w:hint="eastAsia" w:ascii="宋体" w:hAnsi="宋体"/>
                <w:color w:val="000000"/>
                <w:sz w:val="21"/>
                <w:szCs w:val="21"/>
              </w:rPr>
              <w:t>普通柴油、煤油、工业硫磺、石油苯、石油甲苯、纯氢、3号喷气燃料、丙烯、液化石油气、聚丙烯树脂、沥青、船用燃料油、车用汽油、车用柴油、车用乙醇汽油调合组分油、炉用燃料油、混合二甲苯、石油焦、石脑油、商品重油、航煤组分油、工业硫酸、硫酸铵、双氧水、己内酰胺、苯甲醛、聚己内酰胺干切片、工业苯甲酸、环己烷羧酸、粗白油、沥青、戊烷发泡剂等33类产品的生产所涉及的相关能源、质量、职业健康安全、环境管理活动和场所以及行政事务中心、党群部门等单位</w:t>
            </w:r>
            <w:r>
              <w:rPr>
                <w:rFonts w:hint="eastAsia" w:ascii="宋体" w:hAnsi="宋体" w:eastAsia="宋体" w:cs="宋体"/>
                <w:sz w:val="21"/>
                <w:szCs w:val="21"/>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审核组成员：</w:t>
            </w:r>
            <w:r>
              <w:rPr>
                <w:rFonts w:hint="eastAsia" w:ascii="宋体" w:hAnsi="宋体" w:eastAsia="宋体" w:cs="宋体"/>
                <w:b w:val="0"/>
                <w:bCs w:val="0"/>
                <w:sz w:val="21"/>
                <w:szCs w:val="21"/>
                <w:lang w:val="en-US" w:eastAsia="zh-CN"/>
              </w:rPr>
              <w:t>组长</w:t>
            </w:r>
            <w:r>
              <w:rPr>
                <w:rFonts w:hint="eastAsia" w:ascii="宋体" w:hAnsi="宋体"/>
                <w:b w:val="0"/>
                <w:bCs w:val="0"/>
                <w:color w:val="000000"/>
                <w:sz w:val="21"/>
                <w:szCs w:val="21"/>
                <w:lang w:eastAsia="zh-Hans"/>
              </w:rPr>
              <w:t>郝振岐</w:t>
            </w:r>
            <w:r>
              <w:rPr>
                <w:rFonts w:hint="eastAsia" w:ascii="宋体" w:hAnsi="宋体" w:eastAsia="宋体" w:cs="宋体"/>
                <w:b w:val="0"/>
                <w:bCs w:val="0"/>
                <w:sz w:val="21"/>
                <w:szCs w:val="21"/>
                <w:lang w:val="en-US" w:eastAsia="zh-CN"/>
              </w:rPr>
              <w:t>,审核员</w:t>
            </w:r>
            <w:r>
              <w:rPr>
                <w:rFonts w:hint="eastAsia" w:ascii="宋体" w:hAnsi="宋体"/>
                <w:b w:val="0"/>
                <w:bCs w:val="0"/>
                <w:sz w:val="21"/>
                <w:szCs w:val="21"/>
                <w:lang w:eastAsia="zh-Hans"/>
              </w:rPr>
              <w:t>于秋海 尹续杰 崔传业 邵令东 李永超 张旭（大） 王亮 朗海楠</w:t>
            </w:r>
            <w:r>
              <w:rPr>
                <w:rFonts w:hint="eastAsia" w:ascii="宋体" w:hAnsi="宋体" w:eastAsia="宋体" w:cs="宋体"/>
                <w:b w:val="0"/>
                <w:bCs w:val="0"/>
                <w:sz w:val="21"/>
                <w:szCs w:val="21"/>
                <w:lang w:val="en-US" w:eastAsia="zh-CN"/>
              </w:rPr>
              <w:t>。内审员均经过内审员培训</w:t>
            </w:r>
            <w:r>
              <w:rPr>
                <w:rFonts w:hint="eastAsia" w:ascii="宋体" w:hAnsi="宋体" w:eastAsia="宋体" w:cs="宋体"/>
                <w:sz w:val="21"/>
                <w:szCs w:val="21"/>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3、提供能源内部审核首末次会议签到表，有</w:t>
            </w:r>
            <w:r>
              <w:rPr>
                <w:rFonts w:hint="eastAsia" w:ascii="宋体" w:hAnsi="宋体"/>
                <w:color w:val="000000"/>
                <w:sz w:val="21"/>
                <w:szCs w:val="21"/>
              </w:rPr>
              <w:t>产技术部、设备工程部、安全环保部</w:t>
            </w:r>
            <w:r>
              <w:rPr>
                <w:rFonts w:hint="eastAsia" w:ascii="宋体" w:hAnsi="宋体" w:eastAsia="宋体" w:cs="宋体"/>
                <w:sz w:val="21"/>
                <w:szCs w:val="21"/>
                <w:lang w:val="en-US" w:eastAsia="zh-CN"/>
              </w:rPr>
              <w:t>等相关人员签字：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4、抽查对</w:t>
            </w:r>
            <w:r>
              <w:rPr>
                <w:rFonts w:hint="eastAsia" w:ascii="宋体" w:hAnsi="宋体" w:eastAsia="宋体" w:cs="宋体"/>
                <w:sz w:val="21"/>
                <w:szCs w:val="21"/>
                <w:highlight w:val="none"/>
                <w:lang w:val="en-US" w:eastAsia="zh-CN"/>
              </w:rPr>
              <w:t>领导层的审核，</w:t>
            </w:r>
            <w:r>
              <w:rPr>
                <w:rFonts w:hint="eastAsia" w:ascii="宋体" w:hAnsi="宋体" w:cs="宋体"/>
                <w:sz w:val="21"/>
                <w:szCs w:val="21"/>
                <w:highlight w:val="none"/>
                <w:lang w:val="en-US" w:eastAsia="zh-CN"/>
              </w:rPr>
              <w:t>有审核员，审核内容等，</w:t>
            </w:r>
            <w:r>
              <w:rPr>
                <w:rFonts w:hint="eastAsia" w:ascii="宋体" w:hAnsi="宋体" w:eastAsia="宋体" w:cs="宋体"/>
                <w:sz w:val="21"/>
                <w:szCs w:val="21"/>
                <w:highlight w:val="none"/>
                <w:lang w:val="en-US" w:eastAsia="zh-CN"/>
              </w:rPr>
              <w:t>文审问题确认，法律法规地位和有关资质证明，法规符合性确认；按照审核计划条款进行审核，基本符合标准要求。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内部审核发现3个不符合项，发生在炼油运行二部、储运、四部；炼油运行三部、生产技术部；热电运行部，为一般不符合,有不符合事实，通过原因分析、纠正措施、现场纠正措施验证的方式得到解决；并且提供“培训记录表”、“效果评价表”。基本符合标准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6、提供有“内审报告”，对体系的评价对能源管理体系的评价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就已审条款结果看，公司能源管理体系符合标准及相关文件的要求，能源管理体系得到了有效实施</w:t>
            </w:r>
            <w:r>
              <w:rPr>
                <w:rFonts w:hint="eastAsia" w:ascii="宋体" w:hAnsi="宋体" w:eastAsia="宋体" w:cs="宋体"/>
                <w:sz w:val="21"/>
                <w:szCs w:val="21"/>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7、结论：公司能源管理体系符合：ISO50001:2018《能源管理体系 要求》、法律法规、标准和公司管理要求，运行基本有效。</w:t>
            </w:r>
          </w:p>
        </w:tc>
        <w:tc>
          <w:tcPr>
            <w:tcW w:w="1213" w:type="dxa"/>
          </w:tcPr>
          <w:p>
            <w:pPr>
              <w:rPr>
                <w:rFonts w:hint="eastAsia"/>
                <w:lang w:val="en-US" w:eastAsia="zh-CN"/>
              </w:rPr>
            </w:pPr>
            <w:r>
              <w:rPr>
                <w:rFonts w:hint="eastAsia"/>
                <w:lang w:eastAsia="zh-CN"/>
              </w:rPr>
              <w:t>☑</w:t>
            </w:r>
            <w:r>
              <w:rPr>
                <w:rFonts w:hint="eastAsia"/>
                <w:lang w:val="en-US" w:eastAsia="zh-CN"/>
              </w:rPr>
              <w:t>符合</w:t>
            </w:r>
          </w:p>
          <w:p>
            <w:pPr>
              <w:rPr>
                <w:rFonts w:hint="eastAsia" w:eastAsia="宋体"/>
                <w:color w:val="000000" w:themeColor="text1"/>
                <w:lang w:val="en-US" w:eastAsia="zh-CN"/>
                <w14:textFill>
                  <w14:solidFill>
                    <w14:schemeClr w14:val="tx1"/>
                  </w14:solidFill>
                </w14:textFill>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不符合及纠正措施</w:t>
            </w:r>
          </w:p>
        </w:tc>
        <w:tc>
          <w:tcPr>
            <w:tcW w:w="960" w:type="dxa"/>
            <w:vAlign w:val="top"/>
          </w:tcPr>
          <w:p>
            <w:pPr>
              <w:rPr>
                <w:sz w:val="21"/>
                <w:szCs w:val="21"/>
              </w:rPr>
            </w:pPr>
            <w:r>
              <w:rPr>
                <w:rFonts w:hint="eastAsia"/>
                <w:sz w:val="21"/>
                <w:szCs w:val="21"/>
              </w:rPr>
              <w:t>10.1</w:t>
            </w:r>
          </w:p>
          <w:p>
            <w:pPr>
              <w:rPr>
                <w:rFonts w:hint="eastAsia" w:ascii="Times New Roman" w:hAnsi="Times New Roman" w:eastAsia="宋体" w:cs="Times New Roman"/>
                <w:kern w:val="2"/>
                <w:sz w:val="21"/>
                <w:szCs w:val="21"/>
                <w:lang w:val="en-US" w:eastAsia="zh-CN" w:bidi="ar-SA"/>
              </w:rPr>
            </w:pPr>
          </w:p>
        </w:tc>
        <w:tc>
          <w:tcPr>
            <w:tcW w:w="10376" w:type="dxa"/>
            <w:vAlign w:val="top"/>
          </w:tcPr>
          <w:p>
            <w:pPr>
              <w:rPr>
                <w:rFonts w:ascii="宋体" w:hAnsi="宋体" w:cs="宋体"/>
                <w:sz w:val="21"/>
                <w:szCs w:val="21"/>
              </w:rPr>
            </w:pPr>
            <w:r>
              <w:rPr>
                <w:rFonts w:hint="eastAsia" w:ascii="宋体" w:hAnsi="宋体" w:cs="宋体"/>
                <w:sz w:val="21"/>
                <w:szCs w:val="21"/>
              </w:rPr>
              <w:t>公司</w:t>
            </w:r>
            <w:r>
              <w:rPr>
                <w:rFonts w:hint="eastAsia" w:ascii="宋体" w:hAnsi="宋体" w:cs="宋体"/>
                <w:sz w:val="21"/>
                <w:szCs w:val="21"/>
                <w:lang w:val="en-US" w:eastAsia="zh-CN"/>
              </w:rPr>
              <w:t>管理手册10.1中</w:t>
            </w:r>
            <w:r>
              <w:rPr>
                <w:rFonts w:hint="eastAsia" w:ascii="宋体" w:hAnsi="宋体" w:cs="宋体"/>
                <w:sz w:val="21"/>
                <w:szCs w:val="21"/>
              </w:rPr>
              <w:t>，规定了纠正措施的来源,明确了对不合格项应进行原因分析,制定纠正措施计划,实施跟踪验证,确保所采取 的纠正措施满足预期要求。</w:t>
            </w:r>
          </w:p>
          <w:p>
            <w:pPr>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通过交谈，基本能清楚纠正和预防措施的控制要求。</w:t>
            </w:r>
            <w:r>
              <w:rPr>
                <w:rFonts w:hint="eastAsia" w:ascii="宋体" w:hAnsi="宋体" w:cs="宋体"/>
                <w:sz w:val="21"/>
                <w:szCs w:val="21"/>
                <w:lang w:val="en-US" w:eastAsia="zh-CN"/>
              </w:rPr>
              <w:t>经沟通自体系建立该部门没有</w:t>
            </w:r>
            <w:r>
              <w:rPr>
                <w:rFonts w:hint="eastAsia" w:ascii="宋体" w:hAnsi="宋体" w:cs="宋体"/>
                <w:sz w:val="21"/>
                <w:szCs w:val="21"/>
              </w:rPr>
              <w:t>不符合发生。</w:t>
            </w:r>
          </w:p>
        </w:tc>
        <w:tc>
          <w:tcPr>
            <w:tcW w:w="1213" w:type="dxa"/>
          </w:tcPr>
          <w:p>
            <w:pPr>
              <w:rPr>
                <w:rFonts w:hint="eastAsia"/>
                <w:lang w:val="en-US" w:eastAsia="zh-CN"/>
              </w:rPr>
            </w:pPr>
            <w:r>
              <w:rPr>
                <w:rFonts w:hint="eastAsia"/>
                <w:lang w:eastAsia="zh-CN"/>
              </w:rPr>
              <w:t>☑</w:t>
            </w:r>
            <w:r>
              <w:rPr>
                <w:rFonts w:hint="eastAsia"/>
                <w:lang w:val="en-US" w:eastAsia="zh-CN"/>
              </w:rPr>
              <w:t>符合</w:t>
            </w:r>
          </w:p>
          <w:p>
            <w:pPr>
              <w:rPr>
                <w:rFonts w:hint="default"/>
                <w:color w:val="000000" w:themeColor="text1"/>
                <w:lang w:val="en-US" w:eastAsia="zh-CN"/>
                <w14:textFill>
                  <w14:solidFill>
                    <w14:schemeClr w14:val="tx1"/>
                  </w14:solidFill>
                </w14:textFill>
              </w:rPr>
            </w:pPr>
            <w:r>
              <w:rPr>
                <w:rFonts w:hint="eastAsia"/>
              </w:rPr>
              <w:t>□</w:t>
            </w:r>
            <w:r>
              <w:rPr>
                <w:rFonts w:hint="eastAsia" w:ascii="Times New Roman" w:hAnsi="Times New Roman" w:eastAsia="宋体" w:cs="Times New Roman"/>
                <w:kern w:val="2"/>
                <w:sz w:val="21"/>
                <w:szCs w:val="20"/>
                <w:lang w:val="en-US" w:eastAsia="zh-CN" w:bidi="ar-SA"/>
              </w:rPr>
              <w:t>不符合</w:t>
            </w:r>
          </w:p>
        </w:tc>
      </w:tr>
    </w:tbl>
    <w:p>
      <w:pPr>
        <w:pStyle w:val="10"/>
        <w:rPr>
          <w:rFonts w:hint="eastAsia"/>
          <w:color w:val="000000" w:themeColor="text1"/>
          <w14:textFill>
            <w14:solidFill>
              <w14:schemeClr w14:val="tx1"/>
            </w14:solidFill>
          </w14:textFill>
        </w:rPr>
      </w:pPr>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6"/>
        <w:tblW w:w="14222"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73"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004" w:type="dxa"/>
            <w:vAlign w:val="center"/>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受审核部门：</w:t>
            </w:r>
            <w:r>
              <w:rPr>
                <w:rFonts w:hint="eastAsia" w:ascii="宋体" w:hAnsi="宋体" w:eastAsia="宋体" w:cs="Times New Roman"/>
                <w:b w:val="0"/>
                <w:bCs w:val="0"/>
                <w:sz w:val="21"/>
                <w:szCs w:val="21"/>
                <w:highlight w:val="none"/>
                <w:lang w:val="en-US" w:eastAsia="zh-CN"/>
              </w:rPr>
              <w:t>消防救援支队</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主管领导</w:t>
            </w:r>
            <w:r>
              <w:rPr>
                <w:rFonts w:hint="eastAsia" w:asciiTheme="minorEastAsia" w:hAnsiTheme="minorEastAsia" w:eastAsiaTheme="minorEastAsia"/>
                <w:sz w:val="21"/>
                <w:szCs w:val="21"/>
                <w:highlight w:val="none"/>
              </w:rPr>
              <w:t>：</w:t>
            </w:r>
            <w:r>
              <w:rPr>
                <w:rFonts w:hint="eastAsia" w:eastAsia="华文宋体"/>
                <w:sz w:val="21"/>
                <w:szCs w:val="21"/>
                <w:lang w:val="en-US" w:eastAsia="zh-CN"/>
              </w:rPr>
              <w:t>于克非</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陪同人员：</w:t>
            </w:r>
            <w:r>
              <w:rPr>
                <w:rFonts w:hint="eastAsia" w:asciiTheme="minorEastAsia" w:hAnsiTheme="minorEastAsia" w:eastAsiaTheme="minorEastAsia"/>
                <w:sz w:val="21"/>
                <w:szCs w:val="21"/>
                <w:highlight w:val="none"/>
                <w:lang w:val="en-US" w:eastAsia="zh-CN"/>
              </w:rPr>
              <w:t>杨雷波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before="1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审核员：</w:t>
            </w:r>
            <w:r>
              <w:rPr>
                <w:rFonts w:hint="eastAsia" w:asciiTheme="minorEastAsia" w:hAnsiTheme="minorEastAsia" w:eastAsiaTheme="minorEastAsia"/>
                <w:sz w:val="21"/>
                <w:szCs w:val="21"/>
                <w:lang w:val="en-US" w:eastAsia="zh-CN"/>
              </w:rPr>
              <w:t xml:space="preserve">范玲玲      </w:t>
            </w:r>
            <w:r>
              <w:rPr>
                <w:rFonts w:hint="eastAsia"/>
                <w:sz w:val="21"/>
                <w:szCs w:val="21"/>
                <w:lang w:val="en-US" w:eastAsia="zh-CN"/>
              </w:rPr>
              <w:t>（远程）审核工具：微信视频、电话、文件传输</w:t>
            </w:r>
            <w:r>
              <w:rPr>
                <w:rFonts w:hint="eastAsia" w:asciiTheme="minorEastAsia" w:hAnsiTheme="minorEastAsia" w:eastAsiaTheme="minorEastAsia"/>
                <w:sz w:val="21"/>
                <w:szCs w:val="21"/>
                <w:lang w:val="en-US" w:eastAsia="zh-CN"/>
              </w:rPr>
              <w:t xml:space="preserve">  </w:t>
            </w:r>
          </w:p>
          <w:p>
            <w:pPr>
              <w:spacing w:before="120"/>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审核时间：</w:t>
            </w:r>
            <w:r>
              <w:rPr>
                <w:rFonts w:asciiTheme="minorEastAsia" w:hAnsiTheme="minorEastAsia" w:eastAsiaTheme="minorEastAsia"/>
                <w:sz w:val="21"/>
                <w:szCs w:val="21"/>
              </w:rPr>
              <w:t>2022年</w:t>
            </w:r>
            <w:r>
              <w:rPr>
                <w:rFonts w:hint="eastAsia" w:asciiTheme="minorEastAsia" w:hAnsiTheme="minorEastAsia" w:eastAsiaTheme="minorEastAsia"/>
                <w:sz w:val="21"/>
                <w:szCs w:val="21"/>
                <w:lang w:val="en-US" w:eastAsia="zh-CN"/>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line="30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审核条款：</w:t>
            </w:r>
            <w:r>
              <w:rPr>
                <w:rFonts w:hint="eastAsia" w:ascii="Times New Roman" w:hAnsi="Times New Roman" w:eastAsia="宋体" w:cs="Times New Roman"/>
                <w:sz w:val="21"/>
                <w:szCs w:val="21"/>
                <w:highlight w:val="none"/>
                <w:lang w:val="en-US" w:eastAsia="zh-CN"/>
              </w:rPr>
              <w:t>EnMS:5.3/6.2/7.4/8.1/10.1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73" w:type="dxa"/>
            <w:vAlign w:val="top"/>
          </w:tcPr>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部门能源职责权限</w:t>
            </w:r>
          </w:p>
        </w:tc>
        <w:tc>
          <w:tcPr>
            <w:tcW w:w="960" w:type="dxa"/>
            <w:vAlign w:val="top"/>
          </w:tcPr>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vAlign w:val="center"/>
          </w:tcPr>
          <w:p>
            <w:pPr>
              <w:spacing w:line="400" w:lineRule="exact"/>
              <w:rPr>
                <w:rFonts w:hint="eastAsia" w:ascii="宋体" w:hAnsi="宋体" w:eastAsia="宋体" w:cs="宋体"/>
                <w:b w:val="0"/>
                <w:bCs w:val="0"/>
                <w:color w:val="auto"/>
                <w:sz w:val="21"/>
                <w:szCs w:val="21"/>
                <w:u w:val="none"/>
                <w:lang w:val="en-US" w:eastAsia="zh-CN"/>
              </w:rPr>
            </w:pPr>
            <w:r>
              <w:rPr>
                <w:rFonts w:hint="eastAsia" w:ascii="宋体" w:hAnsi="宋体" w:eastAsia="宋体" w:cs="Times New Roman"/>
                <w:b w:val="0"/>
                <w:bCs w:val="0"/>
                <w:sz w:val="21"/>
                <w:szCs w:val="21"/>
                <w:highlight w:val="none"/>
                <w:lang w:val="en-US" w:eastAsia="zh-CN"/>
              </w:rPr>
              <w:t>消防救援支队</w:t>
            </w:r>
            <w:r>
              <w:rPr>
                <w:rFonts w:hint="eastAsia" w:ascii="宋体" w:hAnsi="宋体" w:eastAsia="宋体" w:cs="宋体"/>
                <w:b w:val="0"/>
                <w:bCs w:val="0"/>
                <w:color w:val="auto"/>
                <w:sz w:val="21"/>
                <w:szCs w:val="21"/>
                <w:u w:val="none"/>
                <w:lang w:val="en-US" w:eastAsia="zh-CN"/>
              </w:rPr>
              <w:t>领导</w:t>
            </w:r>
            <w:r>
              <w:rPr>
                <w:rFonts w:hint="eastAsia" w:eastAsia="华文宋体"/>
                <w:sz w:val="21"/>
                <w:szCs w:val="21"/>
                <w:lang w:val="en-US" w:eastAsia="zh-CN"/>
              </w:rPr>
              <w:t>于克非</w:t>
            </w:r>
            <w:r>
              <w:rPr>
                <w:rFonts w:hint="eastAsia" w:ascii="宋体" w:hAnsi="宋体" w:eastAsia="宋体" w:cs="宋体"/>
                <w:b w:val="0"/>
                <w:bCs w:val="0"/>
                <w:color w:val="auto"/>
                <w:sz w:val="21"/>
                <w:szCs w:val="21"/>
                <w:u w:val="none"/>
                <w:lang w:val="en-US" w:eastAsia="zh-CN"/>
              </w:rPr>
              <w:t>介绍：主要</w:t>
            </w:r>
            <w:r>
              <w:rPr>
                <w:rFonts w:hint="eastAsia" w:ascii="宋体" w:hAnsi="宋体"/>
                <w:bCs/>
                <w:sz w:val="21"/>
                <w:szCs w:val="21"/>
              </w:rPr>
              <w:t>负责定期统计石家庄炼化分公司和资产分公司消防器材的活动数据，形成统计报表，报生产技术部</w:t>
            </w:r>
            <w:r>
              <w:rPr>
                <w:rFonts w:hint="eastAsia" w:ascii="宋体" w:hAnsi="宋体"/>
                <w:bCs/>
                <w:sz w:val="21"/>
                <w:szCs w:val="21"/>
                <w:lang w:eastAsia="zh-CN"/>
              </w:rPr>
              <w:t>；</w:t>
            </w:r>
            <w:r>
              <w:rPr>
                <w:rFonts w:hint="eastAsia" w:ascii="宋体" w:hAnsi="宋体"/>
                <w:bCs/>
                <w:sz w:val="21"/>
                <w:szCs w:val="21"/>
              </w:rPr>
              <w:t>负责配合能源及碳排放相关检查、核查中所需数据及材料的提供及说明工作</w:t>
            </w:r>
            <w:r>
              <w:rPr>
                <w:rFonts w:hint="eastAsia" w:ascii="宋体" w:hAnsi="宋体" w:eastAsia="宋体" w:cs="宋体"/>
                <w:b w:val="0"/>
                <w:bCs w:val="0"/>
                <w:color w:val="auto"/>
                <w:kern w:val="2"/>
                <w:sz w:val="21"/>
                <w:szCs w:val="21"/>
                <w:lang w:val="en-US" w:eastAsia="zh-CN"/>
              </w:rPr>
              <w:t>等</w:t>
            </w:r>
            <w:r>
              <w:rPr>
                <w:rFonts w:hint="eastAsia" w:eastAsia="宋体" w:cs="宋体"/>
                <w:b w:val="0"/>
                <w:bCs w:val="0"/>
                <w:color w:val="auto"/>
                <w:kern w:val="2"/>
                <w:sz w:val="21"/>
                <w:szCs w:val="21"/>
                <w:lang w:val="en-US" w:eastAsia="zh-CN"/>
              </w:rPr>
              <w:t>工作，涉及能源工作很少。</w:t>
            </w:r>
            <w:r>
              <w:rPr>
                <w:rFonts w:hint="eastAsia" w:ascii="宋体" w:hAnsi="宋体" w:eastAsia="宋体" w:cs="宋体"/>
                <w:b w:val="0"/>
                <w:bCs w:val="0"/>
                <w:color w:val="auto"/>
                <w:sz w:val="21"/>
                <w:szCs w:val="21"/>
                <w:u w:val="none"/>
                <w:lang w:val="en-US" w:eastAsia="zh-CN"/>
              </w:rPr>
              <w:t>主管领导</w:t>
            </w:r>
            <w:r>
              <w:rPr>
                <w:rFonts w:hint="eastAsia" w:eastAsia="华文宋体"/>
                <w:sz w:val="21"/>
                <w:szCs w:val="21"/>
                <w:lang w:val="en-US" w:eastAsia="zh-CN"/>
              </w:rPr>
              <w:t>于克非</w:t>
            </w:r>
            <w:r>
              <w:rPr>
                <w:rFonts w:hint="eastAsia" w:ascii="宋体" w:hAnsi="宋体" w:eastAsia="宋体" w:cs="宋体"/>
                <w:b w:val="0"/>
                <w:bCs w:val="0"/>
                <w:color w:val="auto"/>
                <w:sz w:val="21"/>
                <w:szCs w:val="21"/>
                <w:u w:val="none"/>
                <w:lang w:val="en-US" w:eastAsia="zh-CN"/>
              </w:rPr>
              <w:t>对职责清楚。</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内容基本符合要求。</w:t>
            </w:r>
          </w:p>
          <w:p>
            <w:pPr>
              <w:pStyle w:val="2"/>
              <w:spacing w:line="240" w:lineRule="auto"/>
              <w:ind w:left="0" w:leftChars="0" w:firstLine="0" w:firstLineChars="0"/>
              <w:rPr>
                <w:rFonts w:hint="default" w:eastAsia="宋体"/>
                <w:lang w:val="en-US" w:eastAsia="zh-CN"/>
              </w:rPr>
            </w:pPr>
            <w:r>
              <w:rPr>
                <w:rFonts w:hint="eastAsia" w:eastAsia="宋体"/>
                <w:lang w:val="en-US" w:eastAsia="zh-CN"/>
              </w:rPr>
              <w:t xml:space="preserve"> </w:t>
            </w:r>
            <w:r>
              <w:rPr>
                <w:rFonts w:hint="default" w:eastAsia="宋体"/>
                <w:lang w:val="en-US" w:eastAsia="zh-CN"/>
              </w:rPr>
              <w:drawing>
                <wp:inline distT="0" distB="0" distL="114300" distR="114300">
                  <wp:extent cx="1219835" cy="1100455"/>
                  <wp:effectExtent l="0" t="0" r="12065" b="4445"/>
                  <wp:docPr id="40" name="图片 40" descr="167220009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672200098163"/>
                          <pic:cNvPicPr>
                            <a:picLocks noChangeAspect="1"/>
                          </pic:cNvPicPr>
                        </pic:nvPicPr>
                        <pic:blipFill>
                          <a:blip r:embed="rId24"/>
                          <a:stretch>
                            <a:fillRect/>
                          </a:stretch>
                        </pic:blipFill>
                        <pic:spPr>
                          <a:xfrm>
                            <a:off x="0" y="0"/>
                            <a:ext cx="1219835" cy="1100455"/>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026795" cy="1101725"/>
                  <wp:effectExtent l="0" t="0" r="1905" b="3175"/>
                  <wp:docPr id="2" name="图片 2" descr="b6b52c7f251c751adf7b8c68ff52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b52c7f251c751adf7b8c68ff52c60"/>
                          <pic:cNvPicPr>
                            <a:picLocks noChangeAspect="1"/>
                          </pic:cNvPicPr>
                        </pic:nvPicPr>
                        <pic:blipFill>
                          <a:blip r:embed="rId25"/>
                          <a:stretch>
                            <a:fillRect/>
                          </a:stretch>
                        </pic:blipFill>
                        <pic:spPr>
                          <a:xfrm>
                            <a:off x="0" y="0"/>
                            <a:ext cx="1026795" cy="1101725"/>
                          </a:xfrm>
                          <a:prstGeom prst="rect">
                            <a:avLst/>
                          </a:prstGeom>
                        </pic:spPr>
                      </pic:pic>
                    </a:graphicData>
                  </a:graphic>
                </wp:inline>
              </w:drawing>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3" w:type="dxa"/>
          </w:tcPr>
          <w:p>
            <w:pPr>
              <w:rPr>
                <w:rFonts w:hint="default" w:eastAsia="宋体"/>
                <w:lang w:val="en-US" w:eastAsia="zh-CN"/>
              </w:rPr>
            </w:pPr>
            <w:r>
              <w:rPr>
                <w:rFonts w:hint="eastAsia"/>
                <w:color w:val="000000"/>
                <w:szCs w:val="21"/>
                <w:lang w:val="en-US" w:eastAsia="zh-CN"/>
              </w:rPr>
              <w:t>能源</w:t>
            </w:r>
            <w:r>
              <w:rPr>
                <w:rFonts w:hint="eastAsia"/>
                <w:color w:val="000000"/>
                <w:szCs w:val="21"/>
              </w:rPr>
              <w:t>目标</w:t>
            </w:r>
          </w:p>
        </w:tc>
        <w:tc>
          <w:tcPr>
            <w:tcW w:w="960" w:type="dxa"/>
          </w:tcPr>
          <w:p>
            <w:pPr>
              <w:rPr>
                <w:rFonts w:hint="default" w:eastAsia="宋体"/>
                <w:lang w:val="en-US" w:eastAsia="zh-CN"/>
              </w:rPr>
            </w:pPr>
            <w:r>
              <w:rPr>
                <w:rFonts w:hint="eastAsia"/>
                <w:color w:val="000000"/>
                <w:szCs w:val="21"/>
              </w:rPr>
              <w:t>En6.2</w:t>
            </w:r>
          </w:p>
        </w:tc>
        <w:tc>
          <w:tcPr>
            <w:tcW w:w="10004" w:type="dxa"/>
          </w:tcPr>
          <w:p>
            <w:pPr>
              <w:rPr>
                <w:rFonts w:hint="default"/>
                <w:sz w:val="21"/>
                <w:szCs w:val="21"/>
                <w:lang w:val="en-US" w:eastAsia="zh-CN"/>
              </w:rPr>
            </w:pPr>
            <w:r>
              <w:rPr>
                <w:rFonts w:hint="eastAsia"/>
                <w:sz w:val="21"/>
                <w:szCs w:val="21"/>
                <w:lang w:val="en-US" w:eastAsia="zh-CN"/>
              </w:rPr>
              <w:t>为保证公司能源目标：该部门制定绩效指标，消防执勤车辆、装备完好率100%；消防水系统、固定泡沫灭火系统、芳烃罐区灭火雨淋阀系统、火灾自动报警系统完好率≥98.5%；生产、辅助生产装置固定消防设施完好率，各单位移动灭火器材完好率≥98.5%；后勤单位消防设施、器材完好率≥98.5%；战备气防设施、器材完好率100%；消防员基本功考核合格率≥98.5%；</w:t>
            </w:r>
          </w:p>
          <w:p>
            <w:pPr>
              <w:rPr>
                <w:rFonts w:hint="default"/>
                <w:sz w:val="21"/>
                <w:szCs w:val="21"/>
                <w:lang w:val="en-US" w:eastAsia="zh-CN"/>
              </w:rPr>
            </w:pPr>
            <w:r>
              <w:rPr>
                <w:rFonts w:hint="eastAsia"/>
                <w:sz w:val="21"/>
                <w:szCs w:val="21"/>
                <w:lang w:val="en-US" w:eastAsia="zh-CN"/>
              </w:rPr>
              <w:t>提供2022年1-11月目标考核完成情况，经查符合要求。</w:t>
            </w:r>
          </w:p>
          <w:p>
            <w:pPr>
              <w:rPr>
                <w:rFonts w:hint="eastAsia"/>
                <w:sz w:val="21"/>
                <w:szCs w:val="21"/>
                <w:lang w:val="en-US" w:eastAsia="zh-CN"/>
              </w:rPr>
            </w:pPr>
            <w:r>
              <w:rPr>
                <w:rFonts w:hint="eastAsia"/>
                <w:sz w:val="21"/>
                <w:szCs w:val="21"/>
                <w:lang w:val="en-US" w:eastAsia="zh-CN"/>
              </w:rPr>
              <w:t>消防救援支队2022年度用水指标：6480吨，用电指标为：204000度，年度超出指标生产技术部予以考核。</w:t>
            </w:r>
          </w:p>
          <w:p>
            <w:pPr>
              <w:pStyle w:val="2"/>
              <w:ind w:left="0" w:leftChars="0" w:firstLine="0" w:firstLineChars="0"/>
              <w:rPr>
                <w:rFonts w:hint="eastAsia"/>
                <w:sz w:val="21"/>
                <w:szCs w:val="21"/>
                <w:lang w:val="en-US" w:eastAsia="zh-CN"/>
              </w:rPr>
            </w:pPr>
            <w:r>
              <w:rPr>
                <w:rFonts w:hint="eastAsia"/>
                <w:sz w:val="21"/>
                <w:szCs w:val="21"/>
                <w:lang w:val="en-US" w:eastAsia="zh-CN"/>
              </w:rPr>
              <w:t>提供2022年1-11月份能源指标完成情况：</w:t>
            </w:r>
          </w:p>
          <w:p>
            <w:pPr>
              <w:pStyle w:val="2"/>
              <w:ind w:left="0" w:leftChars="0" w:firstLine="0" w:firstLineChars="0"/>
              <w:rPr>
                <w:rFonts w:hint="default"/>
                <w:sz w:val="21"/>
                <w:szCs w:val="21"/>
                <w:lang w:val="en-US" w:eastAsia="zh-CN"/>
              </w:rPr>
            </w:pPr>
            <w:r>
              <w:rPr>
                <w:rFonts w:hint="default"/>
                <w:sz w:val="21"/>
                <w:szCs w:val="21"/>
                <w:lang w:val="en-US" w:eastAsia="zh-CN"/>
              </w:rPr>
              <w:drawing>
                <wp:inline distT="0" distB="0" distL="114300" distR="114300">
                  <wp:extent cx="6214110" cy="819150"/>
                  <wp:effectExtent l="0" t="0" r="8890" b="6350"/>
                  <wp:docPr id="7" name="图片 7" descr="167229545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2295458450"/>
                          <pic:cNvPicPr>
                            <a:picLocks noChangeAspect="1"/>
                          </pic:cNvPicPr>
                        </pic:nvPicPr>
                        <pic:blipFill>
                          <a:blip r:embed="rId26"/>
                          <a:stretch>
                            <a:fillRect/>
                          </a:stretch>
                        </pic:blipFill>
                        <pic:spPr>
                          <a:xfrm>
                            <a:off x="0" y="0"/>
                            <a:ext cx="6214110" cy="819150"/>
                          </a:xfrm>
                          <a:prstGeom prst="rect">
                            <a:avLst/>
                          </a:prstGeom>
                        </pic:spPr>
                      </pic:pic>
                    </a:graphicData>
                  </a:graphic>
                </wp:inline>
              </w:drawing>
            </w:r>
          </w:p>
          <w:p>
            <w:pPr>
              <w:pStyle w:val="2"/>
              <w:ind w:left="0" w:leftChars="0" w:firstLine="0" w:firstLineChars="0"/>
              <w:rPr>
                <w:rFonts w:hint="default"/>
                <w:sz w:val="21"/>
                <w:szCs w:val="21"/>
                <w:lang w:val="en-US" w:eastAsia="zh-CN"/>
              </w:rPr>
            </w:pPr>
            <w:r>
              <w:rPr>
                <w:rFonts w:hint="eastAsia"/>
                <w:sz w:val="21"/>
                <w:szCs w:val="21"/>
                <w:lang w:val="en-US" w:eastAsia="zh-CN"/>
              </w:rPr>
              <w:t>经查符合要求。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运行</w:t>
            </w:r>
          </w:p>
        </w:tc>
        <w:tc>
          <w:tcPr>
            <w:tcW w:w="960" w:type="dxa"/>
            <w:vAlign w:val="top"/>
          </w:tcPr>
          <w:p>
            <w:pPr>
              <w:pStyle w:val="21"/>
              <w:rPr>
                <w:rFonts w:hint="default" w:ascii="Times New Roman" w:hAnsi="Times New Roman" w:eastAsia="宋体" w:cs="Times New Roman"/>
                <w:bCs/>
                <w:spacing w:val="10"/>
                <w:kern w:val="2"/>
                <w:sz w:val="21"/>
                <w:lang w:val="en-US" w:eastAsia="zh-CN" w:bidi="ar-SA"/>
              </w:rPr>
            </w:pPr>
            <w:r>
              <w:rPr>
                <w:rFonts w:hint="eastAsia"/>
                <w:lang w:val="en-US" w:eastAsia="zh-CN"/>
              </w:rPr>
              <w:t>En8.1</w:t>
            </w:r>
          </w:p>
        </w:tc>
        <w:tc>
          <w:tcPr>
            <w:tcW w:w="10004" w:type="dxa"/>
            <w:vAlign w:val="top"/>
          </w:tcPr>
          <w:p>
            <w:pPr>
              <w:pStyle w:val="21"/>
              <w:rPr>
                <w:rFonts w:hint="default"/>
                <w:sz w:val="21"/>
                <w:szCs w:val="21"/>
                <w:lang w:val="en-US" w:eastAsia="zh-CN"/>
              </w:rPr>
            </w:pPr>
            <w:r>
              <w:rPr>
                <w:rFonts w:hint="eastAsia"/>
                <w:sz w:val="21"/>
                <w:szCs w:val="21"/>
                <w:lang w:val="en-US" w:eastAsia="zh-CN"/>
              </w:rPr>
              <w:t>如：</w:t>
            </w:r>
            <w:r>
              <w:rPr>
                <w:rFonts w:hint="eastAsia"/>
                <w:sz w:val="21"/>
                <w:szCs w:val="21"/>
                <w:lang w:val="en-US" w:eastAsia="zh-CN"/>
              </w:rPr>
              <w:sym w:font="Wingdings" w:char="00FE"/>
            </w:r>
            <w:r>
              <w:rPr>
                <w:rFonts w:hint="eastAsia"/>
                <w:sz w:val="21"/>
                <w:szCs w:val="21"/>
                <w:lang w:val="en-US" w:eastAsia="zh-CN"/>
              </w:rPr>
              <w:t>手册第8.4</w:t>
            </w:r>
            <w:r>
              <w:rPr>
                <w:sz w:val="21"/>
                <w:szCs w:val="21"/>
              </w:rPr>
              <w:t>能源策划和控制</w:t>
            </w:r>
            <w:r>
              <w:rPr>
                <w:rFonts w:hint="eastAsia"/>
                <w:sz w:val="21"/>
                <w:szCs w:val="21"/>
                <w:lang w:val="en-US" w:eastAsia="zh-CN"/>
              </w:rPr>
              <w:t>条款有规定</w:t>
            </w:r>
          </w:p>
          <w:p>
            <w:pPr>
              <w:pStyle w:val="21"/>
              <w:rPr>
                <w:rFonts w:hint="eastAsia"/>
                <w:sz w:val="21"/>
                <w:szCs w:val="21"/>
                <w:lang w:val="en-US" w:eastAsia="zh-CN"/>
              </w:rPr>
            </w:pPr>
            <w:r>
              <w:rPr>
                <w:rFonts w:hint="eastAsia"/>
                <w:sz w:val="21"/>
                <w:szCs w:val="21"/>
                <w:lang w:val="en-US" w:eastAsia="zh-CN"/>
              </w:rPr>
              <w:t>1.节约用电的控制：</w:t>
            </w:r>
            <w:r>
              <w:rPr>
                <w:rFonts w:hint="eastAsia"/>
                <w:sz w:val="21"/>
                <w:szCs w:val="21"/>
                <w:lang w:val="en-US" w:eastAsia="zh-CN"/>
              </w:rPr>
              <w:sym w:font="Wingdings" w:char="00FE"/>
            </w:r>
            <w:r>
              <w:rPr>
                <w:rFonts w:hint="eastAsia"/>
                <w:sz w:val="21"/>
                <w:szCs w:val="21"/>
                <w:lang w:val="en-US" w:eastAsia="zh-CN"/>
              </w:rPr>
              <w:t>随手关灯、</w:t>
            </w:r>
            <w:r>
              <w:rPr>
                <w:rFonts w:hint="eastAsia"/>
                <w:sz w:val="21"/>
                <w:szCs w:val="21"/>
                <w:lang w:val="en-US" w:eastAsia="zh-CN"/>
              </w:rPr>
              <w:sym w:font="Wingdings" w:char="00FE"/>
            </w:r>
            <w:r>
              <w:rPr>
                <w:rFonts w:hint="eastAsia"/>
                <w:sz w:val="21"/>
                <w:szCs w:val="21"/>
                <w:lang w:val="en-US" w:eastAsia="zh-CN"/>
              </w:rPr>
              <w:t>下班前关闭电源、</w:t>
            </w:r>
            <w:r>
              <w:rPr>
                <w:rFonts w:hint="eastAsia"/>
                <w:sz w:val="21"/>
                <w:szCs w:val="21"/>
                <w:lang w:val="en-US" w:eastAsia="zh-CN"/>
              </w:rPr>
              <w:sym w:font="Wingdings" w:char="00FE"/>
            </w:r>
            <w:r>
              <w:rPr>
                <w:rFonts w:hint="eastAsia"/>
                <w:sz w:val="21"/>
                <w:szCs w:val="21"/>
                <w:lang w:val="en-US" w:eastAsia="zh-CN"/>
              </w:rPr>
              <w:t>控制空调温度（夏季≥26℃；冬季≤20℃）</w:t>
            </w:r>
          </w:p>
          <w:p>
            <w:pPr>
              <w:pStyle w:val="21"/>
              <w:rPr>
                <w:rFonts w:hint="eastAsia"/>
                <w:sz w:val="21"/>
                <w:szCs w:val="21"/>
                <w:lang w:val="en-US" w:eastAsia="zh-CN"/>
              </w:rPr>
            </w:pPr>
            <w:r>
              <w:rPr>
                <w:rFonts w:hint="eastAsia"/>
                <w:sz w:val="21"/>
                <w:szCs w:val="21"/>
                <w:lang w:val="en-US" w:eastAsia="zh-CN"/>
              </w:rPr>
              <w:t>2.节约用水的控制：</w:t>
            </w:r>
            <w:r>
              <w:rPr>
                <w:rFonts w:hint="eastAsia"/>
                <w:sz w:val="21"/>
                <w:szCs w:val="21"/>
                <w:lang w:val="en-US" w:eastAsia="zh-CN"/>
              </w:rPr>
              <w:sym w:font="Wingdings" w:char="00FE"/>
            </w:r>
            <w:r>
              <w:rPr>
                <w:rFonts w:hint="eastAsia"/>
                <w:sz w:val="21"/>
                <w:szCs w:val="21"/>
                <w:lang w:val="en-US" w:eastAsia="zh-CN"/>
              </w:rPr>
              <w:t xml:space="preserve">随手关水龙头  </w:t>
            </w:r>
            <w:r>
              <w:rPr>
                <w:rFonts w:hint="eastAsia"/>
                <w:sz w:val="21"/>
                <w:szCs w:val="21"/>
                <w:lang w:val="en-US" w:eastAsia="zh-CN"/>
              </w:rPr>
              <w:sym w:font="Wingdings" w:char="00FE"/>
            </w:r>
            <w:r>
              <w:rPr>
                <w:rFonts w:hint="eastAsia"/>
                <w:sz w:val="21"/>
                <w:szCs w:val="21"/>
                <w:lang w:val="en-US" w:eastAsia="zh-CN"/>
              </w:rPr>
              <w:t>使用节水龙头及马桶</w:t>
            </w:r>
          </w:p>
          <w:p>
            <w:pPr>
              <w:pStyle w:val="21"/>
              <w:rPr>
                <w:rFonts w:hint="eastAsia"/>
                <w:sz w:val="21"/>
                <w:szCs w:val="21"/>
                <w:lang w:val="en-US" w:eastAsia="zh-CN"/>
              </w:rPr>
            </w:pPr>
            <w:r>
              <w:rPr>
                <w:rFonts w:hint="eastAsia"/>
                <w:sz w:val="21"/>
                <w:szCs w:val="21"/>
                <w:lang w:val="en-US" w:eastAsia="zh-CN"/>
              </w:rPr>
              <w:t>3.节约用纸的控制：</w:t>
            </w:r>
            <w:r>
              <w:rPr>
                <w:rFonts w:hint="eastAsia"/>
                <w:sz w:val="21"/>
                <w:szCs w:val="21"/>
                <w:lang w:val="en-US" w:eastAsia="zh-CN"/>
              </w:rPr>
              <w:sym w:font="Wingdings" w:char="00FE"/>
            </w:r>
            <w:r>
              <w:rPr>
                <w:rFonts w:hint="eastAsia"/>
                <w:sz w:val="21"/>
                <w:szCs w:val="21"/>
                <w:lang w:val="en-US" w:eastAsia="zh-CN"/>
              </w:rPr>
              <w:t xml:space="preserve">纸张双面使用  </w:t>
            </w:r>
            <w:r>
              <w:rPr>
                <w:rFonts w:hint="eastAsia"/>
                <w:sz w:val="21"/>
                <w:szCs w:val="21"/>
                <w:lang w:val="en-US" w:eastAsia="zh-CN"/>
              </w:rPr>
              <w:sym w:font="Wingdings" w:char="00A8"/>
            </w:r>
            <w:r>
              <w:rPr>
                <w:rFonts w:hint="eastAsia"/>
                <w:sz w:val="21"/>
                <w:szCs w:val="21"/>
                <w:lang w:val="en-US" w:eastAsia="zh-CN"/>
              </w:rPr>
              <w:t>尽量采用电子版文件</w:t>
            </w:r>
          </w:p>
          <w:p>
            <w:pPr>
              <w:pStyle w:val="21"/>
              <w:rPr>
                <w:rFonts w:hint="eastAsia"/>
                <w:sz w:val="21"/>
                <w:szCs w:val="21"/>
                <w:lang w:val="en-US" w:eastAsia="zh-CN"/>
              </w:rPr>
            </w:pPr>
            <w:r>
              <w:rPr>
                <w:rFonts w:hint="eastAsia" w:ascii="宋体" w:hAnsi="宋体" w:eastAsia="宋体" w:cs="Times New Roman"/>
                <w:b w:val="0"/>
                <w:bCs w:val="0"/>
                <w:sz w:val="21"/>
                <w:szCs w:val="21"/>
                <w:highlight w:val="none"/>
                <w:lang w:val="en-US" w:eastAsia="zh-CN"/>
              </w:rPr>
              <w:t>消防救援支队</w:t>
            </w:r>
            <w:r>
              <w:rPr>
                <w:rFonts w:hint="eastAsia"/>
                <w:sz w:val="21"/>
                <w:szCs w:val="21"/>
                <w:lang w:val="en-US" w:eastAsia="zh-CN"/>
              </w:rPr>
              <w:t>用能主要是办公用能和公司日常消防救援中主要使用水和电。</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sz w:val="21"/>
                <w:szCs w:val="21"/>
                <w:lang w:val="en-US" w:eastAsia="zh-CN"/>
              </w:rPr>
            </w:pPr>
            <w:r>
              <w:rPr>
                <w:rFonts w:hint="eastAsia"/>
                <w:sz w:val="21"/>
                <w:szCs w:val="21"/>
                <w:lang w:val="en-US" w:eastAsia="zh-CN"/>
              </w:rPr>
              <w:t>该部门要求员工照明灯不用时及时将电源关闭，电脑不使用时及时将电源关闭，电脑设置休眠功能，夏天空调设置26度以上。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sz w:val="21"/>
                <w:szCs w:val="21"/>
                <w:lang w:val="en-US" w:eastAsia="zh-CN"/>
              </w:rPr>
            </w:pPr>
            <w:r>
              <w:rPr>
                <w:rFonts w:hint="eastAsia"/>
                <w:sz w:val="21"/>
                <w:szCs w:val="21"/>
                <w:lang w:val="en-US" w:eastAsia="zh-CN"/>
              </w:rPr>
              <w:t>办公区张贴节约用电和节约用水的宣传标识。能够做到人走灯息、空调在26度以上。</w:t>
            </w:r>
          </w:p>
          <w:p>
            <w:pPr>
              <w:pStyle w:val="4"/>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定期培训，公司生产运行中关注消防安全。</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公司消防支队2022年1-11月用电：164300度，采用折标准煤系数：0.1229kgce/（kW</w:t>
            </w:r>
            <w:r>
              <w:rPr>
                <w:rFonts w:hint="eastAsia" w:ascii="宋体" w:hAnsi="宋体" w:eastAsia="宋体" w:cs="宋体"/>
                <w:color w:val="000000"/>
                <w:kern w:val="0"/>
                <w:sz w:val="21"/>
                <w:szCs w:val="21"/>
                <w:lang w:val="en-US" w:eastAsia="zh-CN" w:bidi="ar"/>
              </w:rPr>
              <w:t>·ｈ</w:t>
            </w:r>
            <w:r>
              <w:rPr>
                <w:rFonts w:hint="eastAsia" w:ascii="宋体" w:hAnsi="宋体" w:eastAsia="宋体" w:cs="宋体"/>
                <w:sz w:val="21"/>
                <w:szCs w:val="21"/>
                <w:lang w:val="en-US" w:eastAsia="zh-CN"/>
              </w:rPr>
              <w:t>），折合成标煤：20192.47kgce=20.19247t；用水5760吨，采用折标准煤系数：0.2571kgce/t，折合成标煤：1480.9kgce=1.4809t   合计：21.27T标准煤。</w:t>
            </w:r>
          </w:p>
          <w:p>
            <w:pPr>
              <w:pStyle w:val="4"/>
              <w:numPr>
                <w:ilvl w:val="0"/>
                <w:numId w:val="0"/>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经查符合要求。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3" w:type="dxa"/>
            <w:vAlign w:val="top"/>
          </w:tcPr>
          <w:p>
            <w:pPr>
              <w:rPr>
                <w:rFonts w:ascii="Times New Roman" w:hAnsi="Times New Roman" w:eastAsia="宋体" w:cs="Times New Roman"/>
                <w:kern w:val="2"/>
                <w:sz w:val="21"/>
                <w:lang w:val="en-US" w:eastAsia="zh-CN" w:bidi="ar-SA"/>
              </w:rPr>
            </w:pPr>
            <w:r>
              <w:rPr>
                <w:rFonts w:hint="eastAsia"/>
              </w:rPr>
              <w:t>信息交流</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rPr>
              <w:t>En</w:t>
            </w:r>
            <w:r>
              <w:t>7</w:t>
            </w:r>
            <w:r>
              <w:rPr>
                <w:rFonts w:hint="eastAsia"/>
              </w:rPr>
              <w:t>.</w:t>
            </w:r>
            <w:r>
              <w:t>4</w:t>
            </w:r>
          </w:p>
        </w:tc>
        <w:tc>
          <w:tcPr>
            <w:tcW w:w="10004" w:type="dxa"/>
            <w:vAlign w:val="top"/>
          </w:tcPr>
          <w:p>
            <w:pPr>
              <w:pStyle w:val="13"/>
              <w:numPr>
                <w:ilvl w:val="0"/>
                <w:numId w:val="0"/>
              </w:num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在沟通方面，管理手册、</w:t>
            </w:r>
            <w:r>
              <w:rPr>
                <w:rFonts w:hint="eastAsia" w:ascii="Times New Roman" w:hAnsi="宋体" w:cs="Times New Roman"/>
              </w:rPr>
              <w:t>《信息资源管理办法</w:t>
            </w:r>
            <w:r>
              <w:rPr>
                <w:rFonts w:hint="eastAsia" w:hAnsi="宋体"/>
                <w:sz w:val="21"/>
                <w:szCs w:val="21"/>
              </w:rPr>
              <w:t>》</w:t>
            </w:r>
            <w:r>
              <w:rPr>
                <w:rFonts w:hint="eastAsia" w:ascii="Times New Roman" w:hAnsi="宋体" w:cs="Times New Roman"/>
                <w:lang w:val="en-US" w:eastAsia="zh-CN"/>
              </w:rPr>
              <w:t>、</w:t>
            </w:r>
            <w:r>
              <w:rPr>
                <w:rFonts w:hint="eastAsia" w:hAnsi="宋体"/>
                <w:sz w:val="21"/>
                <w:szCs w:val="21"/>
              </w:rPr>
              <w:t>《沟通与协商管理办法》</w:t>
            </w:r>
            <w:r>
              <w:rPr>
                <w:rFonts w:hint="eastAsia" w:hAnsi="宋体"/>
                <w:sz w:val="21"/>
                <w:szCs w:val="21"/>
                <w:lang w:val="en-US" w:eastAsia="zh-CN"/>
              </w:rPr>
              <w:t>等</w:t>
            </w:r>
            <w:r>
              <w:rPr>
                <w:rFonts w:hint="eastAsia"/>
                <w:color w:val="000000" w:themeColor="text1"/>
                <w:lang w:val="en-US" w:eastAsia="zh-CN"/>
                <w14:textFill>
                  <w14:solidFill>
                    <w14:schemeClr w14:val="tx1"/>
                  </w14:solidFill>
                </w14:textFill>
              </w:rPr>
              <w:t>文件中公司均有相应的规定。</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外部信息指有关的法律法规，上级部门、顾客、供方及其他相关方的信息,由各部门根据职责分工在公司内部及外部相关方之间进行传递和沟通，主要包括：</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 来源于认证机构、节能行政主管部门、节能监察机构及能源监测机构监督、检查或监测的结果及反馈的有关信息；</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b) 法律法规、标准类信息；</w:t>
            </w:r>
          </w:p>
          <w:p>
            <w:pPr>
              <w:numPr>
                <w:ilvl w:val="0"/>
                <w:numId w:val="0"/>
              </w:numPr>
              <w:ind w:firstLine="42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c) 来源于顾客、供方及其他相关方的信息。</w:t>
            </w:r>
          </w:p>
          <w:p>
            <w:pPr>
              <w:pStyle w:val="32"/>
              <w:spacing w:line="360" w:lineRule="exac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公司内部</w:t>
            </w:r>
            <w:r>
              <w:rPr>
                <w:rFonts w:hint="eastAsia" w:ascii="Times New Roman" w:hAnsi="宋体" w:cs="Times New Roman"/>
              </w:rPr>
              <w:t>公司确定与管理体系相关的内部沟通需求，建立并实施《信息资源管理办法》，包括：沟通的内容、沟通的时机、沟通的对象、如何沟通（包括沟通的方法、工具和途径）。公司建立职工代表大会制度，推行厂务公开、民主管理，开展职业健康安全危险源识别和风险评价等活动，提供员工参与协商沟通渠道，确保员工权益得到保障。</w:t>
            </w:r>
            <w:r>
              <w:rPr>
                <w:rFonts w:hint="eastAsia"/>
                <w:color w:val="000000" w:themeColor="text1"/>
                <w:lang w:val="en-US" w:eastAsia="zh-CN"/>
                <w14:textFill>
                  <w14:solidFill>
                    <w14:schemeClr w14:val="tx1"/>
                  </w14:solidFill>
                </w14:textFill>
              </w:rPr>
              <w:t>公司沟通还包括：会议、电话、网络、文件、专题会议等。</w:t>
            </w:r>
          </w:p>
          <w:p>
            <w:pPr>
              <w:numPr>
                <w:ilvl w:val="0"/>
                <w:numId w:val="0"/>
              </w:numPr>
              <w:ind w:firstLine="420" w:firstLineChars="200"/>
              <w:rPr>
                <w:rFonts w:hint="eastAsia" w:ascii="Times New Roman" w:hAnsi="Times New Roman" w:eastAsia="宋体" w:cs="Times New Roman"/>
                <w:kern w:val="2"/>
                <w:sz w:val="21"/>
                <w:lang w:val="en-US" w:eastAsia="zh-CN" w:bidi="ar-SA"/>
              </w:rPr>
            </w:pPr>
            <w:r>
              <w:rPr>
                <w:rFonts w:hint="eastAsia"/>
                <w:color w:val="000000" w:themeColor="text1"/>
                <w:lang w:eastAsia="zh-CN"/>
                <w14:textFill>
                  <w14:solidFill>
                    <w14:schemeClr w14:val="tx1"/>
                  </w14:solidFill>
                </w14:textFill>
              </w:rPr>
              <w:t>公司内外部信息沟通保持了畅通。</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highlight w:val="none"/>
              </w:rPr>
              <w:t>不符合与纠正措施</w:t>
            </w:r>
          </w:p>
        </w:tc>
        <w:tc>
          <w:tcPr>
            <w:tcW w:w="960" w:type="dxa"/>
            <w:vAlign w:val="top"/>
          </w:tcPr>
          <w:p>
            <w:pPr>
              <w:pStyle w:val="21"/>
              <w:rPr>
                <w:rFonts w:hint="default"/>
                <w:highlight w:val="none"/>
                <w:lang w:val="en-US" w:eastAsia="zh-CN"/>
              </w:rPr>
            </w:pPr>
            <w:r>
              <w:rPr>
                <w:rFonts w:hint="eastAsia"/>
                <w:highlight w:val="none"/>
                <w:lang w:val="en-US" w:eastAsia="zh-CN"/>
              </w:rPr>
              <w:t>En10.1</w:t>
            </w:r>
          </w:p>
          <w:p>
            <w:pPr>
              <w:pStyle w:val="21"/>
              <w:rPr>
                <w:rFonts w:ascii="Times New Roman" w:hAnsi="Times New Roman" w:eastAsia="宋体" w:cs="Times New Roman"/>
                <w:kern w:val="2"/>
                <w:sz w:val="21"/>
                <w:lang w:val="en-US" w:eastAsia="zh-CN" w:bidi="ar-SA"/>
              </w:rPr>
            </w:pPr>
          </w:p>
        </w:tc>
        <w:tc>
          <w:tcPr>
            <w:tcW w:w="10004" w:type="dxa"/>
            <w:vAlign w:val="top"/>
          </w:tcPr>
          <w:p>
            <w:pPr>
              <w:rPr>
                <w:rFonts w:ascii="宋体" w:hAnsi="宋体" w:cs="宋体"/>
                <w:sz w:val="21"/>
                <w:szCs w:val="21"/>
              </w:rPr>
            </w:pPr>
            <w:r>
              <w:rPr>
                <w:rFonts w:hint="eastAsia" w:ascii="宋体" w:hAnsi="宋体" w:cs="宋体"/>
                <w:sz w:val="21"/>
                <w:szCs w:val="21"/>
              </w:rPr>
              <w:t>公司</w:t>
            </w:r>
            <w:r>
              <w:rPr>
                <w:rFonts w:hint="eastAsia" w:ascii="宋体" w:hAnsi="宋体" w:cs="宋体"/>
                <w:sz w:val="21"/>
                <w:szCs w:val="21"/>
                <w:lang w:val="en-US" w:eastAsia="zh-CN"/>
              </w:rPr>
              <w:t>管理手册10.1中</w:t>
            </w:r>
            <w:r>
              <w:rPr>
                <w:rFonts w:hint="eastAsia" w:ascii="宋体" w:hAnsi="宋体" w:cs="宋体"/>
                <w:sz w:val="21"/>
                <w:szCs w:val="21"/>
              </w:rPr>
              <w:t>，规定了纠正措施的来源,明确了对不合格项应进行原因分析,制定纠正措施计划,实施跟踪验证,确保所采取 的纠正措施满足预期要求。</w:t>
            </w:r>
          </w:p>
          <w:p>
            <w:pPr>
              <w:rPr>
                <w:rFonts w:ascii="Times New Roman" w:hAnsi="Times New Roman" w:eastAsia="宋体" w:cs="Times New Roman"/>
                <w:kern w:val="2"/>
                <w:sz w:val="21"/>
                <w:lang w:val="en-US" w:eastAsia="zh-CN" w:bidi="ar-SA"/>
              </w:rPr>
            </w:pPr>
            <w:r>
              <w:rPr>
                <w:rFonts w:hint="eastAsia" w:ascii="宋体" w:hAnsi="宋体" w:cs="宋体"/>
                <w:sz w:val="21"/>
                <w:szCs w:val="21"/>
              </w:rPr>
              <w:t>通过交谈，基本能清楚纠正和预防措施的控制要求。</w:t>
            </w:r>
            <w:r>
              <w:rPr>
                <w:rFonts w:hint="eastAsia" w:ascii="宋体" w:hAnsi="宋体" w:cs="宋体"/>
                <w:sz w:val="21"/>
                <w:szCs w:val="21"/>
                <w:lang w:val="en-US" w:eastAsia="zh-CN"/>
              </w:rPr>
              <w:t>经沟通自体系建立该部门没有</w:t>
            </w:r>
            <w:r>
              <w:rPr>
                <w:rFonts w:hint="eastAsia" w:ascii="宋体" w:hAnsi="宋体" w:cs="宋体"/>
                <w:sz w:val="21"/>
                <w:szCs w:val="21"/>
              </w:rPr>
              <w:t>不符合发生。</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tc>
      </w:tr>
    </w:tbl>
    <w:p>
      <w:pPr>
        <w:pStyle w:val="10"/>
        <w:rPr>
          <w:rFonts w:hint="eastAsia"/>
        </w:rPr>
      </w:pPr>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6"/>
        <w:tblW w:w="14222"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73" w:type="dxa"/>
            <w:vMerge w:val="restart"/>
            <w:vAlign w:val="center"/>
          </w:tcPr>
          <w:p>
            <w:pPr>
              <w:spacing w:before="12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过程与活动、</w:t>
            </w:r>
          </w:p>
          <w:p>
            <w:pPr>
              <w:jc w:val="cente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抽样计划</w:t>
            </w:r>
          </w:p>
        </w:tc>
        <w:tc>
          <w:tcPr>
            <w:tcW w:w="960" w:type="dxa"/>
            <w:vMerge w:val="restart"/>
            <w:vAlign w:val="center"/>
          </w:tcPr>
          <w:p>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涉及</w:t>
            </w:r>
          </w:p>
          <w:p>
            <w:pPr>
              <w:rPr>
                <w:rFonts w:hint="eastAsia" w:cs="Times New Roman" w:asciiTheme="minorEastAsia" w:hAnsiTheme="minorEastAsia" w:eastAsiaTheme="minorEastAsia"/>
                <w:b/>
                <w:bCs/>
                <w:kern w:val="2"/>
                <w:sz w:val="21"/>
                <w:lang w:val="en-US" w:eastAsia="zh-CN" w:bidi="ar-SA"/>
              </w:rPr>
            </w:pPr>
            <w:r>
              <w:rPr>
                <w:rFonts w:hint="eastAsia" w:asciiTheme="minorEastAsia" w:hAnsiTheme="minorEastAsia" w:eastAsiaTheme="minorEastAsia"/>
                <w:b/>
                <w:bCs/>
                <w:sz w:val="24"/>
                <w:szCs w:val="24"/>
              </w:rPr>
              <w:t>条款</w:t>
            </w:r>
          </w:p>
        </w:tc>
        <w:tc>
          <w:tcPr>
            <w:tcW w:w="10004" w:type="dxa"/>
            <w:vAlign w:val="center"/>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受审核部门：</w:t>
            </w:r>
            <w:r>
              <w:rPr>
                <w:rFonts w:hint="eastAsia" w:ascii="宋体" w:hAnsi="宋体" w:eastAsia="宋体" w:cs="Times New Roman"/>
                <w:b w:val="0"/>
                <w:bCs w:val="0"/>
                <w:sz w:val="21"/>
                <w:szCs w:val="21"/>
                <w:highlight w:val="none"/>
                <w:lang w:val="en-US" w:eastAsia="zh-CN"/>
              </w:rPr>
              <w:t>安全环保部</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主管领导</w:t>
            </w:r>
            <w:r>
              <w:rPr>
                <w:rFonts w:hint="eastAsia" w:asciiTheme="minorEastAsia" w:hAnsiTheme="minorEastAsia" w:eastAsiaTheme="minorEastAsia"/>
                <w:sz w:val="21"/>
                <w:szCs w:val="21"/>
                <w:highlight w:val="none"/>
              </w:rPr>
              <w:t>：</w:t>
            </w:r>
            <w:r>
              <w:rPr>
                <w:rFonts w:hint="eastAsia" w:eastAsia="华文宋体"/>
                <w:sz w:val="21"/>
                <w:szCs w:val="21"/>
                <w:lang w:val="en-US" w:eastAsia="zh-CN"/>
              </w:rPr>
              <w:t>李华强</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陪同人员：</w:t>
            </w:r>
            <w:r>
              <w:rPr>
                <w:rFonts w:hint="eastAsia" w:asciiTheme="minorEastAsia" w:hAnsiTheme="minorEastAsia" w:eastAsiaTheme="minorEastAsia"/>
                <w:sz w:val="21"/>
                <w:szCs w:val="21"/>
                <w:highlight w:val="none"/>
                <w:lang w:val="en-US" w:eastAsia="zh-CN"/>
              </w:rPr>
              <w:t>杨雷波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before="1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审核员：</w:t>
            </w:r>
            <w:r>
              <w:rPr>
                <w:rFonts w:hint="eastAsia" w:asciiTheme="minorEastAsia" w:hAnsiTheme="minorEastAsia" w:eastAsiaTheme="minorEastAsia"/>
                <w:sz w:val="21"/>
                <w:szCs w:val="21"/>
                <w:lang w:val="en-US" w:eastAsia="zh-CN"/>
              </w:rPr>
              <w:t xml:space="preserve">范玲玲      </w:t>
            </w:r>
            <w:r>
              <w:rPr>
                <w:rFonts w:hint="eastAsia"/>
                <w:sz w:val="21"/>
                <w:szCs w:val="21"/>
                <w:lang w:val="en-US" w:eastAsia="zh-CN"/>
              </w:rPr>
              <w:t>（远程）审核工具：微信视频、电话、文件传输</w:t>
            </w:r>
            <w:r>
              <w:rPr>
                <w:rFonts w:hint="eastAsia" w:asciiTheme="minorEastAsia" w:hAnsiTheme="minorEastAsia" w:eastAsiaTheme="minorEastAsia"/>
                <w:sz w:val="21"/>
                <w:szCs w:val="21"/>
                <w:lang w:val="en-US" w:eastAsia="zh-CN"/>
              </w:rPr>
              <w:t xml:space="preserve">  </w:t>
            </w:r>
          </w:p>
          <w:p>
            <w:pPr>
              <w:spacing w:before="120"/>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审核时间：</w:t>
            </w:r>
            <w:r>
              <w:rPr>
                <w:rFonts w:asciiTheme="minorEastAsia" w:hAnsiTheme="minorEastAsia" w:eastAsiaTheme="minorEastAsia"/>
                <w:sz w:val="21"/>
                <w:szCs w:val="21"/>
              </w:rPr>
              <w:t>2022年</w:t>
            </w:r>
            <w:r>
              <w:rPr>
                <w:rFonts w:hint="eastAsia" w:asciiTheme="minorEastAsia" w:hAnsiTheme="minorEastAsia" w:eastAsiaTheme="minorEastAsia"/>
                <w:sz w:val="21"/>
                <w:szCs w:val="21"/>
                <w:lang w:val="en-US" w:eastAsia="zh-CN"/>
              </w:rPr>
              <w:t>12</w:t>
            </w:r>
            <w:r>
              <w:rPr>
                <w:rFonts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73" w:type="dxa"/>
            <w:vMerge w:val="continue"/>
            <w:vAlign w:val="center"/>
          </w:tcPr>
          <w:p>
            <w:pPr>
              <w:rPr>
                <w:rFonts w:cs="Times New Roman" w:asciiTheme="minorEastAsia" w:hAnsiTheme="minorEastAsia" w:eastAsiaTheme="minorEastAsia"/>
                <w:kern w:val="2"/>
                <w:sz w:val="21"/>
                <w:lang w:val="en-US" w:eastAsia="zh-CN" w:bidi="ar-SA"/>
              </w:rPr>
            </w:pPr>
          </w:p>
        </w:tc>
        <w:tc>
          <w:tcPr>
            <w:tcW w:w="960" w:type="dxa"/>
            <w:vMerge w:val="continue"/>
            <w:vAlign w:val="center"/>
          </w:tcPr>
          <w:p>
            <w:pPr>
              <w:rPr>
                <w:rFonts w:cs="Times New Roman" w:asciiTheme="minorEastAsia" w:hAnsiTheme="minorEastAsia" w:eastAsiaTheme="minorEastAsia"/>
                <w:kern w:val="2"/>
                <w:sz w:val="21"/>
                <w:lang w:val="en-US" w:eastAsia="zh-CN" w:bidi="ar-SA"/>
              </w:rPr>
            </w:pPr>
          </w:p>
        </w:tc>
        <w:tc>
          <w:tcPr>
            <w:tcW w:w="10004" w:type="dxa"/>
            <w:vAlign w:val="center"/>
          </w:tcPr>
          <w:p>
            <w:pPr>
              <w:spacing w:line="30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审核条款：</w:t>
            </w:r>
            <w:r>
              <w:rPr>
                <w:rFonts w:hint="eastAsia" w:ascii="Times New Roman" w:hAnsi="Times New Roman" w:eastAsia="宋体" w:cs="Times New Roman"/>
                <w:sz w:val="21"/>
                <w:szCs w:val="21"/>
                <w:highlight w:val="none"/>
                <w:lang w:val="en-US" w:eastAsia="zh-CN"/>
              </w:rPr>
              <w:t>EnMS:5.3/6.2/8.1/10.1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73" w:type="dxa"/>
            <w:vAlign w:val="top"/>
          </w:tcPr>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hint="eastAsia"/>
                <w:color w:val="000000" w:themeColor="text1"/>
                <w:sz w:val="21"/>
                <w:szCs w:val="21"/>
                <w:highlight w:val="none"/>
                <w:lang w:val="en-US" w:eastAsia="zh-CN"/>
                <w14:textFill>
                  <w14:solidFill>
                    <w14:schemeClr w14:val="tx1"/>
                  </w14:solidFill>
                </w14:textFill>
              </w:rPr>
            </w:pPr>
          </w:p>
          <w:p>
            <w:pPr>
              <w:spacing w:line="240" w:lineRule="auto"/>
              <w:rPr>
                <w:rFonts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部门能源职责权限</w:t>
            </w:r>
          </w:p>
        </w:tc>
        <w:tc>
          <w:tcPr>
            <w:tcW w:w="960" w:type="dxa"/>
            <w:vAlign w:val="top"/>
          </w:tcPr>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eastAsia"/>
                <w:color w:val="000000" w:themeColor="text1"/>
                <w:highlight w:val="none"/>
                <w:lang w:val="en-US" w:eastAsia="zh-CN"/>
                <w14:textFill>
                  <w14:solidFill>
                    <w14:schemeClr w14:val="tx1"/>
                  </w14:solidFill>
                </w14:textFill>
              </w:rPr>
            </w:pPr>
          </w:p>
          <w:p>
            <w:pPr>
              <w:spacing w:line="240" w:lineRule="auto"/>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w:t>
            </w:r>
          </w:p>
        </w:tc>
        <w:tc>
          <w:tcPr>
            <w:tcW w:w="10004" w:type="dxa"/>
            <w:vAlign w:val="center"/>
          </w:tcPr>
          <w:p>
            <w:pPr>
              <w:spacing w:line="400" w:lineRule="exact"/>
              <w:rPr>
                <w:rFonts w:hint="eastAsia" w:ascii="宋体" w:hAnsi="宋体" w:eastAsia="宋体" w:cs="宋体"/>
                <w:b w:val="0"/>
                <w:bCs w:val="0"/>
                <w:color w:val="auto"/>
                <w:sz w:val="21"/>
                <w:szCs w:val="21"/>
                <w:u w:val="none"/>
                <w:lang w:val="en-US" w:eastAsia="zh-CN"/>
              </w:rPr>
            </w:pPr>
            <w:r>
              <w:rPr>
                <w:rFonts w:hint="eastAsia" w:ascii="宋体" w:hAnsi="宋体" w:eastAsia="宋体" w:cs="Times New Roman"/>
                <w:b w:val="0"/>
                <w:bCs w:val="0"/>
                <w:sz w:val="21"/>
                <w:szCs w:val="21"/>
                <w:highlight w:val="none"/>
                <w:lang w:val="en-US" w:eastAsia="zh-CN"/>
              </w:rPr>
              <w:t>安全环保部</w:t>
            </w:r>
            <w:r>
              <w:rPr>
                <w:rFonts w:hint="eastAsia" w:ascii="宋体" w:hAnsi="宋体" w:eastAsia="宋体" w:cs="宋体"/>
                <w:b w:val="0"/>
                <w:bCs w:val="0"/>
                <w:color w:val="auto"/>
                <w:sz w:val="21"/>
                <w:szCs w:val="21"/>
                <w:u w:val="none"/>
                <w:lang w:val="en-US" w:eastAsia="zh-CN"/>
              </w:rPr>
              <w:t>领导</w:t>
            </w:r>
            <w:r>
              <w:rPr>
                <w:rFonts w:hint="eastAsia" w:eastAsia="华文宋体"/>
                <w:sz w:val="21"/>
                <w:szCs w:val="21"/>
                <w:lang w:val="en-US" w:eastAsia="zh-CN"/>
              </w:rPr>
              <w:t>李华强</w:t>
            </w:r>
            <w:r>
              <w:rPr>
                <w:rFonts w:hint="eastAsia" w:ascii="宋体" w:hAnsi="宋体" w:eastAsia="宋体" w:cs="宋体"/>
                <w:b w:val="0"/>
                <w:bCs w:val="0"/>
                <w:color w:val="auto"/>
                <w:sz w:val="21"/>
                <w:szCs w:val="21"/>
                <w:u w:val="none"/>
                <w:lang w:val="en-US" w:eastAsia="zh-CN"/>
              </w:rPr>
              <w:t>介绍：主要</w:t>
            </w:r>
            <w:r>
              <w:rPr>
                <w:rFonts w:hint="eastAsia" w:ascii="宋体" w:hAnsi="宋体" w:eastAsia="宋体" w:cs="宋体"/>
                <w:b w:val="0"/>
                <w:bCs w:val="0"/>
                <w:color w:val="auto"/>
                <w:sz w:val="21"/>
                <w:szCs w:val="21"/>
                <w:u w:val="none"/>
              </w:rPr>
              <w:t>负责</w:t>
            </w:r>
            <w:r>
              <w:rPr>
                <w:rFonts w:hint="eastAsia" w:ascii="宋体" w:hAnsi="宋体"/>
                <w:bCs/>
                <w:sz w:val="21"/>
                <w:szCs w:val="21"/>
              </w:rPr>
              <w:t>参与合同能源管理项目设计资料的审查，确保安全、环保、质量符合标准、规范和相关制度要求；负责合同能源管理项目实施统筹</w:t>
            </w:r>
            <w:r>
              <w:rPr>
                <w:rFonts w:hint="eastAsia" w:ascii="宋体" w:hAnsi="宋体" w:eastAsia="宋体" w:cs="宋体"/>
                <w:b w:val="0"/>
                <w:bCs w:val="0"/>
                <w:color w:val="auto"/>
                <w:kern w:val="2"/>
                <w:sz w:val="21"/>
                <w:szCs w:val="21"/>
                <w:lang w:val="en-US" w:eastAsia="zh-CN"/>
              </w:rPr>
              <w:t>等</w:t>
            </w:r>
            <w:r>
              <w:rPr>
                <w:rFonts w:hint="eastAsia" w:eastAsia="宋体" w:cs="宋体"/>
                <w:b w:val="0"/>
                <w:bCs w:val="0"/>
                <w:color w:val="auto"/>
                <w:kern w:val="2"/>
                <w:sz w:val="21"/>
                <w:szCs w:val="21"/>
                <w:lang w:val="en-US" w:eastAsia="zh-CN"/>
              </w:rPr>
              <w:t>工作，涉及能源工作很少。</w:t>
            </w:r>
            <w:r>
              <w:rPr>
                <w:rFonts w:hint="eastAsia" w:ascii="宋体" w:hAnsi="宋体" w:eastAsia="宋体" w:cs="宋体"/>
                <w:b w:val="0"/>
                <w:bCs w:val="0"/>
                <w:color w:val="auto"/>
                <w:sz w:val="21"/>
                <w:szCs w:val="21"/>
                <w:u w:val="none"/>
                <w:lang w:val="en-US" w:eastAsia="zh-CN"/>
              </w:rPr>
              <w:t>主管领导</w:t>
            </w:r>
            <w:r>
              <w:rPr>
                <w:rFonts w:hint="eastAsia" w:eastAsia="华文宋体"/>
                <w:sz w:val="21"/>
                <w:szCs w:val="21"/>
                <w:lang w:val="en-US" w:eastAsia="zh-CN"/>
              </w:rPr>
              <w:t>李华强</w:t>
            </w:r>
            <w:r>
              <w:rPr>
                <w:rFonts w:hint="eastAsia" w:ascii="宋体" w:hAnsi="宋体" w:eastAsia="宋体" w:cs="宋体"/>
                <w:b w:val="0"/>
                <w:bCs w:val="0"/>
                <w:color w:val="auto"/>
                <w:sz w:val="21"/>
                <w:szCs w:val="21"/>
                <w:u w:val="none"/>
                <w:lang w:val="en-US" w:eastAsia="zh-CN"/>
              </w:rPr>
              <w:t>对职责清楚。内容基本符合要求。</w:t>
            </w:r>
          </w:p>
          <w:p>
            <w:pPr>
              <w:pStyle w:val="2"/>
              <w:spacing w:line="240" w:lineRule="auto"/>
              <w:ind w:left="0" w:leftChars="0" w:firstLine="0" w:firstLineChars="0"/>
              <w:rPr>
                <w:rFonts w:hint="default" w:eastAsia="宋体"/>
                <w:lang w:val="en-US" w:eastAsia="zh-CN"/>
              </w:rPr>
            </w:pPr>
            <w:r>
              <w:rPr>
                <w:rFonts w:hint="default" w:eastAsia="宋体"/>
                <w:lang w:val="en-US" w:eastAsia="zh-CN"/>
              </w:rPr>
              <w:drawing>
                <wp:inline distT="0" distB="0" distL="114300" distR="114300">
                  <wp:extent cx="1391285" cy="1243330"/>
                  <wp:effectExtent l="0" t="0" r="5715" b="1270"/>
                  <wp:docPr id="42" name="图片 42" descr="167220067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672200677972"/>
                          <pic:cNvPicPr>
                            <a:picLocks noChangeAspect="1"/>
                          </pic:cNvPicPr>
                        </pic:nvPicPr>
                        <pic:blipFill>
                          <a:blip r:embed="rId27"/>
                          <a:stretch>
                            <a:fillRect/>
                          </a:stretch>
                        </pic:blipFill>
                        <pic:spPr>
                          <a:xfrm>
                            <a:off x="0" y="0"/>
                            <a:ext cx="1391285" cy="1243330"/>
                          </a:xfrm>
                          <a:prstGeom prst="rect">
                            <a:avLst/>
                          </a:prstGeom>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347470" cy="1253490"/>
                  <wp:effectExtent l="0" t="0" r="11430" b="3810"/>
                  <wp:docPr id="1" name="图片 1" descr="bec5fdc38a732bd93e7fdfcc3630d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c5fdc38a732bd93e7fdfcc3630d8d"/>
                          <pic:cNvPicPr>
                            <a:picLocks noChangeAspect="1"/>
                          </pic:cNvPicPr>
                        </pic:nvPicPr>
                        <pic:blipFill>
                          <a:blip r:embed="rId28"/>
                          <a:stretch>
                            <a:fillRect/>
                          </a:stretch>
                        </pic:blipFill>
                        <pic:spPr>
                          <a:xfrm>
                            <a:off x="0" y="0"/>
                            <a:ext cx="1347470" cy="1253490"/>
                          </a:xfrm>
                          <a:prstGeom prst="rect">
                            <a:avLst/>
                          </a:prstGeom>
                        </pic:spPr>
                      </pic:pic>
                    </a:graphicData>
                  </a:graphic>
                </wp:inline>
              </w:drawing>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3" w:type="dxa"/>
          </w:tcPr>
          <w:p>
            <w:pPr>
              <w:rPr>
                <w:rFonts w:hint="default" w:eastAsia="宋体"/>
                <w:lang w:val="en-US" w:eastAsia="zh-CN"/>
              </w:rPr>
            </w:pPr>
            <w:r>
              <w:rPr>
                <w:rFonts w:hint="eastAsia"/>
                <w:color w:val="000000"/>
                <w:szCs w:val="21"/>
                <w:lang w:val="en-US" w:eastAsia="zh-CN"/>
              </w:rPr>
              <w:t>能源</w:t>
            </w:r>
            <w:r>
              <w:rPr>
                <w:rFonts w:hint="eastAsia"/>
                <w:color w:val="000000"/>
                <w:szCs w:val="21"/>
              </w:rPr>
              <w:t>目标</w:t>
            </w:r>
          </w:p>
        </w:tc>
        <w:tc>
          <w:tcPr>
            <w:tcW w:w="960" w:type="dxa"/>
          </w:tcPr>
          <w:p>
            <w:pPr>
              <w:rPr>
                <w:rFonts w:hint="default" w:eastAsia="宋体"/>
                <w:lang w:val="en-US" w:eastAsia="zh-CN"/>
              </w:rPr>
            </w:pPr>
            <w:r>
              <w:rPr>
                <w:rFonts w:hint="eastAsia"/>
                <w:color w:val="000000"/>
                <w:szCs w:val="21"/>
              </w:rPr>
              <w:t>En6.2</w:t>
            </w:r>
          </w:p>
        </w:tc>
        <w:tc>
          <w:tcPr>
            <w:tcW w:w="10004" w:type="dxa"/>
          </w:tcPr>
          <w:p>
            <w:pPr>
              <w:rPr>
                <w:rFonts w:hint="eastAsia" w:eastAsia="宋体"/>
                <w:lang w:eastAsia="zh-CN"/>
              </w:rPr>
            </w:pPr>
            <w:r>
              <w:rPr>
                <w:rFonts w:hint="eastAsia"/>
                <w:highlight w:val="none"/>
                <w:lang w:val="en-US" w:eastAsia="zh-CN"/>
              </w:rPr>
              <w:t>为保证公司能源目标：该部门制定绩效指标，重大隐患治理项目按期完成率(%)100%；保持“绿色企业”称号，复核分数≥85分，提供20221-11月份目标考核结果，经查符合要求。</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资金支持/运行</w:t>
            </w:r>
          </w:p>
        </w:tc>
        <w:tc>
          <w:tcPr>
            <w:tcW w:w="960" w:type="dxa"/>
            <w:vAlign w:val="top"/>
          </w:tcPr>
          <w:p>
            <w:pPr>
              <w:pStyle w:val="21"/>
              <w:rPr>
                <w:rFonts w:hint="default" w:ascii="Times New Roman" w:hAnsi="Times New Roman" w:eastAsia="宋体" w:cs="Times New Roman"/>
                <w:bCs/>
                <w:spacing w:val="10"/>
                <w:kern w:val="2"/>
                <w:sz w:val="21"/>
                <w:lang w:val="en-US" w:eastAsia="zh-CN" w:bidi="ar-SA"/>
              </w:rPr>
            </w:pPr>
            <w:r>
              <w:rPr>
                <w:rFonts w:hint="eastAsia"/>
                <w:lang w:val="en-US" w:eastAsia="zh-CN"/>
              </w:rPr>
              <w:t>En8.1</w:t>
            </w:r>
          </w:p>
        </w:tc>
        <w:tc>
          <w:tcPr>
            <w:tcW w:w="10004" w:type="dxa"/>
            <w:vAlign w:val="top"/>
          </w:tcPr>
          <w:p>
            <w:pPr>
              <w:pStyle w:val="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u w:val="none"/>
                <w:lang w:val="en-US" w:eastAsia="zh-CN"/>
              </w:rPr>
              <w:sym w:font="Wingdings" w:char="00FE"/>
            </w:r>
            <w:r>
              <w:rPr>
                <w:rFonts w:hint="eastAsia" w:asciiTheme="minorEastAsia" w:hAnsiTheme="minorEastAsia" w:eastAsiaTheme="minorEastAsia" w:cstheme="minorEastAsia"/>
                <w:sz w:val="21"/>
                <w:szCs w:val="21"/>
                <w:u w:val="none"/>
                <w:lang w:val="en-US" w:eastAsia="zh-CN"/>
              </w:rPr>
              <w:t>手册第8.4</w:t>
            </w:r>
            <w:r>
              <w:rPr>
                <w:rStyle w:val="19"/>
                <w:rFonts w:ascii="Times New Roman"/>
                <w:color w:val="auto"/>
                <w:u w:val="none"/>
              </w:rPr>
              <w:t>能源策划和控制</w:t>
            </w:r>
            <w:r>
              <w:rPr>
                <w:rFonts w:hint="eastAsia" w:asciiTheme="minorEastAsia" w:hAnsiTheme="minorEastAsia" w:eastAsiaTheme="minorEastAsia" w:cstheme="minorEastAsia"/>
                <w:sz w:val="21"/>
                <w:szCs w:val="21"/>
                <w:u w:val="none"/>
                <w:lang w:val="en-US" w:eastAsia="zh-CN"/>
              </w:rPr>
              <w:t>条款有规定</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1.节约用电的控制：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随手关灯、</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下班前关闭电源、</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控制空调温度（夏季≥26℃；冬季≤20℃）</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2.节约用水的控制：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随手关水龙头  </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使用节水龙头及马桶</w:t>
            </w:r>
          </w:p>
          <w:p>
            <w:pPr>
              <w:pStyle w:val="2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3.节约用纸的控制：</w:t>
            </w:r>
            <w:r>
              <w:rPr>
                <w:rFonts w:hint="eastAsia" w:asciiTheme="minorEastAsia" w:hAnsiTheme="minorEastAsia" w:eastAsiaTheme="minorEastAsia" w:cstheme="minorEastAsia"/>
                <w:sz w:val="21"/>
                <w:szCs w:val="21"/>
                <w:lang w:val="en-US" w:eastAsia="zh-CN"/>
              </w:rPr>
              <w:sym w:font="Wingdings" w:char="00FE"/>
            </w:r>
            <w:r>
              <w:rPr>
                <w:rFonts w:hint="eastAsia" w:asciiTheme="minorEastAsia" w:hAnsiTheme="minorEastAsia" w:eastAsiaTheme="minorEastAsia" w:cstheme="minorEastAsia"/>
                <w:sz w:val="21"/>
                <w:szCs w:val="21"/>
                <w:lang w:val="en-US" w:eastAsia="zh-CN"/>
              </w:rPr>
              <w:t xml:space="preserve">纸张双面使用  </w:t>
            </w:r>
            <w:r>
              <w:rPr>
                <w:rFonts w:hint="eastAsia" w:asciiTheme="minorEastAsia" w:hAnsiTheme="minorEastAsia" w:eastAsiaTheme="minorEastAsia" w:cstheme="minorEastAsia"/>
                <w:sz w:val="21"/>
                <w:szCs w:val="21"/>
                <w:lang w:val="en-US" w:eastAsia="zh-CN"/>
              </w:rPr>
              <w:sym w:font="Wingdings" w:char="00A8"/>
            </w:r>
            <w:r>
              <w:rPr>
                <w:rFonts w:hint="eastAsia" w:asciiTheme="minorEastAsia" w:hAnsiTheme="minorEastAsia" w:eastAsiaTheme="minorEastAsia" w:cstheme="minorEastAsia"/>
                <w:sz w:val="21"/>
                <w:szCs w:val="21"/>
                <w:lang w:val="en-US" w:eastAsia="zh-CN"/>
              </w:rPr>
              <w:t>尽量采用电子版文件</w:t>
            </w:r>
          </w:p>
          <w:p>
            <w:pPr>
              <w:pStyle w:val="21"/>
              <w:rPr>
                <w:rFonts w:hint="eastAsia" w:asciiTheme="minorEastAsia" w:hAnsiTheme="minorEastAsia" w:eastAsiaTheme="minorEastAsia" w:cstheme="minorEastAsia"/>
                <w:sz w:val="21"/>
                <w:szCs w:val="21"/>
                <w:lang w:val="en-US" w:eastAsia="zh-CN"/>
              </w:rPr>
            </w:pPr>
            <w:r>
              <w:rPr>
                <w:rFonts w:hint="eastAsia" w:ascii="宋体" w:hAnsi="宋体" w:eastAsia="宋体" w:cs="Times New Roman"/>
                <w:b w:val="0"/>
                <w:bCs w:val="0"/>
                <w:sz w:val="21"/>
                <w:szCs w:val="21"/>
                <w:highlight w:val="none"/>
                <w:lang w:val="en-US" w:eastAsia="zh-CN"/>
              </w:rPr>
              <w:t>安全环保部</w:t>
            </w:r>
            <w:r>
              <w:rPr>
                <w:rFonts w:hint="eastAsia" w:asciiTheme="minorEastAsia" w:hAnsiTheme="minorEastAsia" w:eastAsiaTheme="minorEastAsia" w:cstheme="minorEastAsia"/>
                <w:sz w:val="21"/>
                <w:szCs w:val="21"/>
                <w:lang w:val="en-US" w:eastAsia="zh-CN"/>
              </w:rPr>
              <w:t>用能主要是办公用能。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该部门要求员工照明灯不用时及时将电源关闭，电脑不使用时及时将电源关闭，电脑设置休眠功能，夏天空调设置26度以上。</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jc w:val="left"/>
              <w:textAlignment w:val="auto"/>
              <w:rPr>
                <w:rFonts w:hint="default" w:ascii="Times New Roman" w:hAnsi="Times New Roman" w:eastAsia="宋体" w:cs="Times New Roman"/>
                <w:bCs w:val="0"/>
                <w:color w:val="0000FF"/>
                <w:spacing w:val="0"/>
                <w:kern w:val="2"/>
                <w:sz w:val="21"/>
                <w:szCs w:val="22"/>
                <w:lang w:val="en-US" w:eastAsia="zh-CN" w:bidi="ar-SA"/>
              </w:rPr>
            </w:pPr>
            <w:r>
              <w:rPr>
                <w:rFonts w:hint="eastAsia" w:asciiTheme="minorEastAsia" w:hAnsiTheme="minorEastAsia" w:eastAsiaTheme="minorEastAsia" w:cstheme="minorEastAsia"/>
                <w:sz w:val="21"/>
                <w:szCs w:val="21"/>
                <w:lang w:val="en-US" w:eastAsia="zh-CN"/>
              </w:rPr>
              <w:t>办公区张贴节约用电和节约用水的宣传标识。能够做到人走灯息、空调在26度以上。</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673" w:type="dxa"/>
            <w:vAlign w:val="top"/>
          </w:tcPr>
          <w:p>
            <w:pPr>
              <w:rPr>
                <w:rFonts w:hint="default" w:ascii="Times New Roman" w:hAnsi="Times New Roman" w:eastAsia="宋体" w:cs="Times New Roman"/>
                <w:kern w:val="2"/>
                <w:sz w:val="21"/>
                <w:lang w:val="en-US" w:eastAsia="zh-CN" w:bidi="ar-SA"/>
              </w:rPr>
            </w:pPr>
            <w:r>
              <w:rPr>
                <w:rFonts w:hint="eastAsia"/>
                <w:highlight w:val="none"/>
              </w:rPr>
              <w:t>不符合与纠正措施</w:t>
            </w:r>
          </w:p>
        </w:tc>
        <w:tc>
          <w:tcPr>
            <w:tcW w:w="960" w:type="dxa"/>
            <w:vAlign w:val="top"/>
          </w:tcPr>
          <w:p>
            <w:pPr>
              <w:pStyle w:val="21"/>
              <w:rPr>
                <w:rFonts w:hint="default"/>
                <w:highlight w:val="none"/>
                <w:lang w:val="en-US" w:eastAsia="zh-CN"/>
              </w:rPr>
            </w:pPr>
            <w:r>
              <w:rPr>
                <w:rFonts w:hint="eastAsia"/>
                <w:highlight w:val="none"/>
                <w:lang w:val="en-US" w:eastAsia="zh-CN"/>
              </w:rPr>
              <w:t>En10.1</w:t>
            </w:r>
          </w:p>
          <w:p>
            <w:pPr>
              <w:pStyle w:val="21"/>
              <w:rPr>
                <w:rFonts w:ascii="Times New Roman" w:hAnsi="Times New Roman" w:eastAsia="宋体" w:cs="Times New Roman"/>
                <w:kern w:val="2"/>
                <w:sz w:val="21"/>
                <w:lang w:val="en-US" w:eastAsia="zh-CN" w:bidi="ar-SA"/>
              </w:rPr>
            </w:pPr>
          </w:p>
        </w:tc>
        <w:tc>
          <w:tcPr>
            <w:tcW w:w="10004" w:type="dxa"/>
            <w:vAlign w:val="top"/>
          </w:tcPr>
          <w:p>
            <w:pPr>
              <w:rPr>
                <w:rFonts w:ascii="宋体" w:hAnsi="宋体" w:cs="宋体"/>
                <w:sz w:val="21"/>
                <w:szCs w:val="21"/>
              </w:rPr>
            </w:pPr>
            <w:r>
              <w:rPr>
                <w:rFonts w:hint="eastAsia" w:ascii="宋体" w:hAnsi="宋体" w:cs="宋体"/>
                <w:sz w:val="21"/>
                <w:szCs w:val="21"/>
              </w:rPr>
              <w:t>公司</w:t>
            </w:r>
            <w:r>
              <w:rPr>
                <w:rFonts w:hint="eastAsia" w:ascii="宋体" w:hAnsi="宋体" w:cs="宋体"/>
                <w:sz w:val="21"/>
                <w:szCs w:val="21"/>
                <w:lang w:val="en-US" w:eastAsia="zh-CN"/>
              </w:rPr>
              <w:t>管理手册10.1中</w:t>
            </w:r>
            <w:r>
              <w:rPr>
                <w:rFonts w:hint="eastAsia" w:ascii="宋体" w:hAnsi="宋体" w:cs="宋体"/>
                <w:sz w:val="21"/>
                <w:szCs w:val="21"/>
              </w:rPr>
              <w:t>，规定了纠正措施的来源,明确了对不合格项应进行原因分析,制定纠正措施计划,实施跟踪验证,确保所采取 的纠正措施满足预期要求。</w:t>
            </w:r>
          </w:p>
          <w:p>
            <w:pPr>
              <w:rPr>
                <w:rFonts w:ascii="Times New Roman" w:hAnsi="Times New Roman" w:eastAsia="宋体" w:cs="Times New Roman"/>
                <w:kern w:val="2"/>
                <w:sz w:val="21"/>
                <w:lang w:val="en-US" w:eastAsia="zh-CN" w:bidi="ar-SA"/>
              </w:rPr>
            </w:pPr>
            <w:r>
              <w:rPr>
                <w:rFonts w:hint="eastAsia" w:ascii="宋体" w:hAnsi="宋体" w:cs="宋体"/>
                <w:sz w:val="21"/>
                <w:szCs w:val="21"/>
              </w:rPr>
              <w:t>通过交谈，基本能清楚纠正和预防措施的控制要求。</w:t>
            </w:r>
            <w:r>
              <w:rPr>
                <w:rFonts w:hint="eastAsia" w:ascii="宋体" w:hAnsi="宋体" w:cs="宋体"/>
                <w:sz w:val="21"/>
                <w:szCs w:val="21"/>
                <w:lang w:val="en-US" w:eastAsia="zh-CN"/>
              </w:rPr>
              <w:t>经沟通自体系建立该部门没有</w:t>
            </w:r>
            <w:r>
              <w:rPr>
                <w:rFonts w:hint="eastAsia" w:ascii="宋体" w:hAnsi="宋体" w:cs="宋体"/>
                <w:sz w:val="21"/>
                <w:szCs w:val="21"/>
              </w:rPr>
              <w:t>不符合发生。</w:t>
            </w:r>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ascii="Times New Roman" w:hAnsi="Times New Roman" w:eastAsia="宋体" w:cs="Times New Roman"/>
                <w:kern w:val="2"/>
                <w:sz w:val="21"/>
                <w:lang w:val="en-US" w:eastAsia="zh-CN" w:bidi="ar-SA"/>
              </w:rPr>
            </w:pPr>
            <w:r>
              <w:rPr>
                <w:rFonts w:hint="eastAsia"/>
              </w:rPr>
              <w:t>□</w:t>
            </w:r>
            <w:r>
              <w:rPr>
                <w:rFonts w:hint="eastAsia" w:ascii="Times New Roman" w:hAnsi="Times New Roman" w:eastAsia="宋体" w:cs="Times New Roman"/>
                <w:kern w:val="2"/>
                <w:sz w:val="21"/>
                <w:szCs w:val="20"/>
                <w:lang w:val="en-US" w:eastAsia="zh-CN" w:bidi="ar-SA"/>
              </w:rPr>
              <w:t>不符合</w:t>
            </w:r>
          </w:p>
          <w:p/>
        </w:tc>
      </w:tr>
    </w:tbl>
    <w:p>
      <w:pPr>
        <w:pStyle w:val="10"/>
        <w:rPr>
          <w:rFonts w:hint="eastAsia"/>
        </w:rPr>
      </w:pPr>
    </w:p>
    <w:p>
      <w:pPr>
        <w:pStyle w:val="10"/>
        <w:rPr>
          <w:rFonts w:hint="eastAsia"/>
        </w:rPr>
      </w:pPr>
    </w:p>
    <w:p>
      <w:pPr>
        <w:pStyle w:val="10"/>
        <w:rPr>
          <w:rFonts w:hint="eastAsia"/>
        </w:rPr>
      </w:pPr>
    </w:p>
    <w:p>
      <w:pPr>
        <w:pStyle w:val="10"/>
        <w:rPr>
          <w:rFonts w:hint="eastAsia" w:ascii="隶书" w:hAnsi="宋体" w:eastAsia="隶书"/>
          <w:bCs/>
          <w:color w:val="000000"/>
          <w:sz w:val="36"/>
          <w:szCs w:val="36"/>
        </w:rPr>
      </w:pPr>
      <w:r>
        <w:rPr>
          <w:rFonts w:hint="eastAsia"/>
        </w:rPr>
        <w:t>说明：不符合标注N</w:t>
      </w:r>
    </w:p>
    <w:p>
      <w:pPr>
        <w:pStyle w:val="10"/>
        <w:rPr>
          <w:rFonts w:hint="eastAsia"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77"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JB+ETYAAAACwEAAA8AAAAAAAAAAQAgAAAAIgAAAGRycy9kb3du&#10;cmV2LnhtbFBLAQIUABQAAAAIAIdO4kDQaYkZxgEAAHsDAAAOAAAAAAAAAAEAIAAAACcBAABkcnMv&#10;ZTJvRG9jLnhtbFBLBQYAAAAABgAGAFkBAABf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11"/>
      <w:pBdr>
        <w:bottom w:val="none" w:color="auto" w:sz="0" w:space="0"/>
      </w:pBdr>
      <w:spacing w:line="320" w:lineRule="exact"/>
      <w:ind w:firstLine="756" w:firstLineChars="400"/>
      <w:jc w:val="left"/>
    </w:pPr>
    <w:r>
      <w:rPr>
        <w:rStyle w:val="2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47D63"/>
    <w:multiLevelType w:val="singleLevel"/>
    <w:tmpl w:val="9E047D63"/>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1">
    <w:nsid w:val="00000015"/>
    <w:multiLevelType w:val="multilevel"/>
    <w:tmpl w:val="00000015"/>
    <w:lvl w:ilvl="0" w:tentative="0">
      <w:start w:val="1"/>
      <w:numFmt w:val="lowerLetter"/>
      <w:pStyle w:val="2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4EE7C0DC"/>
    <w:multiLevelType w:val="singleLevel"/>
    <w:tmpl w:val="4EE7C0DC"/>
    <w:lvl w:ilvl="0" w:tentative="0">
      <w:start w:val="1"/>
      <w:numFmt w:val="decimal"/>
      <w:suff w:val="nothing"/>
      <w:lvlText w:val="%1、"/>
      <w:lvlJc w:val="left"/>
      <w:pPr>
        <w:ind w:left="480" w:leftChars="0" w:firstLine="0" w:firstLineChars="0"/>
      </w:pPr>
    </w:lvl>
  </w:abstractNum>
  <w:abstractNum w:abstractNumId="3">
    <w:nsid w:val="73834641"/>
    <w:multiLevelType w:val="multilevel"/>
    <w:tmpl w:val="738346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3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OGY5MzIwYjM5OWFmZGI4MTBhODVhYjUzMzlkOTUifQ=="/>
  </w:docVars>
  <w:rsids>
    <w:rsidRoot w:val="00000000"/>
    <w:rsid w:val="00833284"/>
    <w:rsid w:val="009E37E5"/>
    <w:rsid w:val="00A43EAD"/>
    <w:rsid w:val="00B14EE5"/>
    <w:rsid w:val="011D3579"/>
    <w:rsid w:val="011D53EA"/>
    <w:rsid w:val="017E3DB0"/>
    <w:rsid w:val="01C04F86"/>
    <w:rsid w:val="01CF1530"/>
    <w:rsid w:val="01DE515F"/>
    <w:rsid w:val="021B3B4C"/>
    <w:rsid w:val="023A4432"/>
    <w:rsid w:val="02705A93"/>
    <w:rsid w:val="028F05B2"/>
    <w:rsid w:val="02A70CB0"/>
    <w:rsid w:val="02CC48C6"/>
    <w:rsid w:val="02D37A81"/>
    <w:rsid w:val="033F1C52"/>
    <w:rsid w:val="03B971B2"/>
    <w:rsid w:val="03BE3789"/>
    <w:rsid w:val="03C0720F"/>
    <w:rsid w:val="03DC2438"/>
    <w:rsid w:val="043E0C27"/>
    <w:rsid w:val="0486360C"/>
    <w:rsid w:val="05597A8E"/>
    <w:rsid w:val="06E120F3"/>
    <w:rsid w:val="06E51404"/>
    <w:rsid w:val="07417436"/>
    <w:rsid w:val="07B60937"/>
    <w:rsid w:val="07D6381E"/>
    <w:rsid w:val="08173501"/>
    <w:rsid w:val="08465003"/>
    <w:rsid w:val="088D190A"/>
    <w:rsid w:val="0A3123DC"/>
    <w:rsid w:val="0A82515C"/>
    <w:rsid w:val="0A9A614C"/>
    <w:rsid w:val="0AAC0660"/>
    <w:rsid w:val="0AEC4AC8"/>
    <w:rsid w:val="0AFA7087"/>
    <w:rsid w:val="0B273297"/>
    <w:rsid w:val="0B774229"/>
    <w:rsid w:val="0BC26BF0"/>
    <w:rsid w:val="0BFB0478"/>
    <w:rsid w:val="0C2926E4"/>
    <w:rsid w:val="0C2F03F4"/>
    <w:rsid w:val="0CBC4BA9"/>
    <w:rsid w:val="0CC41AEA"/>
    <w:rsid w:val="0D1E160E"/>
    <w:rsid w:val="0D56453B"/>
    <w:rsid w:val="0D8F3697"/>
    <w:rsid w:val="0DA11E90"/>
    <w:rsid w:val="0DBD0513"/>
    <w:rsid w:val="0DC10540"/>
    <w:rsid w:val="0DCF4FC9"/>
    <w:rsid w:val="0DD316F5"/>
    <w:rsid w:val="0DF3035E"/>
    <w:rsid w:val="0E0718B6"/>
    <w:rsid w:val="0E225B4A"/>
    <w:rsid w:val="0E6504F3"/>
    <w:rsid w:val="0EC449B2"/>
    <w:rsid w:val="0F9F2542"/>
    <w:rsid w:val="102006B1"/>
    <w:rsid w:val="10E35DEF"/>
    <w:rsid w:val="114C5F96"/>
    <w:rsid w:val="115C7DB5"/>
    <w:rsid w:val="118F65E6"/>
    <w:rsid w:val="11D658B4"/>
    <w:rsid w:val="11E42DD6"/>
    <w:rsid w:val="11EC3BA9"/>
    <w:rsid w:val="11F43F3E"/>
    <w:rsid w:val="12011276"/>
    <w:rsid w:val="12984E24"/>
    <w:rsid w:val="12D149BF"/>
    <w:rsid w:val="12E33173"/>
    <w:rsid w:val="13196F2B"/>
    <w:rsid w:val="132F7426"/>
    <w:rsid w:val="13477178"/>
    <w:rsid w:val="13DB1216"/>
    <w:rsid w:val="14851B53"/>
    <w:rsid w:val="14950295"/>
    <w:rsid w:val="149C7998"/>
    <w:rsid w:val="14B275DB"/>
    <w:rsid w:val="14B54A65"/>
    <w:rsid w:val="154761F4"/>
    <w:rsid w:val="158A45F8"/>
    <w:rsid w:val="15CE2D26"/>
    <w:rsid w:val="15F333FA"/>
    <w:rsid w:val="164158A1"/>
    <w:rsid w:val="16ED5524"/>
    <w:rsid w:val="16F75FE9"/>
    <w:rsid w:val="17102CA4"/>
    <w:rsid w:val="174C673C"/>
    <w:rsid w:val="175A7373"/>
    <w:rsid w:val="17C80143"/>
    <w:rsid w:val="17FF3364"/>
    <w:rsid w:val="1841687C"/>
    <w:rsid w:val="18793362"/>
    <w:rsid w:val="18B44D3D"/>
    <w:rsid w:val="18E11348"/>
    <w:rsid w:val="18E77279"/>
    <w:rsid w:val="18F16E26"/>
    <w:rsid w:val="19472E9F"/>
    <w:rsid w:val="194A1991"/>
    <w:rsid w:val="19C01A32"/>
    <w:rsid w:val="1A3741DD"/>
    <w:rsid w:val="1A7B6000"/>
    <w:rsid w:val="1A7F37C2"/>
    <w:rsid w:val="1AA97D0F"/>
    <w:rsid w:val="1ADF238C"/>
    <w:rsid w:val="1B822BA2"/>
    <w:rsid w:val="1BA979E5"/>
    <w:rsid w:val="1BC65F53"/>
    <w:rsid w:val="1C3310EC"/>
    <w:rsid w:val="1C861990"/>
    <w:rsid w:val="1CA553BF"/>
    <w:rsid w:val="1CC80A08"/>
    <w:rsid w:val="1D0B7F72"/>
    <w:rsid w:val="1D2A6AB8"/>
    <w:rsid w:val="1ED20B22"/>
    <w:rsid w:val="1F6E1F30"/>
    <w:rsid w:val="200C59D1"/>
    <w:rsid w:val="20171C14"/>
    <w:rsid w:val="201E255B"/>
    <w:rsid w:val="20A83F09"/>
    <w:rsid w:val="21301FBA"/>
    <w:rsid w:val="217E04D3"/>
    <w:rsid w:val="226F3FF6"/>
    <w:rsid w:val="22EE13EB"/>
    <w:rsid w:val="22EE1FD0"/>
    <w:rsid w:val="23177672"/>
    <w:rsid w:val="234B0F30"/>
    <w:rsid w:val="23B0077F"/>
    <w:rsid w:val="23DF3620"/>
    <w:rsid w:val="2447030E"/>
    <w:rsid w:val="24774655"/>
    <w:rsid w:val="249A328C"/>
    <w:rsid w:val="252632EB"/>
    <w:rsid w:val="26093C74"/>
    <w:rsid w:val="26A55AEA"/>
    <w:rsid w:val="272F5836"/>
    <w:rsid w:val="277125BE"/>
    <w:rsid w:val="27DC65FE"/>
    <w:rsid w:val="284134E6"/>
    <w:rsid w:val="284B56E9"/>
    <w:rsid w:val="28D81B7D"/>
    <w:rsid w:val="28F94A33"/>
    <w:rsid w:val="29041774"/>
    <w:rsid w:val="29CE4600"/>
    <w:rsid w:val="29EE68B9"/>
    <w:rsid w:val="2B1739DD"/>
    <w:rsid w:val="2B3E2FBA"/>
    <w:rsid w:val="2B573DAA"/>
    <w:rsid w:val="2B6622B1"/>
    <w:rsid w:val="2C117FE2"/>
    <w:rsid w:val="2C6437D6"/>
    <w:rsid w:val="2C9C3561"/>
    <w:rsid w:val="2CA45F3A"/>
    <w:rsid w:val="2D7A3A3A"/>
    <w:rsid w:val="2DAA2150"/>
    <w:rsid w:val="2F2A7EBA"/>
    <w:rsid w:val="2F38662D"/>
    <w:rsid w:val="2F466CDC"/>
    <w:rsid w:val="2F900CA5"/>
    <w:rsid w:val="303B7397"/>
    <w:rsid w:val="31344A06"/>
    <w:rsid w:val="3147160D"/>
    <w:rsid w:val="31BD3593"/>
    <w:rsid w:val="320E3C68"/>
    <w:rsid w:val="32837E52"/>
    <w:rsid w:val="33080D8C"/>
    <w:rsid w:val="33103299"/>
    <w:rsid w:val="331A19EB"/>
    <w:rsid w:val="335A26AD"/>
    <w:rsid w:val="33775400"/>
    <w:rsid w:val="33805DE1"/>
    <w:rsid w:val="33887696"/>
    <w:rsid w:val="339758CB"/>
    <w:rsid w:val="33CC093E"/>
    <w:rsid w:val="33FA7C5F"/>
    <w:rsid w:val="34CB1130"/>
    <w:rsid w:val="34E53114"/>
    <w:rsid w:val="355A0925"/>
    <w:rsid w:val="35991338"/>
    <w:rsid w:val="359D0DF3"/>
    <w:rsid w:val="35C67F79"/>
    <w:rsid w:val="36103827"/>
    <w:rsid w:val="36126196"/>
    <w:rsid w:val="366E1817"/>
    <w:rsid w:val="367900AF"/>
    <w:rsid w:val="36A22794"/>
    <w:rsid w:val="36A3388F"/>
    <w:rsid w:val="36CF348C"/>
    <w:rsid w:val="36EA5EE9"/>
    <w:rsid w:val="371922FC"/>
    <w:rsid w:val="37577350"/>
    <w:rsid w:val="377C1237"/>
    <w:rsid w:val="37D61920"/>
    <w:rsid w:val="380939E1"/>
    <w:rsid w:val="38170F5F"/>
    <w:rsid w:val="38351ED1"/>
    <w:rsid w:val="383C6C49"/>
    <w:rsid w:val="38870F39"/>
    <w:rsid w:val="38A46AC5"/>
    <w:rsid w:val="38E15ACA"/>
    <w:rsid w:val="391E4C9C"/>
    <w:rsid w:val="395161F0"/>
    <w:rsid w:val="396A50BF"/>
    <w:rsid w:val="39803EC1"/>
    <w:rsid w:val="3BD63FE6"/>
    <w:rsid w:val="3C4507D5"/>
    <w:rsid w:val="3C550D03"/>
    <w:rsid w:val="3C581BEF"/>
    <w:rsid w:val="3CB73097"/>
    <w:rsid w:val="3CCC450D"/>
    <w:rsid w:val="3D1410C8"/>
    <w:rsid w:val="3D8E52AC"/>
    <w:rsid w:val="3D980D34"/>
    <w:rsid w:val="3DA36DA1"/>
    <w:rsid w:val="3DF74D1B"/>
    <w:rsid w:val="3E1B58A0"/>
    <w:rsid w:val="3E2D328B"/>
    <w:rsid w:val="3E51110D"/>
    <w:rsid w:val="3EA26DAF"/>
    <w:rsid w:val="3EAF182F"/>
    <w:rsid w:val="3EB5698F"/>
    <w:rsid w:val="3EC34ABA"/>
    <w:rsid w:val="3F4C7DC5"/>
    <w:rsid w:val="3FC66401"/>
    <w:rsid w:val="3FF93951"/>
    <w:rsid w:val="404519F4"/>
    <w:rsid w:val="4077613F"/>
    <w:rsid w:val="40BA0D6D"/>
    <w:rsid w:val="411C61E6"/>
    <w:rsid w:val="41372391"/>
    <w:rsid w:val="417A5FC0"/>
    <w:rsid w:val="42476F2A"/>
    <w:rsid w:val="42554C43"/>
    <w:rsid w:val="42A178BE"/>
    <w:rsid w:val="432F3DB2"/>
    <w:rsid w:val="43BF6C09"/>
    <w:rsid w:val="442B4400"/>
    <w:rsid w:val="44446334"/>
    <w:rsid w:val="444E5D09"/>
    <w:rsid w:val="44B914B3"/>
    <w:rsid w:val="44F1365B"/>
    <w:rsid w:val="4517284E"/>
    <w:rsid w:val="452B1359"/>
    <w:rsid w:val="45946CD2"/>
    <w:rsid w:val="45E303BE"/>
    <w:rsid w:val="461027D4"/>
    <w:rsid w:val="46352363"/>
    <w:rsid w:val="46446364"/>
    <w:rsid w:val="46667330"/>
    <w:rsid w:val="47DC5BC5"/>
    <w:rsid w:val="47DF4F69"/>
    <w:rsid w:val="47E524E0"/>
    <w:rsid w:val="481B7C3D"/>
    <w:rsid w:val="484627C8"/>
    <w:rsid w:val="484F769A"/>
    <w:rsid w:val="4865696C"/>
    <w:rsid w:val="4897174D"/>
    <w:rsid w:val="48CF43A7"/>
    <w:rsid w:val="48F97216"/>
    <w:rsid w:val="494D6999"/>
    <w:rsid w:val="49626503"/>
    <w:rsid w:val="49702770"/>
    <w:rsid w:val="49C83E68"/>
    <w:rsid w:val="49D62A28"/>
    <w:rsid w:val="4A2910D0"/>
    <w:rsid w:val="4ABB2EEE"/>
    <w:rsid w:val="4B1736DB"/>
    <w:rsid w:val="4B3E241A"/>
    <w:rsid w:val="4B6A2CD5"/>
    <w:rsid w:val="4BBF129A"/>
    <w:rsid w:val="4C0629F4"/>
    <w:rsid w:val="4C4F5BD9"/>
    <w:rsid w:val="4C5F29D1"/>
    <w:rsid w:val="4CFF13A0"/>
    <w:rsid w:val="4D0C3053"/>
    <w:rsid w:val="4E3B00AF"/>
    <w:rsid w:val="4E7765B4"/>
    <w:rsid w:val="4F697E9B"/>
    <w:rsid w:val="4F714B84"/>
    <w:rsid w:val="51B8376E"/>
    <w:rsid w:val="521850C1"/>
    <w:rsid w:val="524449E2"/>
    <w:rsid w:val="52495D62"/>
    <w:rsid w:val="5256365E"/>
    <w:rsid w:val="528C39F9"/>
    <w:rsid w:val="52A12CD7"/>
    <w:rsid w:val="53915C12"/>
    <w:rsid w:val="53A11611"/>
    <w:rsid w:val="53AF762B"/>
    <w:rsid w:val="53C71F85"/>
    <w:rsid w:val="53CC6C4A"/>
    <w:rsid w:val="53FF42DB"/>
    <w:rsid w:val="541C2725"/>
    <w:rsid w:val="54700952"/>
    <w:rsid w:val="54AA19D8"/>
    <w:rsid w:val="54BB5EF8"/>
    <w:rsid w:val="551322A2"/>
    <w:rsid w:val="553125F3"/>
    <w:rsid w:val="556E1F98"/>
    <w:rsid w:val="559A44DB"/>
    <w:rsid w:val="55AA4822"/>
    <w:rsid w:val="56254D39"/>
    <w:rsid w:val="565F1587"/>
    <w:rsid w:val="57182DEC"/>
    <w:rsid w:val="57284198"/>
    <w:rsid w:val="572C3A40"/>
    <w:rsid w:val="57F87361"/>
    <w:rsid w:val="58193004"/>
    <w:rsid w:val="58205FEC"/>
    <w:rsid w:val="58645A2C"/>
    <w:rsid w:val="58C06FF7"/>
    <w:rsid w:val="58CE6C09"/>
    <w:rsid w:val="58F33F69"/>
    <w:rsid w:val="59890FC4"/>
    <w:rsid w:val="59C13E16"/>
    <w:rsid w:val="5A391125"/>
    <w:rsid w:val="5A5F0304"/>
    <w:rsid w:val="5A9B3411"/>
    <w:rsid w:val="5B2F6B51"/>
    <w:rsid w:val="5B5F3914"/>
    <w:rsid w:val="5B7C68DC"/>
    <w:rsid w:val="5B800A39"/>
    <w:rsid w:val="5C25328D"/>
    <w:rsid w:val="5CAC3BDF"/>
    <w:rsid w:val="5CBC6B9F"/>
    <w:rsid w:val="5CC40A59"/>
    <w:rsid w:val="5D170F36"/>
    <w:rsid w:val="5D461ACD"/>
    <w:rsid w:val="5D5D3DB4"/>
    <w:rsid w:val="5DAC7A6B"/>
    <w:rsid w:val="5DAE55F7"/>
    <w:rsid w:val="5DB86F8C"/>
    <w:rsid w:val="5DBE0D94"/>
    <w:rsid w:val="5DF04D09"/>
    <w:rsid w:val="5DF3340F"/>
    <w:rsid w:val="5EAB13CA"/>
    <w:rsid w:val="5ED34DAC"/>
    <w:rsid w:val="5EF77A6C"/>
    <w:rsid w:val="5F2E35DE"/>
    <w:rsid w:val="5F6B1143"/>
    <w:rsid w:val="5FDA449D"/>
    <w:rsid w:val="5FE069A3"/>
    <w:rsid w:val="6031028F"/>
    <w:rsid w:val="60980AA8"/>
    <w:rsid w:val="60BF4B60"/>
    <w:rsid w:val="611A455B"/>
    <w:rsid w:val="61630B06"/>
    <w:rsid w:val="61650413"/>
    <w:rsid w:val="616D3FA5"/>
    <w:rsid w:val="61973485"/>
    <w:rsid w:val="61F11967"/>
    <w:rsid w:val="62404985"/>
    <w:rsid w:val="62662A7E"/>
    <w:rsid w:val="628A5575"/>
    <w:rsid w:val="635570EF"/>
    <w:rsid w:val="63C13A9B"/>
    <w:rsid w:val="63FA04DF"/>
    <w:rsid w:val="642E13EB"/>
    <w:rsid w:val="649B240E"/>
    <w:rsid w:val="64A50F4A"/>
    <w:rsid w:val="64A667F7"/>
    <w:rsid w:val="64B82FFF"/>
    <w:rsid w:val="65584A66"/>
    <w:rsid w:val="6588381D"/>
    <w:rsid w:val="65D25288"/>
    <w:rsid w:val="65FF636C"/>
    <w:rsid w:val="664A62D0"/>
    <w:rsid w:val="66890EFC"/>
    <w:rsid w:val="66B62758"/>
    <w:rsid w:val="674F553C"/>
    <w:rsid w:val="67702B08"/>
    <w:rsid w:val="67A94358"/>
    <w:rsid w:val="6810000F"/>
    <w:rsid w:val="687E7C7B"/>
    <w:rsid w:val="68CE1A8A"/>
    <w:rsid w:val="68E128A7"/>
    <w:rsid w:val="68F875DA"/>
    <w:rsid w:val="68FF3664"/>
    <w:rsid w:val="692769A5"/>
    <w:rsid w:val="6949489A"/>
    <w:rsid w:val="69A578CA"/>
    <w:rsid w:val="69BB3B78"/>
    <w:rsid w:val="6A5D4556"/>
    <w:rsid w:val="6B1D27D2"/>
    <w:rsid w:val="6B967ADA"/>
    <w:rsid w:val="6B9F2FD4"/>
    <w:rsid w:val="6BCA1924"/>
    <w:rsid w:val="6C4B4A21"/>
    <w:rsid w:val="6CD75FEC"/>
    <w:rsid w:val="6D660A87"/>
    <w:rsid w:val="6ED04FF6"/>
    <w:rsid w:val="6EE012D7"/>
    <w:rsid w:val="6EE20292"/>
    <w:rsid w:val="6F470527"/>
    <w:rsid w:val="6FE46E8C"/>
    <w:rsid w:val="70112D5A"/>
    <w:rsid w:val="702F4BB1"/>
    <w:rsid w:val="70871AD7"/>
    <w:rsid w:val="70E163C9"/>
    <w:rsid w:val="71636FD9"/>
    <w:rsid w:val="7185690A"/>
    <w:rsid w:val="71B72167"/>
    <w:rsid w:val="71D903AC"/>
    <w:rsid w:val="7212223E"/>
    <w:rsid w:val="723B6919"/>
    <w:rsid w:val="726E79B3"/>
    <w:rsid w:val="72CE4E43"/>
    <w:rsid w:val="73216213"/>
    <w:rsid w:val="743D3963"/>
    <w:rsid w:val="7445365F"/>
    <w:rsid w:val="74625E33"/>
    <w:rsid w:val="757D186E"/>
    <w:rsid w:val="75915985"/>
    <w:rsid w:val="75A958EC"/>
    <w:rsid w:val="75FB2454"/>
    <w:rsid w:val="75FD24B9"/>
    <w:rsid w:val="776B172B"/>
    <w:rsid w:val="7775160E"/>
    <w:rsid w:val="779271B4"/>
    <w:rsid w:val="77BE4E39"/>
    <w:rsid w:val="78051230"/>
    <w:rsid w:val="78532FC3"/>
    <w:rsid w:val="79101D48"/>
    <w:rsid w:val="795D34C2"/>
    <w:rsid w:val="79626B52"/>
    <w:rsid w:val="797C23F5"/>
    <w:rsid w:val="799314ED"/>
    <w:rsid w:val="7A246614"/>
    <w:rsid w:val="7A377809"/>
    <w:rsid w:val="7AA10D25"/>
    <w:rsid w:val="7B1C2FF4"/>
    <w:rsid w:val="7BC566B5"/>
    <w:rsid w:val="7BC777C4"/>
    <w:rsid w:val="7C314549"/>
    <w:rsid w:val="7C6D4269"/>
    <w:rsid w:val="7D140E2D"/>
    <w:rsid w:val="7D4D5285"/>
    <w:rsid w:val="7D9B14E6"/>
    <w:rsid w:val="7E7715D8"/>
    <w:rsid w:val="7E802C09"/>
    <w:rsid w:val="7E8623DA"/>
    <w:rsid w:val="7E9F0934"/>
    <w:rsid w:val="7ED26F05"/>
    <w:rsid w:val="7EF74AED"/>
    <w:rsid w:val="7EFC6DC8"/>
    <w:rsid w:val="7F1F7BDC"/>
    <w:rsid w:val="7F5C74BD"/>
    <w:rsid w:val="7F6B32D6"/>
    <w:rsid w:val="7F763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rPr>
      <w:sz w:val="24"/>
    </w:rPr>
  </w:style>
  <w:style w:type="paragraph" w:styleId="4">
    <w:name w:val="List Bullet 5"/>
    <w:basedOn w:val="1"/>
    <w:semiHidden/>
    <w:unhideWhenUsed/>
    <w:qFormat/>
    <w:uiPriority w:val="99"/>
    <w:pPr>
      <w:numPr>
        <w:ilvl w:val="0"/>
        <w:numId w:val="1"/>
      </w:numPr>
    </w:pPr>
  </w:style>
  <w:style w:type="paragraph" w:styleId="6">
    <w:name w:val="Normal Indent"/>
    <w:basedOn w:val="1"/>
    <w:qFormat/>
    <w:uiPriority w:val="0"/>
    <w:pPr>
      <w:ind w:firstLine="420"/>
    </w:pPr>
    <w:rPr>
      <w:szCs w:val="20"/>
    </w:rPr>
  </w:style>
  <w:style w:type="paragraph" w:styleId="7">
    <w:name w:val="Body Text Indent"/>
    <w:basedOn w:val="1"/>
    <w:qFormat/>
    <w:uiPriority w:val="0"/>
    <w:pPr>
      <w:tabs>
        <w:tab w:val="left" w:pos="1560"/>
        <w:tab w:val="left" w:pos="1985"/>
      </w:tabs>
      <w:ind w:left="1560" w:hanging="1560"/>
      <w:jc w:val="left"/>
    </w:pPr>
    <w:rPr>
      <w:lang w:eastAsia="ja-JP"/>
    </w:rPr>
  </w:style>
  <w:style w:type="paragraph" w:styleId="8">
    <w:name w:val="Plain Text"/>
    <w:basedOn w:val="1"/>
    <w:qFormat/>
    <w:uiPriority w:val="0"/>
    <w:rPr>
      <w:rFonts w:ascii="宋体" w:hAnsi="Courier New" w:cs="Courier New"/>
      <w:szCs w:val="21"/>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able of figures"/>
    <w:basedOn w:val="1"/>
    <w:next w:val="1"/>
    <w:qFormat/>
    <w:uiPriority w:val="0"/>
    <w:pPr>
      <w:ind w:left="200" w:leftChars="200" w:hanging="200" w:hangingChars="200"/>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0"/>
    <w:pPr>
      <w:spacing w:after="120" w:afterLines="0"/>
      <w:ind w:left="420" w:leftChars="200" w:firstLine="420" w:firstLineChars="200"/>
    </w:pPr>
    <w:rPr>
      <w:rFonts w:ascii="Times New Roman" w:hAnsi="Times New Roman"/>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rFonts w:cs="Times New Roman"/>
      <w:color w:val="0000FF"/>
      <w:spacing w:val="0"/>
      <w:w w:val="100"/>
      <w:sz w:val="21"/>
      <w:szCs w:val="21"/>
      <w:u w:val="single"/>
    </w:rPr>
  </w:style>
  <w:style w:type="paragraph" w:customStyle="1" w:styleId="20">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21">
    <w:name w:val="表格文字"/>
    <w:basedOn w:val="1"/>
    <w:qFormat/>
    <w:uiPriority w:val="0"/>
    <w:pPr>
      <w:spacing w:before="25" w:after="25"/>
    </w:pPr>
    <w:rPr>
      <w:bCs/>
      <w:spacing w:val="10"/>
    </w:rPr>
  </w:style>
  <w:style w:type="character" w:customStyle="1" w:styleId="22">
    <w:name w:val="页眉 Char"/>
    <w:basedOn w:val="18"/>
    <w:link w:val="11"/>
    <w:qFormat/>
    <w:uiPriority w:val="99"/>
    <w:rPr>
      <w:rFonts w:ascii="Times New Roman" w:hAnsi="Times New Roman" w:eastAsia="宋体" w:cs="Times New Roman"/>
      <w:sz w:val="18"/>
      <w:szCs w:val="18"/>
    </w:rPr>
  </w:style>
  <w:style w:type="character" w:customStyle="1" w:styleId="23">
    <w:name w:val="页脚 Char"/>
    <w:basedOn w:val="18"/>
    <w:link w:val="10"/>
    <w:qFormat/>
    <w:uiPriority w:val="99"/>
    <w:rPr>
      <w:rFonts w:ascii="Times New Roman" w:hAnsi="Times New Roman" w:eastAsia="宋体" w:cs="Times New Roman"/>
      <w:sz w:val="18"/>
      <w:szCs w:val="18"/>
    </w:rPr>
  </w:style>
  <w:style w:type="character" w:customStyle="1" w:styleId="24">
    <w:name w:val="批注框文本 Char"/>
    <w:basedOn w:val="18"/>
    <w:link w:val="9"/>
    <w:semiHidden/>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paragraph" w:styleId="26">
    <w:name w:val="List Paragraph"/>
    <w:basedOn w:val="1"/>
    <w:qFormat/>
    <w:uiPriority w:val="99"/>
    <w:pPr>
      <w:ind w:firstLine="420" w:firstLineChars="200"/>
    </w:pPr>
  </w:style>
  <w:style w:type="paragraph" w:customStyle="1" w:styleId="27">
    <w:name w:val="样式1"/>
    <w:next w:val="1"/>
    <w:qFormat/>
    <w:uiPriority w:val="0"/>
    <w:pPr>
      <w:spacing w:line="360" w:lineRule="auto"/>
    </w:pPr>
    <w:rPr>
      <w:rFonts w:ascii="Microsoft YaHei UI" w:hAnsi="Microsoft YaHei UI" w:eastAsia="宋体" w:cs="Microsoft YaHei UI"/>
      <w:b/>
      <w:color w:val="000000"/>
      <w:kern w:val="2"/>
      <w:sz w:val="21"/>
      <w:szCs w:val="21"/>
      <w:lang w:val="en-US" w:eastAsia="zh-CN" w:bidi="ar-SA"/>
    </w:rPr>
  </w:style>
  <w:style w:type="paragraph" w:customStyle="1" w:styleId="2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正文文本部分"/>
    <w:basedOn w:val="1"/>
    <w:qFormat/>
    <w:uiPriority w:val="0"/>
    <w:pPr>
      <w:widowControl/>
      <w:adjustRightInd w:val="0"/>
      <w:snapToGrid w:val="0"/>
      <w:spacing w:beforeLines="50" w:line="360" w:lineRule="auto"/>
      <w:ind w:firstLine="200" w:firstLineChars="200"/>
      <w:jc w:val="left"/>
    </w:pPr>
    <w:rPr>
      <w:rFonts w:hAnsi="Times New Roman" w:eastAsia="宋体" w:cs="Times New Roman" w:asciiTheme="minorEastAsia"/>
      <w:kern w:val="0"/>
      <w:sz w:val="24"/>
      <w:szCs w:val="20"/>
    </w:rPr>
  </w:style>
  <w:style w:type="paragraph" w:customStyle="1" w:styleId="30">
    <w:name w:val="Body 9pt"/>
    <w:basedOn w:val="1"/>
    <w:qFormat/>
    <w:uiPriority w:val="0"/>
    <w:pPr>
      <w:spacing w:before="40" w:after="40"/>
    </w:pPr>
    <w:rPr>
      <w:rFonts w:eastAsia="Times New Roman"/>
      <w:sz w:val="18"/>
      <w:lang w:val="de-DE" w:eastAsia="de-DE"/>
    </w:rPr>
  </w:style>
  <w:style w:type="paragraph" w:customStyle="1" w:styleId="31">
    <w:name w:val="三级无"/>
    <w:basedOn w:val="1"/>
    <w:qFormat/>
    <w:uiPriority w:val="0"/>
    <w:pPr>
      <w:widowControl/>
      <w:numPr>
        <w:ilvl w:val="3"/>
        <w:numId w:val="3"/>
      </w:numPr>
      <w:jc w:val="left"/>
      <w:outlineLvl w:val="4"/>
    </w:pPr>
    <w:rPr>
      <w:rFonts w:ascii="宋体" w:eastAsia="宋体"/>
      <w:snapToGrid/>
      <w:sz w:val="21"/>
      <w:szCs w:val="21"/>
    </w:rPr>
  </w:style>
  <w:style w:type="paragraph" w:customStyle="1" w:styleId="32">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33">
    <w:name w:val="unnamed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4.jpe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jpe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9662</Words>
  <Characters>10361</Characters>
  <Lines>1</Lines>
  <Paragraphs>1</Paragraphs>
  <TotalTime>4</TotalTime>
  <ScaleCrop>false</ScaleCrop>
  <LinksUpToDate>false</LinksUpToDate>
  <CharactersWithSpaces>10635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2022-12-30T14:33:03Z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AF5B0865D86C4DB9A08E00A048C11CD5</vt:lpwstr>
  </property>
  <property fmtid="{D5CDD505-2E9C-101B-9397-08002B2CF9AE}" pid="3" name="KSOProductBuildVer">
    <vt:lpwstr>2052-11.1.0.10314</vt:lpwstr>
  </property>
</Properties>
</file>