
<file path=[Content_Types].xml><?xml version="1.0" encoding="utf-8"?>
<Types xmlns="http://schemas.openxmlformats.org/package/2006/content-types">
  <Default Extension="xml" ContentType="application/xml"/>
  <Default Extension="png" ContentType="image/png"/>
  <Default Extension="jpeg" ContentType="image/jpeg"/>
  <Default Extension="wdp" ContentType="image/vnd.ms-photo"/>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5"/>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1134"/>
        <w:gridCol w:w="12191"/>
        <w:gridCol w:w="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242" w:type="dxa"/>
            <w:vMerge w:val="restart"/>
            <w:vAlign w:val="center"/>
          </w:tcPr>
          <w:p>
            <w:pPr>
              <w:tabs>
                <w:tab w:val="left" w:pos="7380"/>
              </w:tabs>
              <w:rPr>
                <w:rFonts w:ascii="楷体" w:hAnsi="楷体" w:eastAsia="楷体"/>
                <w:szCs w:val="21"/>
              </w:rPr>
            </w:pPr>
            <w:r>
              <w:rPr>
                <w:rFonts w:hint="eastAsia" w:ascii="楷体" w:hAnsi="楷体" w:eastAsia="楷体"/>
                <w:szCs w:val="21"/>
              </w:rPr>
              <w:t>过程与活动、抽样计划</w:t>
            </w:r>
          </w:p>
        </w:tc>
        <w:tc>
          <w:tcPr>
            <w:tcW w:w="1134" w:type="dxa"/>
            <w:vMerge w:val="restart"/>
            <w:vAlign w:val="center"/>
          </w:tcPr>
          <w:p>
            <w:pPr>
              <w:tabs>
                <w:tab w:val="left" w:pos="7380"/>
              </w:tabs>
              <w:rPr>
                <w:rFonts w:ascii="楷体" w:hAnsi="楷体" w:eastAsia="楷体"/>
                <w:szCs w:val="21"/>
              </w:rPr>
            </w:pPr>
            <w:r>
              <w:rPr>
                <w:rFonts w:hint="eastAsia" w:ascii="楷体" w:hAnsi="楷体" w:eastAsia="楷体"/>
                <w:szCs w:val="21"/>
              </w:rPr>
              <w:t>涉及条款</w:t>
            </w:r>
          </w:p>
        </w:tc>
        <w:tc>
          <w:tcPr>
            <w:tcW w:w="12191" w:type="dxa"/>
            <w:vAlign w:val="center"/>
          </w:tcPr>
          <w:p>
            <w:pPr>
              <w:tabs>
                <w:tab w:val="left" w:pos="7380"/>
              </w:tabs>
              <w:rPr>
                <w:rFonts w:ascii="楷体" w:hAnsi="楷体" w:eastAsia="楷体"/>
                <w:szCs w:val="21"/>
              </w:rPr>
            </w:pPr>
            <w:r>
              <w:rPr>
                <w:rFonts w:hint="eastAsia" w:ascii="楷体" w:hAnsi="楷体" w:eastAsia="楷体"/>
                <w:szCs w:val="21"/>
              </w:rPr>
              <w:t xml:space="preserve">受审核部门：发展计划部 </w:t>
            </w:r>
            <w:r>
              <w:rPr>
                <w:rFonts w:ascii="楷体" w:hAnsi="楷体" w:eastAsia="楷体"/>
                <w:szCs w:val="21"/>
              </w:rPr>
              <w:t xml:space="preserve">             </w:t>
            </w:r>
            <w:r>
              <w:rPr>
                <w:rFonts w:hint="eastAsia" w:ascii="楷体" w:hAnsi="楷体" w:eastAsia="楷体"/>
                <w:szCs w:val="21"/>
              </w:rPr>
              <w:t>负责人：付志永</w:t>
            </w:r>
            <w:r>
              <w:rPr>
                <w:rFonts w:ascii="楷体" w:hAnsi="楷体" w:eastAsia="楷体"/>
                <w:szCs w:val="21"/>
              </w:rPr>
              <w:t xml:space="preserve">               </w:t>
            </w:r>
            <w:r>
              <w:rPr>
                <w:rFonts w:hint="eastAsia" w:ascii="楷体" w:hAnsi="楷体" w:eastAsia="楷体"/>
                <w:szCs w:val="21"/>
              </w:rPr>
              <w:t>陪同人员：杨惠娇</w:t>
            </w:r>
          </w:p>
        </w:tc>
        <w:tc>
          <w:tcPr>
            <w:tcW w:w="567" w:type="dxa"/>
            <w:vMerge w:val="restart"/>
            <w:vAlign w:val="center"/>
          </w:tcPr>
          <w:p>
            <w:pPr>
              <w:tabs>
                <w:tab w:val="left" w:pos="7380"/>
              </w:tabs>
              <w:jc w:val="center"/>
              <w:rPr>
                <w:rFonts w:ascii="楷体" w:hAnsi="楷体" w:eastAsia="楷体"/>
                <w:szCs w:val="21"/>
              </w:rPr>
            </w:pPr>
            <w:r>
              <w:rPr>
                <w:rFonts w:hint="eastAsia" w:ascii="楷体" w:hAnsi="楷体" w:eastAsia="楷体"/>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242" w:type="dxa"/>
            <w:vMerge w:val="continue"/>
            <w:vAlign w:val="center"/>
          </w:tcPr>
          <w:p/>
        </w:tc>
        <w:tc>
          <w:tcPr>
            <w:tcW w:w="1134" w:type="dxa"/>
            <w:vMerge w:val="continue"/>
            <w:vAlign w:val="center"/>
          </w:tcPr>
          <w:p/>
        </w:tc>
        <w:tc>
          <w:tcPr>
            <w:tcW w:w="12191" w:type="dxa"/>
            <w:vAlign w:val="center"/>
          </w:tcPr>
          <w:p>
            <w:pPr>
              <w:tabs>
                <w:tab w:val="left" w:pos="7380"/>
              </w:tabs>
              <w:rPr>
                <w:rFonts w:ascii="楷体" w:hAnsi="楷体" w:eastAsia="楷体"/>
                <w:szCs w:val="21"/>
              </w:rPr>
            </w:pPr>
            <w:r>
              <w:rPr>
                <w:rFonts w:hint="eastAsia" w:ascii="楷体" w:hAnsi="楷体" w:eastAsia="楷体"/>
                <w:szCs w:val="21"/>
              </w:rPr>
              <w:t xml:space="preserve">审核员：王琳（微信、电话沟通） </w:t>
            </w:r>
            <w:r>
              <w:rPr>
                <w:rFonts w:ascii="楷体" w:hAnsi="楷体" w:eastAsia="楷体"/>
                <w:szCs w:val="21"/>
              </w:rPr>
              <w:t xml:space="preserve">                   </w:t>
            </w:r>
            <w:r>
              <w:rPr>
                <w:rFonts w:hint="eastAsia" w:ascii="楷体" w:hAnsi="楷体" w:eastAsia="楷体"/>
                <w:szCs w:val="21"/>
              </w:rPr>
              <w:t>审核时间：</w:t>
            </w:r>
            <w:r>
              <w:rPr>
                <w:rFonts w:ascii="楷体" w:hAnsi="楷体" w:eastAsia="楷体"/>
                <w:szCs w:val="21"/>
              </w:rPr>
              <w:t xml:space="preserve">2022年12月29日 </w:t>
            </w:r>
          </w:p>
        </w:tc>
        <w:tc>
          <w:tcPr>
            <w:tcW w:w="567"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242" w:type="dxa"/>
            <w:vMerge w:val="continue"/>
            <w:vAlign w:val="center"/>
          </w:tcPr>
          <w:p/>
        </w:tc>
        <w:tc>
          <w:tcPr>
            <w:tcW w:w="1134" w:type="dxa"/>
            <w:vMerge w:val="continue"/>
            <w:vAlign w:val="center"/>
          </w:tcPr>
          <w:p/>
        </w:tc>
        <w:tc>
          <w:tcPr>
            <w:tcW w:w="12191" w:type="dxa"/>
            <w:vAlign w:val="center"/>
          </w:tcPr>
          <w:p>
            <w:pPr>
              <w:tabs>
                <w:tab w:val="left" w:pos="7380"/>
              </w:tabs>
              <w:rPr>
                <w:rFonts w:ascii="楷体" w:hAnsi="楷体" w:eastAsia="楷体"/>
                <w:szCs w:val="21"/>
              </w:rPr>
            </w:pPr>
            <w:r>
              <w:rPr>
                <w:rFonts w:hint="eastAsia" w:ascii="楷体" w:hAnsi="楷体" w:eastAsia="楷体"/>
                <w:szCs w:val="21"/>
              </w:rPr>
              <w:t>审核条款：</w:t>
            </w:r>
            <w:r>
              <w:rPr>
                <w:rFonts w:ascii="楷体" w:hAnsi="楷体" w:eastAsia="楷体"/>
                <w:szCs w:val="21"/>
              </w:rPr>
              <w:t>EnMS:5.3/6.2/8.1/8.3/9.1.1/10.1</w:t>
            </w:r>
          </w:p>
        </w:tc>
        <w:tc>
          <w:tcPr>
            <w:tcW w:w="567"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242" w:type="dxa"/>
            <w:vAlign w:val="center"/>
          </w:tcPr>
          <w:p>
            <w:pPr>
              <w:rPr>
                <w:rFonts w:ascii="楷体" w:hAnsi="楷体" w:eastAsia="楷体"/>
              </w:rPr>
            </w:pPr>
            <w:r>
              <w:rPr>
                <w:rFonts w:hint="eastAsia" w:ascii="楷体" w:hAnsi="楷体" w:eastAsia="楷体"/>
                <w:szCs w:val="21"/>
              </w:rPr>
              <w:t>部门职责权限</w:t>
            </w:r>
          </w:p>
        </w:tc>
        <w:tc>
          <w:tcPr>
            <w:tcW w:w="1134" w:type="dxa"/>
            <w:vAlign w:val="center"/>
          </w:tcPr>
          <w:p>
            <w:pPr>
              <w:rPr>
                <w:rFonts w:ascii="楷体" w:hAnsi="楷体" w:eastAsia="楷体"/>
              </w:rPr>
            </w:pPr>
            <w:r>
              <w:rPr>
                <w:rFonts w:hint="eastAsia" w:ascii="楷体" w:hAnsi="楷体" w:eastAsia="楷体"/>
              </w:rPr>
              <w:t>En</w:t>
            </w:r>
            <w:r>
              <w:rPr>
                <w:rFonts w:ascii="楷体" w:hAnsi="楷体" w:eastAsia="楷体"/>
              </w:rPr>
              <w:t>5.3</w:t>
            </w:r>
          </w:p>
        </w:tc>
        <w:tc>
          <w:tcPr>
            <w:tcW w:w="12191" w:type="dxa"/>
            <w:vAlign w:val="center"/>
          </w:tcPr>
          <w:p>
            <w:pPr>
              <w:pStyle w:val="13"/>
              <w:numPr>
                <w:ilvl w:val="0"/>
                <w:numId w:val="1"/>
              </w:numPr>
              <w:ind w:left="0" w:firstLine="0" w:firstLineChars="0"/>
              <w:rPr>
                <w:rFonts w:ascii="楷体" w:hAnsi="楷体" w:eastAsia="楷体"/>
                <w:szCs w:val="21"/>
              </w:rPr>
            </w:pPr>
            <w:r>
              <w:rPr>
                <w:rFonts w:hint="eastAsia" w:ascii="楷体" w:hAnsi="楷体" w:eastAsia="楷体"/>
                <w:szCs w:val="21"/>
              </w:rPr>
              <w:t>企业在《职责划分手册》（编号：</w:t>
            </w:r>
            <w:r>
              <w:rPr>
                <w:rFonts w:ascii="楷体" w:hAnsi="楷体" w:eastAsia="楷体"/>
                <w:szCs w:val="21"/>
              </w:rPr>
              <w:t>SJZLH-T1-005-2021</w:t>
            </w:r>
            <w:r>
              <w:rPr>
                <w:rFonts w:hint="eastAsia" w:ascii="楷体" w:hAnsi="楷体" w:eastAsia="楷体"/>
                <w:szCs w:val="21"/>
              </w:rPr>
              <w:t>，版本：</w:t>
            </w:r>
            <w:r>
              <w:rPr>
                <w:rFonts w:ascii="楷体" w:hAnsi="楷体" w:eastAsia="楷体"/>
                <w:szCs w:val="21"/>
              </w:rPr>
              <w:t>F/0</w:t>
            </w:r>
            <w:r>
              <w:rPr>
                <w:rFonts w:hint="eastAsia" w:ascii="楷体" w:hAnsi="楷体" w:eastAsia="楷体"/>
                <w:szCs w:val="21"/>
              </w:rPr>
              <w:t>，实施日期：2</w:t>
            </w:r>
            <w:r>
              <w:rPr>
                <w:rFonts w:ascii="楷体" w:hAnsi="楷体" w:eastAsia="楷体"/>
                <w:szCs w:val="21"/>
              </w:rPr>
              <w:t>022</w:t>
            </w:r>
            <w:r>
              <w:rPr>
                <w:rFonts w:hint="eastAsia" w:ascii="楷体" w:hAnsi="楷体" w:eastAsia="楷体"/>
                <w:szCs w:val="21"/>
              </w:rPr>
              <w:t>/1</w:t>
            </w:r>
            <w:r>
              <w:rPr>
                <w:rFonts w:ascii="楷体" w:hAnsi="楷体" w:eastAsia="楷体"/>
                <w:szCs w:val="21"/>
              </w:rPr>
              <w:t>2</w:t>
            </w:r>
            <w:r>
              <w:rPr>
                <w:rFonts w:hint="eastAsia" w:ascii="楷体" w:hAnsi="楷体" w:eastAsia="楷体"/>
                <w:szCs w:val="21"/>
              </w:rPr>
              <w:t>/</w:t>
            </w:r>
            <w:r>
              <w:rPr>
                <w:rFonts w:ascii="楷体" w:hAnsi="楷体" w:eastAsia="楷体"/>
                <w:szCs w:val="21"/>
              </w:rPr>
              <w:t>20</w:t>
            </w:r>
            <w:r>
              <w:rPr>
                <w:rFonts w:hint="eastAsia" w:ascii="楷体" w:hAnsi="楷体" w:eastAsia="楷体"/>
                <w:szCs w:val="21"/>
              </w:rPr>
              <w:t>）中规定了各部门的业务范围和工作职责。</w:t>
            </w:r>
          </w:p>
          <w:p>
            <w:pPr>
              <w:pStyle w:val="13"/>
              <w:numPr>
                <w:ilvl w:val="0"/>
                <w:numId w:val="1"/>
              </w:numPr>
              <w:ind w:left="0" w:firstLine="0" w:firstLineChars="0"/>
              <w:rPr>
                <w:rFonts w:ascii="楷体" w:hAnsi="楷体" w:eastAsia="楷体"/>
                <w:szCs w:val="21"/>
              </w:rPr>
            </w:pPr>
            <w:r>
              <w:rPr>
                <w:rFonts w:hint="eastAsia" w:ascii="楷体" w:hAnsi="楷体" w:eastAsia="楷体"/>
                <w:szCs w:val="21"/>
              </w:rPr>
              <w:t>部门负责人介绍，发展计划部是石家庄炼化分公司主要专业职能处室之一。主要负责组织实施公司技术开发、技术改造项目的论证、审查、报批工作，拟定并组织长远规划、科技成果、专利与专有技术、外事与引进、合理化建议与技术改进、科技期刊编辑、科协工作；负责公司年度、季度、月度生产经营计划的编制、上报及下达，组织原油、天然气等原料的采购及进厂工作，公司全面统计盘点及报表报送等管理工作。</w:t>
            </w:r>
          </w:p>
          <w:p>
            <w:pPr>
              <w:pStyle w:val="13"/>
              <w:numPr>
                <w:ilvl w:val="0"/>
                <w:numId w:val="1"/>
              </w:numPr>
              <w:ind w:left="0" w:firstLine="0" w:firstLineChars="0"/>
              <w:rPr>
                <w:rFonts w:ascii="楷体" w:hAnsi="楷体" w:eastAsia="楷体"/>
                <w:szCs w:val="21"/>
              </w:rPr>
            </w:pPr>
            <w:r>
              <w:rPr>
                <w:rFonts w:hint="eastAsia" w:ascii="楷体" w:hAnsi="楷体" w:eastAsia="楷体"/>
                <w:szCs w:val="21"/>
              </w:rPr>
              <w:t>负责人介绍的内容与《职责划分手册》中内容一致。</w:t>
            </w:r>
          </w:p>
        </w:tc>
        <w:tc>
          <w:tcPr>
            <w:tcW w:w="567" w:type="dxa"/>
            <w:vAlign w:val="center"/>
          </w:tcPr>
          <w:p>
            <w:pPr>
              <w:jc w:val="center"/>
            </w:pPr>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242" w:type="dxa"/>
            <w:vAlign w:val="center"/>
          </w:tcPr>
          <w:p>
            <w:pPr>
              <w:rPr>
                <w:rFonts w:ascii="楷体" w:hAnsi="楷体" w:eastAsia="楷体"/>
                <w:szCs w:val="21"/>
              </w:rPr>
            </w:pPr>
            <w:r>
              <w:rPr>
                <w:rFonts w:hint="eastAsia" w:ascii="楷体" w:hAnsi="楷体" w:eastAsia="楷体"/>
                <w:szCs w:val="21"/>
              </w:rPr>
              <w:t>目标指标、</w:t>
            </w:r>
          </w:p>
          <w:p>
            <w:pPr>
              <w:rPr>
                <w:rFonts w:ascii="楷体" w:hAnsi="楷体" w:eastAsia="楷体"/>
              </w:rPr>
            </w:pPr>
            <w:r>
              <w:rPr>
                <w:rFonts w:hint="eastAsia" w:ascii="楷体" w:hAnsi="楷体" w:eastAsia="楷体"/>
                <w:szCs w:val="21"/>
              </w:rPr>
              <w:t>绩效监视和测量分析与评价</w:t>
            </w:r>
          </w:p>
        </w:tc>
        <w:tc>
          <w:tcPr>
            <w:tcW w:w="1134" w:type="dxa"/>
            <w:vAlign w:val="center"/>
          </w:tcPr>
          <w:p>
            <w:pPr>
              <w:rPr>
                <w:rFonts w:ascii="楷体" w:hAnsi="楷体" w:eastAsia="楷体"/>
              </w:rPr>
            </w:pPr>
            <w:r>
              <w:rPr>
                <w:rFonts w:hint="eastAsia" w:ascii="楷体" w:hAnsi="楷体" w:eastAsia="楷体"/>
              </w:rPr>
              <w:t>En</w:t>
            </w:r>
            <w:r>
              <w:rPr>
                <w:rFonts w:ascii="楷体" w:hAnsi="楷体" w:eastAsia="楷体"/>
              </w:rPr>
              <w:t>6.2</w:t>
            </w:r>
          </w:p>
          <w:p>
            <w:pPr>
              <w:rPr>
                <w:rFonts w:ascii="楷体" w:hAnsi="楷体" w:eastAsia="楷体"/>
              </w:rPr>
            </w:pPr>
            <w:r>
              <w:rPr>
                <w:rFonts w:hint="eastAsia" w:ascii="楷体" w:hAnsi="楷体" w:eastAsia="楷体"/>
              </w:rPr>
              <w:t>En</w:t>
            </w:r>
            <w:r>
              <w:rPr>
                <w:rFonts w:ascii="楷体" w:hAnsi="楷体" w:eastAsia="楷体"/>
              </w:rPr>
              <w:t>9.1.1</w:t>
            </w:r>
          </w:p>
        </w:tc>
        <w:tc>
          <w:tcPr>
            <w:tcW w:w="12191" w:type="dxa"/>
            <w:vAlign w:val="center"/>
          </w:tcPr>
          <w:p>
            <w:pPr>
              <w:pStyle w:val="13"/>
              <w:numPr>
                <w:ilvl w:val="0"/>
                <w:numId w:val="1"/>
              </w:numPr>
              <w:ind w:left="0" w:firstLine="0" w:firstLineChars="0"/>
              <w:rPr>
                <w:rFonts w:ascii="楷体" w:hAnsi="楷体" w:eastAsia="楷体"/>
                <w:szCs w:val="21"/>
              </w:rPr>
            </w:pPr>
            <w:r>
              <w:rPr>
                <w:rFonts w:hint="eastAsia" w:ascii="楷体" w:hAnsi="楷体" w:eastAsia="楷体"/>
                <w:szCs w:val="21"/>
              </w:rPr>
              <w:t>负责人介绍：</w:t>
            </w:r>
          </w:p>
          <w:p>
            <w:pPr>
              <w:pStyle w:val="13"/>
              <w:ind w:firstLine="0" w:firstLineChars="0"/>
              <w:rPr>
                <w:rFonts w:ascii="楷体" w:hAnsi="楷体" w:eastAsia="楷体"/>
                <w:szCs w:val="21"/>
              </w:rPr>
            </w:pPr>
            <w:r>
              <w:rPr>
                <w:rFonts w:ascii="楷体" w:hAnsi="楷体" w:eastAsia="楷体"/>
                <w:szCs w:val="21"/>
              </w:rPr>
              <w:t>---</w:t>
            </w:r>
            <w:r>
              <w:rPr>
                <w:rFonts w:hint="eastAsia" w:ascii="楷体" w:hAnsi="楷体" w:eastAsia="楷体"/>
                <w:szCs w:val="21"/>
              </w:rPr>
              <w:t>发展计划部是职能处室，公司为本部分分配有机经指标：原油年加工量633.00万吨/年；综合商品率（可比综合商品率）≥92.30%；化工生产计划完成准确率≥95%。</w:t>
            </w:r>
          </w:p>
          <w:p>
            <w:pPr>
              <w:pStyle w:val="13"/>
              <w:ind w:firstLine="0" w:firstLineChars="0"/>
              <w:rPr>
                <w:rFonts w:ascii="楷体" w:hAnsi="楷体" w:eastAsia="楷体"/>
                <w:szCs w:val="21"/>
              </w:rPr>
            </w:pPr>
            <w:r>
              <w:rPr>
                <w:rFonts w:ascii="楷体" w:hAnsi="楷体" w:eastAsia="楷体"/>
                <w:szCs w:val="21"/>
              </w:rPr>
              <w:t>---</w:t>
            </w:r>
            <w:r>
              <w:rPr>
                <w:rFonts w:hint="eastAsia" w:ascii="楷体" w:hAnsi="楷体" w:eastAsia="楷体"/>
                <w:szCs w:val="21"/>
              </w:rPr>
              <w:t>公司没有分配能源目标指标到发展计划部。</w:t>
            </w:r>
          </w:p>
          <w:p>
            <w:pPr>
              <w:pStyle w:val="13"/>
              <w:numPr>
                <w:ilvl w:val="0"/>
                <w:numId w:val="1"/>
              </w:numPr>
              <w:ind w:left="0" w:firstLine="33" w:firstLineChars="16"/>
              <w:rPr>
                <w:rFonts w:ascii="楷体" w:hAnsi="楷体" w:eastAsia="楷体"/>
                <w:szCs w:val="21"/>
              </w:rPr>
            </w:pPr>
            <w:r>
              <w:rPr>
                <w:rFonts w:hint="eastAsia" w:ascii="楷体" w:hAnsi="楷体" w:eastAsia="楷体"/>
                <w:szCs w:val="21"/>
              </w:rPr>
              <w:t>查绩效监视和测量评价：负责人介绍，公司和各部门签订有绩效考核责任制。提供有《发展计划部2</w:t>
            </w:r>
            <w:r>
              <w:rPr>
                <w:rFonts w:ascii="楷体" w:hAnsi="楷体" w:eastAsia="楷体"/>
                <w:szCs w:val="21"/>
              </w:rPr>
              <w:t>022</w:t>
            </w:r>
            <w:r>
              <w:rPr>
                <w:rFonts w:hint="eastAsia" w:ascii="楷体" w:hAnsi="楷体" w:eastAsia="楷体"/>
                <w:szCs w:val="21"/>
              </w:rPr>
              <w:t>年绩效考核目标责任书》，查看内容，规定有考核类别、考核项目。考核指标，设定有“确保”、 “达标”、“奋斗”三类。设定有考核部门和考核周期，考核部门按考核周期对绩效达标情况进行考核评分。</w:t>
            </w:r>
          </w:p>
          <w:p>
            <w:pPr>
              <w:pStyle w:val="13"/>
              <w:ind w:left="420" w:firstLine="0" w:firstLineChars="0"/>
              <w:rPr>
                <w:rFonts w:ascii="楷体" w:hAnsi="楷体" w:eastAsia="楷体"/>
                <w:szCs w:val="21"/>
              </w:rPr>
            </w:pPr>
          </w:p>
        </w:tc>
        <w:tc>
          <w:tcPr>
            <w:tcW w:w="567" w:type="dxa"/>
            <w:vAlign w:val="center"/>
          </w:tcPr>
          <w:p>
            <w:pPr>
              <w:jc w:val="center"/>
            </w:pPr>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242" w:type="dxa"/>
            <w:vAlign w:val="center"/>
          </w:tcPr>
          <w:p>
            <w:pPr>
              <w:rPr>
                <w:rFonts w:ascii="楷体" w:hAnsi="楷体" w:eastAsia="楷体"/>
              </w:rPr>
            </w:pPr>
            <w:r>
              <w:rPr>
                <w:rFonts w:hint="eastAsia" w:ascii="楷体" w:hAnsi="楷体" w:eastAsia="楷体"/>
              </w:rPr>
              <w:t>运行策划和控制</w:t>
            </w:r>
          </w:p>
          <w:p>
            <w:pPr>
              <w:rPr>
                <w:rFonts w:ascii="楷体" w:hAnsi="楷体" w:eastAsia="楷体"/>
              </w:rPr>
            </w:pPr>
          </w:p>
          <w:p>
            <w:pPr>
              <w:rPr>
                <w:rFonts w:ascii="楷体" w:hAnsi="楷体" w:eastAsia="楷体"/>
              </w:rPr>
            </w:pPr>
            <w:r>
              <w:rPr>
                <w:rFonts w:hint="eastAsia" w:ascii="楷体" w:hAnsi="楷体" w:eastAsia="楷体"/>
              </w:rPr>
              <w:t>能源（原油、天然气）采购</w:t>
            </w:r>
          </w:p>
          <w:p>
            <w:pPr>
              <w:rPr>
                <w:rFonts w:ascii="楷体" w:hAnsi="楷体" w:eastAsia="楷体"/>
              </w:rPr>
            </w:pPr>
          </w:p>
          <w:p>
            <w:pPr>
              <w:rPr>
                <w:rFonts w:ascii="楷体" w:hAnsi="楷体" w:eastAsia="楷体"/>
              </w:rPr>
            </w:pPr>
            <w:r>
              <w:rPr>
                <w:rFonts w:hint="eastAsia" w:ascii="楷体" w:hAnsi="楷体" w:eastAsia="楷体"/>
              </w:rPr>
              <w:t>不合格和纠正措施</w:t>
            </w:r>
            <w:r>
              <w:rPr>
                <w:rFonts w:hint="eastAsia" w:ascii="楷体" w:hAnsi="楷体" w:eastAsia="楷体"/>
              </w:rPr>
              <w:tab/>
            </w:r>
          </w:p>
        </w:tc>
        <w:tc>
          <w:tcPr>
            <w:tcW w:w="1134" w:type="dxa"/>
            <w:vAlign w:val="center"/>
          </w:tcPr>
          <w:p>
            <w:pPr>
              <w:rPr>
                <w:rFonts w:ascii="楷体" w:hAnsi="楷体" w:eastAsia="楷体"/>
              </w:rPr>
            </w:pPr>
            <w:r>
              <w:rPr>
                <w:rFonts w:hint="eastAsia" w:ascii="楷体" w:hAnsi="楷体" w:eastAsia="楷体"/>
              </w:rPr>
              <w:t>En</w:t>
            </w:r>
            <w:r>
              <w:rPr>
                <w:rFonts w:ascii="楷体" w:hAnsi="楷体" w:eastAsia="楷体"/>
              </w:rPr>
              <w:t>8.1</w:t>
            </w:r>
            <w:r>
              <w:rPr>
                <w:rFonts w:hint="eastAsia" w:ascii="楷体" w:hAnsi="楷体" w:eastAsia="楷体"/>
              </w:rPr>
              <w:t xml:space="preserve"> </w:t>
            </w:r>
          </w:p>
          <w:p>
            <w:pPr>
              <w:rPr>
                <w:rFonts w:ascii="楷体" w:hAnsi="楷体" w:eastAsia="楷体"/>
              </w:rPr>
            </w:pPr>
          </w:p>
          <w:p>
            <w:pPr>
              <w:rPr>
                <w:rFonts w:ascii="楷体" w:hAnsi="楷体" w:eastAsia="楷体"/>
              </w:rPr>
            </w:pPr>
            <w:r>
              <w:rPr>
                <w:rFonts w:hint="eastAsia" w:ascii="楷体" w:hAnsi="楷体" w:eastAsia="楷体"/>
              </w:rPr>
              <w:t>En</w:t>
            </w:r>
            <w:r>
              <w:rPr>
                <w:rFonts w:ascii="楷体" w:hAnsi="楷体" w:eastAsia="楷体"/>
              </w:rPr>
              <w:t>8.3</w:t>
            </w:r>
            <w:r>
              <w:rPr>
                <w:rFonts w:hint="eastAsia" w:ascii="楷体" w:hAnsi="楷体" w:eastAsia="楷体"/>
              </w:rPr>
              <w:t xml:space="preserve"> </w:t>
            </w:r>
          </w:p>
          <w:p>
            <w:pPr>
              <w:rPr>
                <w:rFonts w:ascii="楷体" w:hAnsi="楷体" w:eastAsia="楷体"/>
              </w:rPr>
            </w:pPr>
          </w:p>
          <w:p>
            <w:pPr>
              <w:rPr>
                <w:rFonts w:ascii="楷体" w:hAnsi="楷体" w:eastAsia="楷体"/>
              </w:rPr>
            </w:pPr>
            <w:r>
              <w:rPr>
                <w:rFonts w:hint="eastAsia" w:ascii="楷体" w:hAnsi="楷体" w:eastAsia="楷体"/>
              </w:rPr>
              <w:t>En10.1</w:t>
            </w:r>
          </w:p>
        </w:tc>
        <w:tc>
          <w:tcPr>
            <w:tcW w:w="12191" w:type="dxa"/>
            <w:vAlign w:val="center"/>
          </w:tcPr>
          <w:p>
            <w:pPr>
              <w:pStyle w:val="13"/>
              <w:numPr>
                <w:ilvl w:val="0"/>
                <w:numId w:val="1"/>
              </w:numPr>
              <w:ind w:left="0" w:firstLine="0" w:firstLineChars="0"/>
              <w:rPr>
                <w:rFonts w:ascii="楷体" w:hAnsi="楷体" w:eastAsia="楷体" w:cs="楷体"/>
                <w:szCs w:val="21"/>
              </w:rPr>
            </w:pPr>
            <w:r>
              <w:rPr>
                <w:rFonts w:hint="eastAsia" w:ascii="楷体" w:hAnsi="楷体" w:eastAsia="楷体" w:cs="楷体"/>
                <w:szCs w:val="21"/>
              </w:rPr>
              <w:t>公司编制有《能源管理办法》（编号：</w:t>
            </w:r>
            <w:r>
              <w:rPr>
                <w:rFonts w:ascii="楷体" w:hAnsi="楷体" w:eastAsia="楷体" w:cs="楷体"/>
                <w:szCs w:val="21"/>
              </w:rPr>
              <w:t>SJZLH-1003-007-2018</w:t>
            </w:r>
            <w:r>
              <w:rPr>
                <w:rFonts w:hint="eastAsia" w:ascii="楷体" w:hAnsi="楷体" w:eastAsia="楷体" w:cs="楷体"/>
                <w:szCs w:val="21"/>
              </w:rPr>
              <w:t>），用于指导企业各部门进行能源管理。</w:t>
            </w:r>
          </w:p>
          <w:p>
            <w:pPr>
              <w:pStyle w:val="13"/>
              <w:numPr>
                <w:ilvl w:val="0"/>
                <w:numId w:val="1"/>
              </w:numPr>
              <w:ind w:left="0" w:firstLine="0" w:firstLineChars="0"/>
              <w:rPr>
                <w:rFonts w:ascii="楷体" w:hAnsi="楷体" w:eastAsia="楷体" w:cs="楷体"/>
                <w:szCs w:val="21"/>
              </w:rPr>
            </w:pPr>
            <w:r>
              <w:rPr>
                <w:rFonts w:hint="eastAsia" w:ascii="楷体" w:hAnsi="楷体" w:eastAsia="楷体" w:cs="楷体"/>
                <w:szCs w:val="21"/>
              </w:rPr>
              <w:t>和部门负责人沟通，</w:t>
            </w:r>
            <w:r>
              <w:rPr>
                <w:rFonts w:hint="eastAsia" w:ascii="楷体" w:hAnsi="楷体" w:eastAsia="楷体" w:cs="楷体"/>
                <w:b/>
                <w:bCs/>
                <w:szCs w:val="21"/>
              </w:rPr>
              <w:t>在耗能方面</w:t>
            </w:r>
            <w:r>
              <w:rPr>
                <w:rFonts w:hint="eastAsia" w:ascii="楷体" w:hAnsi="楷体" w:eastAsia="楷体" w:cs="楷体"/>
                <w:szCs w:val="21"/>
              </w:rPr>
              <w:t>，发展计划部涉及业务主要是人员办公过程，耗能主要是办公设备消耗少量电力以及工作中消耗少量生活用水。执行公司的节能制度要求：闲置房间要停止供应水、电、暖气等介质；有人活动的房间按规定使用空调设备，夏天设定温度不能低于26℃，冬天设定温度不能高于20℃，并做到人离开关闭空调，设备间空调设定温度不得低于设计温度；按要求时间停、开供暖；减少电脑、复印机、打印机等耗能设备的待机能耗，优先使用绿色节能照明灯具；杜绝长流水、长明灯现象，使用空调及暖气期间要关闭门窗。日常注意节水节电、节省办公过程中的能源消耗。</w:t>
            </w:r>
          </w:p>
          <w:p>
            <w:pPr>
              <w:pStyle w:val="13"/>
              <w:numPr>
                <w:ilvl w:val="0"/>
                <w:numId w:val="1"/>
              </w:numPr>
              <w:ind w:firstLineChars="0"/>
              <w:rPr>
                <w:rFonts w:ascii="楷体" w:hAnsi="楷体" w:eastAsia="楷体" w:cs="楷体"/>
                <w:szCs w:val="21"/>
              </w:rPr>
            </w:pPr>
            <w:r>
              <w:rPr>
                <w:rFonts w:hint="eastAsia" w:ascii="楷体" w:hAnsi="楷体" w:eastAsia="楷体" w:cs="楷体"/>
                <w:b/>
                <w:bCs/>
                <w:szCs w:val="21"/>
              </w:rPr>
              <w:t>在部门职能运行方面</w:t>
            </w:r>
            <w:r>
              <w:rPr>
                <w:rFonts w:hint="eastAsia" w:ascii="楷体" w:hAnsi="楷体" w:eastAsia="楷体" w:cs="楷体"/>
                <w:szCs w:val="21"/>
              </w:rPr>
              <w:t>，负责人介绍：</w:t>
            </w:r>
          </w:p>
          <w:p>
            <w:pPr>
              <w:pStyle w:val="13"/>
              <w:ind w:firstLine="0" w:firstLineChars="0"/>
              <w:rPr>
                <w:rFonts w:ascii="楷体" w:hAnsi="楷体" w:eastAsia="楷体" w:cs="楷体"/>
                <w:szCs w:val="21"/>
              </w:rPr>
            </w:pPr>
            <w:r>
              <w:rPr>
                <w:rFonts w:hint="eastAsia" w:ascii="楷体" w:hAnsi="楷体" w:eastAsia="楷体" w:cs="楷体"/>
                <w:szCs w:val="21"/>
              </w:rPr>
              <w:t>-</w:t>
            </w:r>
            <w:r>
              <w:rPr>
                <w:rFonts w:ascii="楷体" w:hAnsi="楷体" w:eastAsia="楷体" w:cs="楷体"/>
                <w:szCs w:val="21"/>
              </w:rPr>
              <w:t>--</w:t>
            </w:r>
            <w:r>
              <w:rPr>
                <w:rFonts w:hint="eastAsia" w:ascii="楷体" w:hAnsi="楷体" w:eastAsia="楷体" w:cs="楷体"/>
                <w:szCs w:val="21"/>
              </w:rPr>
              <w:t>关于</w:t>
            </w:r>
            <w:r>
              <w:rPr>
                <w:rFonts w:hint="eastAsia" w:ascii="楷体" w:hAnsi="楷体" w:eastAsia="楷体" w:cs="楷体"/>
                <w:b/>
                <w:bCs/>
                <w:szCs w:val="21"/>
              </w:rPr>
              <w:t>原油采购</w:t>
            </w:r>
            <w:r>
              <w:rPr>
                <w:rFonts w:hint="eastAsia" w:ascii="楷体" w:hAnsi="楷体" w:eastAsia="楷体" w:cs="楷体"/>
                <w:szCs w:val="21"/>
              </w:rPr>
              <w:t>和</w:t>
            </w:r>
            <w:r>
              <w:rPr>
                <w:rFonts w:hint="eastAsia" w:ascii="楷体" w:hAnsi="楷体" w:eastAsia="楷体" w:cs="楷体"/>
                <w:b/>
                <w:bCs/>
                <w:szCs w:val="21"/>
              </w:rPr>
              <w:t>生产计划制定</w:t>
            </w:r>
            <w:r>
              <w:rPr>
                <w:rFonts w:hint="eastAsia" w:ascii="楷体" w:hAnsi="楷体" w:eastAsia="楷体" w:cs="楷体"/>
                <w:szCs w:val="21"/>
              </w:rPr>
              <w:t>工作，负责人介绍：发展计划部根据国际原油走势、贴水及运费、高低硫价差情况，利用PIMS测算原油采购优化方案，经向公司领导汇报同意后，将原油采购建议计划上报炼油事业部。原油综合性质如硫含量、酸值控制在常减压装置工艺卡片指标内。总部根据各企业生产情况及计划安排情况，向企业下达原油资源配置计划，并同京津冀企业及代理公司一道优化原油资源及船期拼装方案。代理公司落实原油资源过程中，积极寻求适合装置加工的高性价比原油资源，力争降低原油采购成本。</w:t>
            </w:r>
          </w:p>
          <w:p>
            <w:pPr>
              <w:pStyle w:val="13"/>
              <w:rPr>
                <w:rFonts w:ascii="楷体" w:hAnsi="楷体" w:eastAsia="楷体" w:cs="楷体"/>
                <w:szCs w:val="21"/>
              </w:rPr>
            </w:pPr>
            <w:r>
              <w:rPr>
                <w:rFonts w:hint="eastAsia" w:ascii="楷体" w:hAnsi="楷体" w:eastAsia="楷体" w:cs="楷体"/>
                <w:szCs w:val="21"/>
              </w:rPr>
              <w:t>作为运行证据，提供有</w:t>
            </w:r>
            <w:r>
              <w:rPr>
                <w:rFonts w:ascii="楷体" w:hAnsi="楷体" w:eastAsia="楷体" w:cs="楷体"/>
                <w:szCs w:val="21"/>
              </w:rPr>
              <w:t>2022</w:t>
            </w:r>
            <w:r>
              <w:rPr>
                <w:rFonts w:hint="eastAsia" w:ascii="楷体" w:hAnsi="楷体" w:eastAsia="楷体" w:cs="楷体"/>
                <w:szCs w:val="21"/>
              </w:rPr>
              <w:t>年1</w:t>
            </w:r>
            <w:r>
              <w:rPr>
                <w:rFonts w:ascii="楷体" w:hAnsi="楷体" w:eastAsia="楷体" w:cs="楷体"/>
                <w:szCs w:val="21"/>
              </w:rPr>
              <w:t>1</w:t>
            </w:r>
            <w:r>
              <w:rPr>
                <w:rFonts w:hint="eastAsia" w:ascii="楷体" w:hAnsi="楷体" w:eastAsia="楷体" w:cs="楷体"/>
                <w:szCs w:val="21"/>
              </w:rPr>
              <w:t>月份的原油进厂及加工计划、辅材计划和能耗计划。提供有和青岛实华原油码头有限公司签订的原油采购合同。</w:t>
            </w:r>
          </w:p>
          <w:p>
            <w:pPr>
              <w:pStyle w:val="13"/>
              <w:ind w:firstLine="0" w:firstLineChars="0"/>
              <w:rPr>
                <w:rFonts w:ascii="楷体" w:hAnsi="楷体" w:eastAsia="楷体" w:cs="楷体"/>
                <w:szCs w:val="21"/>
              </w:rPr>
            </w:pPr>
            <w:r>
              <w:rPr>
                <w:rFonts w:hint="eastAsia" w:ascii="楷体" w:hAnsi="楷体" w:eastAsia="楷体" w:cs="楷体"/>
                <w:szCs w:val="21"/>
              </w:rPr>
              <w:t xml:space="preserve"> </w:t>
            </w:r>
            <w:r>
              <w:rPr>
                <w:rFonts w:ascii="楷体" w:hAnsi="楷体" w:eastAsia="楷体" w:cs="楷体"/>
                <w:szCs w:val="21"/>
              </w:rPr>
              <w:drawing>
                <wp:inline distT="0" distB="0" distL="0" distR="0">
                  <wp:extent cx="4074795" cy="26733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6"/>
                          <a:stretch>
                            <a:fillRect/>
                          </a:stretch>
                        </pic:blipFill>
                        <pic:spPr>
                          <a:xfrm>
                            <a:off x="0" y="0"/>
                            <a:ext cx="4119876" cy="2703148"/>
                          </a:xfrm>
                          <a:prstGeom prst="rect">
                            <a:avLst/>
                          </a:prstGeom>
                        </pic:spPr>
                      </pic:pic>
                    </a:graphicData>
                  </a:graphic>
                </wp:inline>
              </w:drawing>
            </w:r>
            <w:r>
              <w:rPr>
                <w:rFonts w:ascii="楷体" w:hAnsi="楷体" w:eastAsia="楷体" w:cs="楷体"/>
                <w:szCs w:val="21"/>
              </w:rPr>
              <w:t xml:space="preserve"> </w:t>
            </w:r>
            <w:r>
              <w:rPr>
                <w:rFonts w:ascii="楷体" w:hAnsi="楷体" w:eastAsia="楷体" w:cs="楷体"/>
                <w:szCs w:val="21"/>
              </w:rPr>
              <w:drawing>
                <wp:inline distT="0" distB="0" distL="0" distR="0">
                  <wp:extent cx="3014345" cy="268859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7"/>
                          <a:stretch>
                            <a:fillRect/>
                          </a:stretch>
                        </pic:blipFill>
                        <pic:spPr>
                          <a:xfrm>
                            <a:off x="0" y="0"/>
                            <a:ext cx="3048704" cy="2719501"/>
                          </a:xfrm>
                          <a:prstGeom prst="rect">
                            <a:avLst/>
                          </a:prstGeom>
                        </pic:spPr>
                      </pic:pic>
                    </a:graphicData>
                  </a:graphic>
                </wp:inline>
              </w:drawing>
            </w:r>
          </w:p>
          <w:p>
            <w:pPr>
              <w:pStyle w:val="13"/>
              <w:ind w:firstLine="0" w:firstLineChars="0"/>
              <w:rPr>
                <w:rFonts w:ascii="楷体" w:hAnsi="楷体" w:eastAsia="楷体" w:cs="楷体"/>
                <w:szCs w:val="21"/>
              </w:rPr>
            </w:pPr>
          </w:p>
          <w:p>
            <w:pPr>
              <w:pStyle w:val="13"/>
              <w:ind w:firstLine="0" w:firstLineChars="0"/>
              <w:rPr>
                <w:rFonts w:ascii="楷体" w:hAnsi="楷体" w:eastAsia="楷体" w:cs="楷体"/>
                <w:szCs w:val="21"/>
              </w:rPr>
            </w:pPr>
            <w:r>
              <w:rPr>
                <w:rFonts w:ascii="楷体" w:hAnsi="楷体" w:eastAsia="楷体" w:cs="楷体"/>
                <w:szCs w:val="21"/>
              </w:rPr>
              <w:drawing>
                <wp:inline distT="0" distB="0" distL="0" distR="0">
                  <wp:extent cx="6480810" cy="34353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8"/>
                          <a:stretch>
                            <a:fillRect/>
                          </a:stretch>
                        </pic:blipFill>
                        <pic:spPr>
                          <a:xfrm>
                            <a:off x="0" y="0"/>
                            <a:ext cx="6488647" cy="3440040"/>
                          </a:xfrm>
                          <a:prstGeom prst="rect">
                            <a:avLst/>
                          </a:prstGeom>
                        </pic:spPr>
                      </pic:pic>
                    </a:graphicData>
                  </a:graphic>
                </wp:inline>
              </w:drawing>
            </w:r>
          </w:p>
          <w:p>
            <w:pPr>
              <w:pStyle w:val="13"/>
              <w:ind w:firstLine="0" w:firstLineChars="0"/>
              <w:rPr>
                <w:rFonts w:ascii="楷体" w:hAnsi="楷体" w:eastAsia="楷体" w:cs="楷体"/>
                <w:szCs w:val="21"/>
              </w:rPr>
            </w:pPr>
          </w:p>
          <w:p>
            <w:pPr>
              <w:pStyle w:val="13"/>
              <w:ind w:firstLine="0" w:firstLineChars="0"/>
              <w:rPr>
                <w:rFonts w:ascii="楷体" w:hAnsi="楷体" w:eastAsia="楷体" w:cs="楷体"/>
                <w:szCs w:val="21"/>
              </w:rPr>
            </w:pPr>
            <w:r>
              <w:rPr>
                <w:rFonts w:hint="eastAsia" w:ascii="楷体" w:hAnsi="楷体" w:eastAsia="楷体" w:cs="楷体"/>
                <w:szCs w:val="21"/>
              </w:rPr>
              <w:t>-</w:t>
            </w:r>
            <w:r>
              <w:rPr>
                <w:rFonts w:ascii="楷体" w:hAnsi="楷体" w:eastAsia="楷体" w:cs="楷体"/>
                <w:szCs w:val="21"/>
              </w:rPr>
              <w:t>--</w:t>
            </w:r>
            <w:r>
              <w:rPr>
                <w:rFonts w:hint="eastAsia" w:ascii="楷体" w:hAnsi="楷体" w:eastAsia="楷体" w:cs="楷体"/>
                <w:szCs w:val="21"/>
              </w:rPr>
              <w:t>关于</w:t>
            </w:r>
            <w:r>
              <w:rPr>
                <w:rFonts w:hint="eastAsia" w:ascii="楷体" w:hAnsi="楷体" w:eastAsia="楷体" w:cs="楷体"/>
                <w:b/>
                <w:bCs/>
                <w:szCs w:val="21"/>
              </w:rPr>
              <w:t>天然气采购</w:t>
            </w:r>
            <w:r>
              <w:rPr>
                <w:rFonts w:hint="eastAsia" w:ascii="楷体" w:hAnsi="楷体" w:eastAsia="楷体" w:cs="楷体"/>
                <w:szCs w:val="21"/>
              </w:rPr>
              <w:t>工作，负责人介绍：天然气采购执行年度采购合同，生产技术部根据公司年度加工安排预算月度天然气用气计划，发展计划部根据天然气用气计划与中石化天然气公司签订采购合同。作为运行证据，提供有《2</w:t>
            </w:r>
            <w:r>
              <w:rPr>
                <w:rFonts w:ascii="楷体" w:hAnsi="楷体" w:eastAsia="楷体" w:cs="楷体"/>
                <w:szCs w:val="21"/>
              </w:rPr>
              <w:t>022-2023</w:t>
            </w:r>
            <w:r>
              <w:rPr>
                <w:rFonts w:hint="eastAsia" w:ascii="楷体" w:hAnsi="楷体" w:eastAsia="楷体" w:cs="楷体"/>
                <w:szCs w:val="21"/>
              </w:rPr>
              <w:t>年度管道天然气购销合同》</w:t>
            </w:r>
          </w:p>
          <w:p>
            <w:pPr>
              <w:pStyle w:val="13"/>
              <w:ind w:left="420" w:firstLine="0" w:firstLineChars="0"/>
              <w:rPr>
                <w:rFonts w:ascii="楷体" w:hAnsi="楷体" w:eastAsia="楷体" w:cs="楷体"/>
                <w:szCs w:val="21"/>
              </w:rPr>
            </w:pPr>
            <w:r>
              <w:drawing>
                <wp:inline distT="0" distB="0" distL="0" distR="0">
                  <wp:extent cx="1532255" cy="21996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1544044" cy="2215879"/>
                          </a:xfrm>
                          <a:prstGeom prst="rect">
                            <a:avLst/>
                          </a:prstGeom>
                        </pic:spPr>
                      </pic:pic>
                    </a:graphicData>
                  </a:graphic>
                </wp:inline>
              </w:drawing>
            </w:r>
            <w:r>
              <w:rPr>
                <w:rFonts w:ascii="楷体" w:hAnsi="楷体" w:eastAsia="楷体" w:cs="楷体"/>
                <w:szCs w:val="21"/>
              </w:rPr>
              <w:t xml:space="preserve"> </w:t>
            </w:r>
            <w:r>
              <w:drawing>
                <wp:inline distT="0" distB="0" distL="0" distR="0">
                  <wp:extent cx="1536065" cy="219138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1550173" cy="2210681"/>
                          </a:xfrm>
                          <a:prstGeom prst="rect">
                            <a:avLst/>
                          </a:prstGeom>
                        </pic:spPr>
                      </pic:pic>
                    </a:graphicData>
                  </a:graphic>
                </wp:inline>
              </w:drawing>
            </w:r>
            <w:r>
              <w:rPr>
                <w:rFonts w:ascii="楷体" w:hAnsi="楷体" w:eastAsia="楷体" w:cs="楷体"/>
                <w:szCs w:val="21"/>
              </w:rPr>
              <w:t xml:space="preserve"> </w:t>
            </w:r>
            <w:r>
              <w:rPr>
                <w:rFonts w:ascii="楷体" w:hAnsi="楷体" w:eastAsia="楷体" w:cs="楷体"/>
                <w:szCs w:val="21"/>
              </w:rPr>
              <w:drawing>
                <wp:inline distT="0" distB="0" distL="0" distR="0">
                  <wp:extent cx="1574800" cy="22117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1577832" cy="2215727"/>
                          </a:xfrm>
                          <a:prstGeom prst="rect">
                            <a:avLst/>
                          </a:prstGeom>
                        </pic:spPr>
                      </pic:pic>
                    </a:graphicData>
                  </a:graphic>
                </wp:inline>
              </w:drawing>
            </w:r>
            <w:r>
              <w:rPr>
                <w:rFonts w:hint="eastAsia" w:ascii="楷体" w:hAnsi="楷体" w:eastAsia="楷体" w:cs="楷体"/>
                <w:szCs w:val="21"/>
              </w:rPr>
              <w:t xml:space="preserve"> </w:t>
            </w:r>
            <w:r>
              <w:rPr>
                <w:rFonts w:ascii="楷体" w:hAnsi="楷体" w:eastAsia="楷体" w:cs="楷体"/>
                <w:szCs w:val="21"/>
              </w:rPr>
              <w:drawing>
                <wp:inline distT="0" distB="0" distL="0" distR="0">
                  <wp:extent cx="1543050" cy="22199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1549664" cy="2229618"/>
                          </a:xfrm>
                          <a:prstGeom prst="rect">
                            <a:avLst/>
                          </a:prstGeom>
                        </pic:spPr>
                      </pic:pic>
                    </a:graphicData>
                  </a:graphic>
                </wp:inline>
              </w:drawing>
            </w:r>
          </w:p>
          <w:p>
            <w:pPr>
              <w:pStyle w:val="13"/>
              <w:ind w:left="34" w:firstLine="0" w:firstLineChars="0"/>
              <w:rPr>
                <w:rFonts w:ascii="楷体" w:hAnsi="楷体" w:eastAsia="楷体" w:cs="楷体"/>
                <w:szCs w:val="21"/>
              </w:rPr>
            </w:pPr>
            <w:r>
              <w:rPr>
                <w:rFonts w:hint="eastAsia" w:ascii="楷体" w:hAnsi="楷体" w:eastAsia="楷体" w:cs="楷体"/>
                <w:szCs w:val="21"/>
              </w:rPr>
              <w:t>-</w:t>
            </w:r>
            <w:r>
              <w:rPr>
                <w:rFonts w:ascii="楷体" w:hAnsi="楷体" w:eastAsia="楷体" w:cs="楷体"/>
                <w:szCs w:val="21"/>
              </w:rPr>
              <w:t>--</w:t>
            </w:r>
            <w:r>
              <w:rPr>
                <w:rFonts w:hint="eastAsia" w:ascii="楷体" w:hAnsi="楷体" w:eastAsia="楷体" w:cs="楷体"/>
                <w:szCs w:val="21"/>
              </w:rPr>
              <w:t>对于</w:t>
            </w:r>
            <w:r>
              <w:rPr>
                <w:rFonts w:hint="eastAsia" w:ascii="楷体" w:hAnsi="楷体" w:eastAsia="楷体" w:cs="楷体"/>
                <w:b/>
                <w:bCs/>
                <w:szCs w:val="21"/>
              </w:rPr>
              <w:t>节能改造项目</w:t>
            </w:r>
            <w:r>
              <w:rPr>
                <w:rFonts w:hint="eastAsia" w:ascii="楷体" w:hAnsi="楷体" w:eastAsia="楷体" w:cs="楷体"/>
                <w:szCs w:val="21"/>
              </w:rPr>
              <w:t>管理方面，负责人介绍：发展计划部组织编制节能改造项目节能目标，并将节能目标落实到具体节能改造项目上；执行过程中每月分析项目实际进度与计划进度差异，当实际进度落后较多时，及时组织采取纠正措施。负责人介绍，2</w:t>
            </w:r>
            <w:r>
              <w:rPr>
                <w:rFonts w:ascii="楷体" w:hAnsi="楷体" w:eastAsia="楷体" w:cs="楷体"/>
                <w:szCs w:val="21"/>
              </w:rPr>
              <w:t>022</w:t>
            </w:r>
            <w:r>
              <w:rPr>
                <w:rFonts w:hint="eastAsia" w:ascii="楷体" w:hAnsi="楷体" w:eastAsia="楷体" w:cs="楷体"/>
                <w:szCs w:val="21"/>
              </w:rPr>
              <w:t>年初公司制定了4项节能提效目标，总计划投资4</w:t>
            </w:r>
            <w:r>
              <w:rPr>
                <w:rFonts w:ascii="楷体" w:hAnsi="楷体" w:eastAsia="楷体" w:cs="楷体"/>
                <w:szCs w:val="21"/>
              </w:rPr>
              <w:t>05</w:t>
            </w:r>
            <w:r>
              <w:rPr>
                <w:rFonts w:hint="eastAsia" w:ascii="楷体" w:hAnsi="楷体" w:eastAsia="楷体" w:cs="楷体"/>
                <w:szCs w:val="21"/>
              </w:rPr>
              <w:t>万元，计划节能8</w:t>
            </w:r>
            <w:r>
              <w:rPr>
                <w:rFonts w:ascii="楷体" w:hAnsi="楷体" w:eastAsia="楷体" w:cs="楷体"/>
                <w:szCs w:val="21"/>
              </w:rPr>
              <w:t>687</w:t>
            </w:r>
            <w:r>
              <w:rPr>
                <w:rFonts w:hint="eastAsia" w:ascii="楷体" w:hAnsi="楷体" w:eastAsia="楷体" w:cs="楷体"/>
                <w:szCs w:val="21"/>
              </w:rPr>
              <w:t>吨标准/年。目前实际启动2项，完成1项，累计节能量1</w:t>
            </w:r>
            <w:r>
              <w:rPr>
                <w:rFonts w:ascii="楷体" w:hAnsi="楷体" w:eastAsia="楷体" w:cs="楷体"/>
                <w:szCs w:val="21"/>
              </w:rPr>
              <w:t>368</w:t>
            </w:r>
            <w:r>
              <w:rPr>
                <w:rFonts w:hint="eastAsia" w:ascii="楷体" w:hAnsi="楷体" w:eastAsia="楷体" w:cs="楷体"/>
                <w:szCs w:val="21"/>
              </w:rPr>
              <w:t>吨标准/年，累计效益1</w:t>
            </w:r>
            <w:r>
              <w:rPr>
                <w:rFonts w:ascii="楷体" w:hAnsi="楷体" w:eastAsia="楷体" w:cs="楷体"/>
                <w:szCs w:val="21"/>
              </w:rPr>
              <w:t>51.2</w:t>
            </w:r>
            <w:r>
              <w:rPr>
                <w:rFonts w:hint="eastAsia" w:ascii="楷体" w:hAnsi="楷体" w:eastAsia="楷体" w:cs="楷体"/>
                <w:szCs w:val="21"/>
              </w:rPr>
              <w:t>万元。另</w:t>
            </w:r>
            <w:r>
              <w:rPr>
                <w:rFonts w:ascii="楷体" w:hAnsi="楷体" w:eastAsia="楷体" w:cs="楷体"/>
                <w:szCs w:val="21"/>
              </w:rPr>
              <w:t>2</w:t>
            </w:r>
            <w:r>
              <w:rPr>
                <w:rFonts w:hint="eastAsia" w:ascii="楷体" w:hAnsi="楷体" w:eastAsia="楷体" w:cs="楷体"/>
                <w:szCs w:val="21"/>
              </w:rPr>
              <w:t>各项目因疫情原因，项目延期至2</w:t>
            </w:r>
            <w:r>
              <w:rPr>
                <w:rFonts w:ascii="楷体" w:hAnsi="楷体" w:eastAsia="楷体" w:cs="楷体"/>
                <w:szCs w:val="21"/>
              </w:rPr>
              <w:t>023</w:t>
            </w:r>
            <w:r>
              <w:rPr>
                <w:rFonts w:hint="eastAsia" w:ascii="楷体" w:hAnsi="楷体" w:eastAsia="楷体" w:cs="楷体"/>
                <w:szCs w:val="21"/>
              </w:rPr>
              <w:t>年。作为运行证据，提供有项目实施进度表。</w:t>
            </w:r>
          </w:p>
          <w:p>
            <w:pPr>
              <w:pStyle w:val="13"/>
              <w:ind w:left="34" w:firstLine="0" w:firstLineChars="0"/>
              <w:rPr>
                <w:rFonts w:ascii="楷体" w:hAnsi="楷体" w:eastAsia="楷体" w:cs="楷体"/>
                <w:szCs w:val="21"/>
                <w:highlight w:val="yellow"/>
              </w:rPr>
            </w:pPr>
            <w:r>
              <w:rPr>
                <w:rFonts w:ascii="楷体" w:hAnsi="楷体" w:eastAsia="楷体" w:cs="楷体"/>
                <w:szCs w:val="21"/>
              </w:rPr>
              <w:drawing>
                <wp:inline distT="0" distB="0" distL="0" distR="0">
                  <wp:extent cx="6200775" cy="214566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3"/>
                          <a:stretch>
                            <a:fillRect/>
                          </a:stretch>
                        </pic:blipFill>
                        <pic:spPr>
                          <a:xfrm>
                            <a:off x="0" y="0"/>
                            <a:ext cx="6249797" cy="2162686"/>
                          </a:xfrm>
                          <a:prstGeom prst="rect">
                            <a:avLst/>
                          </a:prstGeom>
                        </pic:spPr>
                      </pic:pic>
                    </a:graphicData>
                  </a:graphic>
                </wp:inline>
              </w:drawing>
            </w:r>
          </w:p>
        </w:tc>
        <w:tc>
          <w:tcPr>
            <w:tcW w:w="567" w:type="dxa"/>
            <w:vAlign w:val="center"/>
          </w:tcPr>
          <w:p>
            <w:pPr>
              <w:jc w:val="center"/>
            </w:pPr>
            <w:r>
              <w:rPr>
                <w:rFonts w:hint="eastAsia"/>
              </w:rPr>
              <w:t>Y</w:t>
            </w:r>
          </w:p>
        </w:tc>
      </w:tr>
    </w:tbl>
    <w:p>
      <w:pPr>
        <w:pStyle w:val="3"/>
      </w:pPr>
    </w:p>
    <w:p>
      <w:pPr>
        <w:pStyle w:val="3"/>
      </w:pPr>
      <w:r>
        <w:rPr>
          <w:rFonts w:hint="eastAsia"/>
        </w:rPr>
        <w:t>说明：不符合标注N</w:t>
      </w:r>
    </w:p>
    <w:p>
      <w:pPr>
        <w:pStyle w:val="3"/>
        <w:jc w:val="center"/>
        <w:rPr>
          <w:rFonts w:ascii="隶书" w:hAnsi="宋体" w:eastAsia="隶书"/>
          <w:bCs/>
          <w:color w:val="000000"/>
          <w:sz w:val="36"/>
          <w:szCs w:val="36"/>
        </w:rPr>
      </w:pPr>
    </w:p>
    <w:p>
      <w:pPr>
        <w:pStyle w:val="3"/>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5"/>
        <w:tblW w:w="147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851"/>
        <w:gridCol w:w="12049"/>
        <w:gridCol w:w="6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242" w:type="dxa"/>
            <w:vMerge w:val="restart"/>
            <w:vAlign w:val="center"/>
          </w:tcPr>
          <w:p>
            <w:pPr>
              <w:tabs>
                <w:tab w:val="left" w:pos="7380"/>
              </w:tabs>
              <w:rPr>
                <w:rFonts w:ascii="楷体" w:hAnsi="楷体" w:eastAsia="楷体"/>
                <w:szCs w:val="21"/>
              </w:rPr>
            </w:pPr>
            <w:r>
              <w:rPr>
                <w:rFonts w:hint="eastAsia" w:ascii="楷体" w:hAnsi="楷体" w:eastAsia="楷体"/>
                <w:szCs w:val="21"/>
              </w:rPr>
              <w:t>过程与活动、抽样计划</w:t>
            </w:r>
          </w:p>
        </w:tc>
        <w:tc>
          <w:tcPr>
            <w:tcW w:w="851" w:type="dxa"/>
            <w:vMerge w:val="restart"/>
            <w:vAlign w:val="center"/>
          </w:tcPr>
          <w:p>
            <w:pPr>
              <w:tabs>
                <w:tab w:val="left" w:pos="7380"/>
              </w:tabs>
              <w:rPr>
                <w:rFonts w:ascii="楷体" w:hAnsi="楷体" w:eastAsia="楷体"/>
                <w:szCs w:val="21"/>
              </w:rPr>
            </w:pPr>
            <w:r>
              <w:rPr>
                <w:rFonts w:hint="eastAsia" w:ascii="楷体" w:hAnsi="楷体" w:eastAsia="楷体"/>
                <w:szCs w:val="21"/>
              </w:rPr>
              <w:t>涉及条款</w:t>
            </w:r>
          </w:p>
        </w:tc>
        <w:tc>
          <w:tcPr>
            <w:tcW w:w="12049" w:type="dxa"/>
            <w:vAlign w:val="center"/>
          </w:tcPr>
          <w:p>
            <w:pPr>
              <w:tabs>
                <w:tab w:val="left" w:pos="7380"/>
              </w:tabs>
              <w:rPr>
                <w:rFonts w:ascii="楷体" w:hAnsi="楷体" w:eastAsia="楷体"/>
                <w:szCs w:val="21"/>
              </w:rPr>
            </w:pPr>
            <w:r>
              <w:rPr>
                <w:rFonts w:hint="eastAsia" w:ascii="楷体" w:hAnsi="楷体" w:eastAsia="楷体"/>
                <w:szCs w:val="21"/>
              </w:rPr>
              <w:t xml:space="preserve">受审核部门：党委组织部（资源管理部） </w:t>
            </w:r>
            <w:r>
              <w:rPr>
                <w:rFonts w:ascii="楷体" w:hAnsi="楷体" w:eastAsia="楷体"/>
                <w:szCs w:val="21"/>
              </w:rPr>
              <w:t xml:space="preserve">        </w:t>
            </w:r>
            <w:r>
              <w:rPr>
                <w:rFonts w:hint="eastAsia" w:ascii="楷体" w:hAnsi="楷体" w:eastAsia="楷体"/>
                <w:szCs w:val="21"/>
              </w:rPr>
              <w:t>负责人：栗保国</w:t>
            </w:r>
            <w:r>
              <w:rPr>
                <w:rFonts w:ascii="楷体" w:hAnsi="楷体" w:eastAsia="楷体"/>
                <w:szCs w:val="21"/>
              </w:rPr>
              <w:t xml:space="preserve">               </w:t>
            </w:r>
            <w:r>
              <w:rPr>
                <w:rFonts w:hint="eastAsia" w:ascii="楷体" w:hAnsi="楷体" w:eastAsia="楷体"/>
                <w:szCs w:val="21"/>
              </w:rPr>
              <w:t>陪同人员：杨惠娇</w:t>
            </w:r>
          </w:p>
        </w:tc>
        <w:tc>
          <w:tcPr>
            <w:tcW w:w="627" w:type="dxa"/>
            <w:vMerge w:val="restart"/>
            <w:vAlign w:val="center"/>
          </w:tcPr>
          <w:p>
            <w:pPr>
              <w:tabs>
                <w:tab w:val="left" w:pos="7380"/>
              </w:tabs>
              <w:jc w:val="center"/>
              <w:rPr>
                <w:rFonts w:ascii="楷体" w:hAnsi="楷体" w:eastAsia="楷体"/>
                <w:szCs w:val="21"/>
              </w:rPr>
            </w:pPr>
            <w:r>
              <w:rPr>
                <w:rFonts w:hint="eastAsia" w:ascii="楷体" w:hAnsi="楷体" w:eastAsia="楷体"/>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242" w:type="dxa"/>
            <w:vMerge w:val="continue"/>
            <w:vAlign w:val="center"/>
          </w:tcPr>
          <w:p/>
        </w:tc>
        <w:tc>
          <w:tcPr>
            <w:tcW w:w="851" w:type="dxa"/>
            <w:vMerge w:val="continue"/>
            <w:vAlign w:val="center"/>
          </w:tcPr>
          <w:p/>
        </w:tc>
        <w:tc>
          <w:tcPr>
            <w:tcW w:w="12049" w:type="dxa"/>
            <w:vAlign w:val="center"/>
          </w:tcPr>
          <w:p>
            <w:pPr>
              <w:tabs>
                <w:tab w:val="left" w:pos="7380"/>
              </w:tabs>
              <w:rPr>
                <w:rFonts w:ascii="楷体" w:hAnsi="楷体" w:eastAsia="楷体"/>
                <w:szCs w:val="21"/>
              </w:rPr>
            </w:pPr>
            <w:r>
              <w:rPr>
                <w:rFonts w:hint="eastAsia" w:ascii="楷体" w:hAnsi="楷体" w:eastAsia="楷体"/>
                <w:szCs w:val="21"/>
              </w:rPr>
              <w:t xml:space="preserve">审核员：王琳（微信、电话沟通） </w:t>
            </w:r>
            <w:r>
              <w:rPr>
                <w:rFonts w:ascii="楷体" w:hAnsi="楷体" w:eastAsia="楷体"/>
                <w:szCs w:val="21"/>
              </w:rPr>
              <w:t xml:space="preserve">                   </w:t>
            </w:r>
            <w:r>
              <w:rPr>
                <w:rFonts w:hint="eastAsia" w:ascii="楷体" w:hAnsi="楷体" w:eastAsia="楷体"/>
                <w:szCs w:val="21"/>
              </w:rPr>
              <w:t>审核时间：</w:t>
            </w:r>
            <w:r>
              <w:rPr>
                <w:rFonts w:ascii="楷体" w:hAnsi="楷体" w:eastAsia="楷体"/>
                <w:szCs w:val="21"/>
              </w:rPr>
              <w:t>2022年12月29日</w:t>
            </w:r>
          </w:p>
        </w:tc>
        <w:tc>
          <w:tcPr>
            <w:tcW w:w="627"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242" w:type="dxa"/>
            <w:vMerge w:val="continue"/>
            <w:vAlign w:val="center"/>
          </w:tcPr>
          <w:p/>
        </w:tc>
        <w:tc>
          <w:tcPr>
            <w:tcW w:w="851" w:type="dxa"/>
            <w:vMerge w:val="continue"/>
            <w:vAlign w:val="center"/>
          </w:tcPr>
          <w:p/>
        </w:tc>
        <w:tc>
          <w:tcPr>
            <w:tcW w:w="12049" w:type="dxa"/>
            <w:vAlign w:val="center"/>
          </w:tcPr>
          <w:p>
            <w:pPr>
              <w:tabs>
                <w:tab w:val="left" w:pos="7380"/>
              </w:tabs>
              <w:rPr>
                <w:rFonts w:ascii="楷体" w:hAnsi="楷体" w:eastAsia="楷体"/>
                <w:szCs w:val="21"/>
              </w:rPr>
            </w:pPr>
            <w:r>
              <w:rPr>
                <w:rFonts w:hint="eastAsia" w:ascii="楷体" w:hAnsi="楷体" w:eastAsia="楷体"/>
                <w:szCs w:val="21"/>
              </w:rPr>
              <w:t>审核条款：</w:t>
            </w:r>
            <w:r>
              <w:rPr>
                <w:rFonts w:ascii="楷体" w:hAnsi="楷体" w:eastAsia="楷体"/>
                <w:szCs w:val="21"/>
              </w:rPr>
              <w:t>EnMS:5.3/6.2/7.2/7.3/7.4/8.1/10.1</w:t>
            </w:r>
          </w:p>
          <w:p>
            <w:pPr>
              <w:tabs>
                <w:tab w:val="left" w:pos="7380"/>
              </w:tabs>
              <w:rPr>
                <w:rFonts w:ascii="楷体" w:hAnsi="楷体" w:eastAsia="楷体"/>
                <w:szCs w:val="21"/>
              </w:rPr>
            </w:pPr>
            <w:r>
              <w:rPr>
                <w:rFonts w:hint="eastAsia" w:ascii="楷体" w:hAnsi="楷体" w:eastAsia="楷体"/>
                <w:szCs w:val="21"/>
              </w:rPr>
              <w:t>、目标指标、人员能力、意识、信息沟通、运行控制、不符合纠正和纠正措施</w:t>
            </w:r>
          </w:p>
        </w:tc>
        <w:tc>
          <w:tcPr>
            <w:tcW w:w="627"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242" w:type="dxa"/>
            <w:vAlign w:val="center"/>
          </w:tcPr>
          <w:p>
            <w:r>
              <w:rPr>
                <w:rFonts w:hint="eastAsia" w:ascii="楷体" w:hAnsi="楷体" w:eastAsia="楷体"/>
                <w:szCs w:val="21"/>
              </w:rPr>
              <w:t>部门职责权限</w:t>
            </w:r>
          </w:p>
        </w:tc>
        <w:tc>
          <w:tcPr>
            <w:tcW w:w="851" w:type="dxa"/>
            <w:vAlign w:val="center"/>
          </w:tcPr>
          <w:p>
            <w:r>
              <w:rPr>
                <w:rFonts w:hint="eastAsia"/>
              </w:rPr>
              <w:t>En</w:t>
            </w:r>
            <w:r>
              <w:t>5.3</w:t>
            </w:r>
          </w:p>
        </w:tc>
        <w:tc>
          <w:tcPr>
            <w:tcW w:w="12049" w:type="dxa"/>
            <w:vAlign w:val="center"/>
          </w:tcPr>
          <w:p>
            <w:pPr>
              <w:pStyle w:val="13"/>
              <w:numPr>
                <w:ilvl w:val="0"/>
                <w:numId w:val="1"/>
              </w:numPr>
              <w:ind w:left="0" w:firstLine="0" w:firstLineChars="0"/>
              <w:rPr>
                <w:rFonts w:ascii="楷体" w:hAnsi="楷体" w:eastAsia="楷体"/>
                <w:szCs w:val="21"/>
              </w:rPr>
            </w:pPr>
            <w:r>
              <w:rPr>
                <w:rFonts w:hint="eastAsia" w:ascii="楷体" w:hAnsi="楷体" w:eastAsia="楷体"/>
                <w:szCs w:val="21"/>
              </w:rPr>
              <w:t>企业在《职责划分手册》（编号：</w:t>
            </w:r>
            <w:r>
              <w:rPr>
                <w:rFonts w:ascii="楷体" w:hAnsi="楷体" w:eastAsia="楷体"/>
                <w:szCs w:val="21"/>
              </w:rPr>
              <w:t>SJZLH-T1-005-2021</w:t>
            </w:r>
            <w:r>
              <w:rPr>
                <w:rFonts w:hint="eastAsia" w:ascii="楷体" w:hAnsi="楷体" w:eastAsia="楷体"/>
                <w:szCs w:val="21"/>
              </w:rPr>
              <w:t>，版本：</w:t>
            </w:r>
            <w:r>
              <w:rPr>
                <w:rFonts w:ascii="楷体" w:hAnsi="楷体" w:eastAsia="楷体"/>
                <w:szCs w:val="21"/>
              </w:rPr>
              <w:t>F/0</w:t>
            </w:r>
            <w:r>
              <w:rPr>
                <w:rFonts w:hint="eastAsia" w:ascii="楷体" w:hAnsi="楷体" w:eastAsia="楷体"/>
                <w:szCs w:val="21"/>
              </w:rPr>
              <w:t>，实施日期：2</w:t>
            </w:r>
            <w:r>
              <w:rPr>
                <w:rFonts w:ascii="楷体" w:hAnsi="楷体" w:eastAsia="楷体"/>
                <w:szCs w:val="21"/>
              </w:rPr>
              <w:t>022</w:t>
            </w:r>
            <w:r>
              <w:rPr>
                <w:rFonts w:hint="eastAsia" w:ascii="楷体" w:hAnsi="楷体" w:eastAsia="楷体"/>
                <w:szCs w:val="21"/>
              </w:rPr>
              <w:t>/1</w:t>
            </w:r>
            <w:r>
              <w:rPr>
                <w:rFonts w:ascii="楷体" w:hAnsi="楷体" w:eastAsia="楷体"/>
                <w:szCs w:val="21"/>
              </w:rPr>
              <w:t>2</w:t>
            </w:r>
            <w:r>
              <w:rPr>
                <w:rFonts w:hint="eastAsia" w:ascii="楷体" w:hAnsi="楷体" w:eastAsia="楷体"/>
                <w:szCs w:val="21"/>
              </w:rPr>
              <w:t>/</w:t>
            </w:r>
            <w:r>
              <w:rPr>
                <w:rFonts w:ascii="楷体" w:hAnsi="楷体" w:eastAsia="楷体"/>
                <w:szCs w:val="21"/>
              </w:rPr>
              <w:t>20</w:t>
            </w:r>
            <w:r>
              <w:rPr>
                <w:rFonts w:hint="eastAsia" w:ascii="楷体" w:hAnsi="楷体" w:eastAsia="楷体"/>
                <w:szCs w:val="21"/>
              </w:rPr>
              <w:t>）中规定了各部门的业务范围和工作职责。</w:t>
            </w:r>
          </w:p>
          <w:p>
            <w:pPr>
              <w:pStyle w:val="13"/>
              <w:numPr>
                <w:ilvl w:val="0"/>
                <w:numId w:val="1"/>
              </w:numPr>
              <w:ind w:left="34" w:firstLine="0" w:firstLineChars="0"/>
              <w:rPr>
                <w:rFonts w:ascii="楷体" w:hAnsi="楷体" w:eastAsia="楷体"/>
                <w:szCs w:val="21"/>
              </w:rPr>
            </w:pPr>
            <w:r>
              <w:rPr>
                <w:rFonts w:hint="eastAsia" w:ascii="楷体" w:hAnsi="楷体" w:eastAsia="楷体"/>
                <w:szCs w:val="21"/>
              </w:rPr>
              <w:t>部门负责人介绍，党委组织部（资源管理部）的业务主要分为干部管理、党建工作、人力资源、人事档案管理、综合事务五大板块，其中人力资源板块包括有劳动用工管理、全员绩效考核、业务外包管理、员工培训、技能鉴定等几大方面。对应各业务，部门设置有资源管理部经理、资源管理部副经理、干部管理、人事档案、党建管理、薪酬管理、业务外包管理、劳动管理、职位职称管理、劳动纪律管理、培训开发共计1</w:t>
            </w:r>
            <w:r>
              <w:rPr>
                <w:rFonts w:ascii="楷体" w:hAnsi="楷体" w:eastAsia="楷体"/>
                <w:szCs w:val="21"/>
              </w:rPr>
              <w:t>1</w:t>
            </w:r>
            <w:r>
              <w:rPr>
                <w:rFonts w:hint="eastAsia" w:ascii="楷体" w:hAnsi="楷体" w:eastAsia="楷体"/>
                <w:szCs w:val="21"/>
              </w:rPr>
              <w:t>各岗位。岗位职责分工明确，资源满足部门工作要求。</w:t>
            </w:r>
          </w:p>
        </w:tc>
        <w:tc>
          <w:tcPr>
            <w:tcW w:w="627" w:type="dxa"/>
            <w:vAlign w:val="center"/>
          </w:tcPr>
          <w:p>
            <w:pPr>
              <w:jc w:val="center"/>
            </w:pPr>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242" w:type="dxa"/>
            <w:vAlign w:val="center"/>
          </w:tcPr>
          <w:p>
            <w:pPr>
              <w:rPr>
                <w:rFonts w:ascii="楷体" w:hAnsi="楷体" w:eastAsia="楷体"/>
                <w:szCs w:val="21"/>
              </w:rPr>
            </w:pPr>
            <w:r>
              <w:rPr>
                <w:rFonts w:hint="eastAsia" w:ascii="楷体" w:hAnsi="楷体" w:eastAsia="楷体"/>
              </w:rPr>
              <w:t>目标指标</w:t>
            </w:r>
          </w:p>
        </w:tc>
        <w:tc>
          <w:tcPr>
            <w:tcW w:w="851" w:type="dxa"/>
            <w:vAlign w:val="center"/>
          </w:tcPr>
          <w:p>
            <w:pPr>
              <w:rPr>
                <w:highlight w:val="yellow"/>
              </w:rPr>
            </w:pPr>
            <w:r>
              <w:rPr>
                <w:rFonts w:hint="eastAsia" w:ascii="楷体" w:hAnsi="楷体" w:eastAsia="楷体"/>
              </w:rPr>
              <w:t>En</w:t>
            </w:r>
            <w:r>
              <w:rPr>
                <w:rFonts w:ascii="楷体" w:hAnsi="楷体" w:eastAsia="楷体"/>
              </w:rPr>
              <w:t>6.2</w:t>
            </w:r>
          </w:p>
        </w:tc>
        <w:tc>
          <w:tcPr>
            <w:tcW w:w="12049" w:type="dxa"/>
            <w:vAlign w:val="center"/>
          </w:tcPr>
          <w:p>
            <w:pPr>
              <w:pStyle w:val="13"/>
              <w:numPr>
                <w:ilvl w:val="0"/>
                <w:numId w:val="1"/>
              </w:numPr>
              <w:ind w:left="0" w:firstLine="0" w:firstLineChars="0"/>
              <w:rPr>
                <w:rFonts w:ascii="楷体" w:hAnsi="楷体" w:eastAsia="楷体"/>
                <w:szCs w:val="21"/>
              </w:rPr>
            </w:pPr>
            <w:r>
              <w:rPr>
                <w:rFonts w:hint="eastAsia" w:ascii="楷体" w:hAnsi="楷体" w:eastAsia="楷体"/>
                <w:szCs w:val="21"/>
              </w:rPr>
              <w:t>负责人介绍，公司和党委组织部（资源管理部）签订了2</w:t>
            </w:r>
            <w:r>
              <w:rPr>
                <w:rFonts w:ascii="楷体" w:hAnsi="楷体" w:eastAsia="楷体"/>
                <w:szCs w:val="21"/>
              </w:rPr>
              <w:t>022</w:t>
            </w:r>
            <w:r>
              <w:rPr>
                <w:rFonts w:hint="eastAsia" w:ascii="楷体" w:hAnsi="楷体" w:eastAsia="楷体"/>
                <w:szCs w:val="21"/>
              </w:rPr>
              <w:t>年绩效考核责任书，本部门与能源管理体系相关的绩效目标为：培训计划完成率≥</w:t>
            </w:r>
            <w:r>
              <w:rPr>
                <w:rFonts w:ascii="楷体" w:hAnsi="楷体" w:eastAsia="楷体"/>
                <w:szCs w:val="21"/>
              </w:rPr>
              <w:t>100%</w:t>
            </w:r>
            <w:r>
              <w:rPr>
                <w:rFonts w:hint="eastAsia" w:ascii="楷体" w:hAnsi="楷体" w:eastAsia="楷体"/>
                <w:szCs w:val="21"/>
              </w:rPr>
              <w:t>，培训合格率≥8</w:t>
            </w:r>
            <w:r>
              <w:rPr>
                <w:rFonts w:ascii="楷体" w:hAnsi="楷体" w:eastAsia="楷体"/>
                <w:szCs w:val="21"/>
              </w:rPr>
              <w:t>0%</w:t>
            </w:r>
            <w:r>
              <w:rPr>
                <w:rFonts w:hint="eastAsia" w:ascii="楷体" w:hAnsi="楷体" w:eastAsia="楷体"/>
                <w:szCs w:val="21"/>
              </w:rPr>
              <w:t>。目标为年度考核。</w:t>
            </w:r>
          </w:p>
          <w:p>
            <w:pPr>
              <w:pStyle w:val="13"/>
              <w:ind w:firstLine="0" w:firstLineChars="0"/>
              <w:rPr>
                <w:rFonts w:ascii="楷体" w:hAnsi="楷体" w:eastAsia="楷体"/>
                <w:szCs w:val="21"/>
              </w:rPr>
            </w:pPr>
            <w:r>
              <w:rPr>
                <w:rFonts w:hint="eastAsia" w:ascii="楷体" w:hAnsi="楷体" w:eastAsia="楷体"/>
                <w:szCs w:val="21"/>
              </w:rPr>
              <w:t>负责人介绍：2022年度培训计划发布、上传网络学院和培训在线后，党委组织部（资源管理部）开始按月跟盯督促落实，目前按进度100%完成。</w:t>
            </w:r>
          </w:p>
        </w:tc>
        <w:tc>
          <w:tcPr>
            <w:tcW w:w="627" w:type="dxa"/>
            <w:vAlign w:val="center"/>
          </w:tcPr>
          <w:p>
            <w:pPr>
              <w:jc w:val="center"/>
            </w:pPr>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242" w:type="dxa"/>
            <w:vAlign w:val="center"/>
          </w:tcPr>
          <w:p>
            <w:pPr>
              <w:rPr>
                <w:rFonts w:ascii="楷体" w:hAnsi="楷体" w:eastAsia="楷体"/>
              </w:rPr>
            </w:pPr>
            <w:r>
              <w:rPr>
                <w:rFonts w:hint="eastAsia" w:ascii="楷体" w:hAnsi="楷体" w:eastAsia="楷体"/>
              </w:rPr>
              <w:t>人员能力</w:t>
            </w:r>
          </w:p>
          <w:p>
            <w:pPr>
              <w:rPr>
                <w:rFonts w:ascii="楷体" w:hAnsi="楷体" w:eastAsia="楷体"/>
              </w:rPr>
            </w:pPr>
            <w:r>
              <w:rPr>
                <w:rFonts w:hint="eastAsia" w:ascii="楷体" w:hAnsi="楷体" w:eastAsia="楷体"/>
              </w:rPr>
              <w:t>意识</w:t>
            </w:r>
          </w:p>
        </w:tc>
        <w:tc>
          <w:tcPr>
            <w:tcW w:w="851" w:type="dxa"/>
            <w:vAlign w:val="center"/>
          </w:tcPr>
          <w:p>
            <w:pPr>
              <w:rPr>
                <w:rFonts w:ascii="楷体" w:hAnsi="楷体" w:eastAsia="楷体"/>
              </w:rPr>
            </w:pPr>
            <w:r>
              <w:rPr>
                <w:rFonts w:hint="eastAsia" w:ascii="楷体" w:hAnsi="楷体" w:eastAsia="楷体"/>
              </w:rPr>
              <w:t>En</w:t>
            </w:r>
            <w:r>
              <w:rPr>
                <w:rFonts w:ascii="楷体" w:hAnsi="楷体" w:eastAsia="楷体"/>
              </w:rPr>
              <w:t>7.2</w:t>
            </w:r>
          </w:p>
          <w:p>
            <w:pPr>
              <w:rPr>
                <w:rFonts w:ascii="楷体" w:hAnsi="楷体" w:eastAsia="楷体"/>
              </w:rPr>
            </w:pPr>
            <w:r>
              <w:rPr>
                <w:rFonts w:hint="eastAsia" w:ascii="楷体" w:hAnsi="楷体" w:eastAsia="楷体"/>
              </w:rPr>
              <w:t>En</w:t>
            </w:r>
            <w:r>
              <w:rPr>
                <w:rFonts w:ascii="楷体" w:hAnsi="楷体" w:eastAsia="楷体"/>
              </w:rPr>
              <w:t>7.3</w:t>
            </w:r>
          </w:p>
        </w:tc>
        <w:tc>
          <w:tcPr>
            <w:tcW w:w="12049" w:type="dxa"/>
            <w:vAlign w:val="center"/>
          </w:tcPr>
          <w:p>
            <w:pPr>
              <w:pStyle w:val="13"/>
              <w:numPr>
                <w:ilvl w:val="0"/>
                <w:numId w:val="1"/>
              </w:numPr>
              <w:ind w:left="0" w:firstLine="0" w:firstLineChars="0"/>
              <w:rPr>
                <w:rFonts w:ascii="楷体" w:hAnsi="楷体" w:eastAsia="楷体"/>
                <w:szCs w:val="21"/>
              </w:rPr>
            </w:pPr>
            <w:r>
              <w:rPr>
                <w:rFonts w:hint="eastAsia" w:ascii="楷体" w:hAnsi="楷体" w:eastAsia="楷体"/>
                <w:szCs w:val="21"/>
              </w:rPr>
              <w:t>部门负责人介绍公司通过加强相关培训，增强员工节能意识和能力，并身体力行。</w:t>
            </w:r>
          </w:p>
          <w:p>
            <w:pPr>
              <w:pStyle w:val="13"/>
              <w:numPr>
                <w:ilvl w:val="0"/>
                <w:numId w:val="1"/>
              </w:numPr>
              <w:ind w:left="0" w:firstLine="0" w:firstLineChars="0"/>
              <w:rPr>
                <w:rFonts w:ascii="楷体" w:hAnsi="楷体" w:eastAsia="楷体"/>
                <w:szCs w:val="21"/>
              </w:rPr>
            </w:pPr>
            <w:r>
              <w:rPr>
                <w:rFonts w:hint="eastAsia" w:ascii="楷体" w:hAnsi="楷体" w:eastAsia="楷体"/>
                <w:szCs w:val="21"/>
              </w:rPr>
              <w:t>对于人员培训，负责人介绍：各专业申报培训需求，经公司审定行成年度培训计划，培训中心统筹协调、督促检查培训计划落实。党委组织部（资源管理部）提供有《2022年度培训计划》。</w:t>
            </w:r>
          </w:p>
          <w:p>
            <w:pPr>
              <w:pStyle w:val="13"/>
              <w:numPr>
                <w:ilvl w:val="0"/>
                <w:numId w:val="1"/>
              </w:numPr>
              <w:ind w:left="0" w:firstLine="0" w:firstLineChars="0"/>
              <w:rPr>
                <w:rFonts w:ascii="楷体" w:hAnsi="楷体" w:eastAsia="楷体"/>
                <w:szCs w:val="21"/>
              </w:rPr>
            </w:pPr>
            <w:r>
              <w:rPr>
                <w:rFonts w:hint="eastAsia" w:ascii="楷体" w:hAnsi="楷体" w:eastAsia="楷体"/>
                <w:szCs w:val="21"/>
              </w:rPr>
              <w:t>对于耗能岗位相关人力资源控制，生产技术部制定有《培训矩阵》、矩阵表中规定了企业负责人、公司分管领导、中层正职、中层副职、基层正职、基层副职、生产工艺人员、班组长、值长、内操、外操人员应接受的培训课程。另提供有对应的培训记录。</w:t>
            </w:r>
          </w:p>
          <w:p>
            <w:pPr>
              <w:pStyle w:val="13"/>
              <w:ind w:firstLine="0" w:firstLineChars="0"/>
              <w:rPr>
                <w:rFonts w:ascii="楷体" w:hAnsi="楷体" w:eastAsia="楷体"/>
                <w:szCs w:val="21"/>
              </w:rPr>
            </w:pPr>
            <w:r>
              <w:rPr>
                <w:rFonts w:ascii="楷体" w:hAnsi="楷体" w:eastAsia="楷体"/>
                <w:szCs w:val="21"/>
              </w:rPr>
              <w:drawing>
                <wp:anchor distT="0" distB="0" distL="114300" distR="114300" simplePos="0" relativeHeight="251662336" behindDoc="1" locked="0" layoutInCell="1" allowOverlap="1">
                  <wp:simplePos x="0" y="0"/>
                  <wp:positionH relativeFrom="column">
                    <wp:posOffset>3730625</wp:posOffset>
                  </wp:positionH>
                  <wp:positionV relativeFrom="paragraph">
                    <wp:posOffset>361950</wp:posOffset>
                  </wp:positionV>
                  <wp:extent cx="2505075" cy="1879600"/>
                  <wp:effectExtent l="0" t="304800" r="0" b="292100"/>
                  <wp:wrapTight wrapText="bothSides">
                    <wp:wrapPolygon>
                      <wp:start x="68" y="21691"/>
                      <wp:lineTo x="21422" y="21691"/>
                      <wp:lineTo x="21422" y="237"/>
                      <wp:lineTo x="68" y="237"/>
                      <wp:lineTo x="68" y="21691"/>
                    </wp:wrapPolygon>
                  </wp:wrapTight>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rot="5400000">
                            <a:off x="0" y="0"/>
                            <a:ext cx="2505075" cy="1879600"/>
                          </a:xfrm>
                          <a:prstGeom prst="rect">
                            <a:avLst/>
                          </a:prstGeom>
                          <a:noFill/>
                          <a:ln>
                            <a:noFill/>
                          </a:ln>
                        </pic:spPr>
                      </pic:pic>
                    </a:graphicData>
                  </a:graphic>
                </wp:anchor>
              </w:drawing>
            </w:r>
            <w:r>
              <w:rPr>
                <w:rFonts w:ascii="楷体" w:hAnsi="楷体" w:eastAsia="楷体"/>
                <w:szCs w:val="21"/>
              </w:rPr>
              <w:drawing>
                <wp:inline distT="0" distB="0" distL="0" distR="0">
                  <wp:extent cx="1877060" cy="250317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891405" cy="2521958"/>
                          </a:xfrm>
                          <a:prstGeom prst="rect">
                            <a:avLst/>
                          </a:prstGeom>
                          <a:noFill/>
                          <a:ln>
                            <a:noFill/>
                          </a:ln>
                        </pic:spPr>
                      </pic:pic>
                    </a:graphicData>
                  </a:graphic>
                </wp:inline>
              </w:drawing>
            </w:r>
            <w:r>
              <w:rPr>
                <w:rFonts w:hint="eastAsia" w:ascii="楷体" w:hAnsi="楷体" w:eastAsia="楷体"/>
                <w:szCs w:val="21"/>
              </w:rPr>
              <w:t xml:space="preserve"> </w:t>
            </w:r>
            <w:r>
              <w:rPr>
                <w:rFonts w:ascii="楷体" w:hAnsi="楷体" w:eastAsia="楷体"/>
                <w:szCs w:val="21"/>
              </w:rPr>
              <w:drawing>
                <wp:inline distT="0" distB="0" distL="0" distR="0">
                  <wp:extent cx="1870710" cy="249491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899648" cy="2532949"/>
                          </a:xfrm>
                          <a:prstGeom prst="rect">
                            <a:avLst/>
                          </a:prstGeom>
                          <a:noFill/>
                          <a:ln>
                            <a:noFill/>
                          </a:ln>
                        </pic:spPr>
                      </pic:pic>
                    </a:graphicData>
                  </a:graphic>
                </wp:inline>
              </w:drawing>
            </w:r>
            <w:r>
              <w:rPr>
                <w:rFonts w:hint="eastAsia" w:ascii="楷体" w:hAnsi="楷体" w:eastAsia="楷体"/>
                <w:szCs w:val="21"/>
              </w:rPr>
              <w:t xml:space="preserve"> </w:t>
            </w:r>
          </w:p>
          <w:p>
            <w:pPr>
              <w:pStyle w:val="13"/>
              <w:ind w:firstLine="0" w:firstLineChars="0"/>
              <w:rPr>
                <w:rFonts w:ascii="楷体" w:hAnsi="楷体" w:eastAsia="楷体"/>
                <w:szCs w:val="21"/>
              </w:rPr>
            </w:pPr>
            <w:r>
              <w:drawing>
                <wp:inline distT="0" distB="0" distL="0" distR="0">
                  <wp:extent cx="1931670" cy="257556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939457" cy="2586030"/>
                          </a:xfrm>
                          <a:prstGeom prst="rect">
                            <a:avLst/>
                          </a:prstGeom>
                          <a:noFill/>
                          <a:ln>
                            <a:noFill/>
                          </a:ln>
                        </pic:spPr>
                      </pic:pic>
                    </a:graphicData>
                  </a:graphic>
                </wp:inline>
              </w:drawing>
            </w:r>
            <w:r>
              <w:rPr>
                <w:rFonts w:hint="eastAsia" w:ascii="楷体" w:hAnsi="楷体" w:eastAsia="楷体"/>
                <w:szCs w:val="21"/>
              </w:rPr>
              <w:t xml:space="preserve"> </w:t>
            </w:r>
            <w:r>
              <w:drawing>
                <wp:inline distT="0" distB="0" distL="0" distR="0">
                  <wp:extent cx="1909445" cy="25996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8" cstate="print">
                            <a:extLst>
                              <a:ext uri="{28A0092B-C50C-407E-A947-70E740481C1C}">
                                <a14:useLocalDpi xmlns:a14="http://schemas.microsoft.com/office/drawing/2010/main" val="0"/>
                              </a:ext>
                            </a:extLst>
                          </a:blip>
                          <a:srcRect t="3352" b="7329"/>
                          <a:stretch>
                            <a:fillRect/>
                          </a:stretch>
                        </pic:blipFill>
                        <pic:spPr>
                          <a:xfrm>
                            <a:off x="0" y="0"/>
                            <a:ext cx="1937421" cy="2637434"/>
                          </a:xfrm>
                          <a:prstGeom prst="rect">
                            <a:avLst/>
                          </a:prstGeom>
                          <a:noFill/>
                          <a:ln>
                            <a:noFill/>
                          </a:ln>
                        </pic:spPr>
                      </pic:pic>
                    </a:graphicData>
                  </a:graphic>
                </wp:inline>
              </w:drawing>
            </w:r>
            <w:r>
              <w:rPr>
                <w:rFonts w:ascii="楷体" w:hAnsi="楷体" w:eastAsia="楷体"/>
                <w:szCs w:val="21"/>
              </w:rPr>
              <w:t xml:space="preserve"> </w:t>
            </w:r>
            <w:r>
              <w:drawing>
                <wp:inline distT="0" distB="0" distL="0" distR="0">
                  <wp:extent cx="1851025" cy="25971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9" cstate="print">
                            <a:extLst>
                              <a:ext uri="{28A0092B-C50C-407E-A947-70E740481C1C}">
                                <a14:useLocalDpi xmlns:a14="http://schemas.microsoft.com/office/drawing/2010/main" val="0"/>
                              </a:ext>
                            </a:extLst>
                          </a:blip>
                          <a:srcRect t="4091" b="3537"/>
                          <a:stretch>
                            <a:fillRect/>
                          </a:stretch>
                        </pic:blipFill>
                        <pic:spPr>
                          <a:xfrm>
                            <a:off x="0" y="0"/>
                            <a:ext cx="1868763" cy="2621616"/>
                          </a:xfrm>
                          <a:prstGeom prst="rect">
                            <a:avLst/>
                          </a:prstGeom>
                          <a:noFill/>
                          <a:ln>
                            <a:noFill/>
                          </a:ln>
                        </pic:spPr>
                      </pic:pic>
                    </a:graphicData>
                  </a:graphic>
                </wp:inline>
              </w:drawing>
            </w:r>
          </w:p>
        </w:tc>
        <w:tc>
          <w:tcPr>
            <w:tcW w:w="627"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242" w:type="dxa"/>
            <w:vAlign w:val="center"/>
          </w:tcPr>
          <w:p>
            <w:pPr>
              <w:rPr>
                <w:rFonts w:ascii="楷体" w:hAnsi="楷体" w:eastAsia="楷体"/>
              </w:rPr>
            </w:pPr>
            <w:r>
              <w:rPr>
                <w:rFonts w:hint="eastAsia" w:ascii="楷体" w:hAnsi="楷体" w:eastAsia="楷体"/>
              </w:rPr>
              <w:t>沟通</w:t>
            </w:r>
          </w:p>
        </w:tc>
        <w:tc>
          <w:tcPr>
            <w:tcW w:w="851" w:type="dxa"/>
            <w:vAlign w:val="center"/>
          </w:tcPr>
          <w:p>
            <w:pPr>
              <w:rPr>
                <w:rFonts w:ascii="楷体" w:hAnsi="楷体" w:eastAsia="楷体"/>
              </w:rPr>
            </w:pPr>
            <w:r>
              <w:rPr>
                <w:rFonts w:hint="eastAsia" w:ascii="楷体" w:hAnsi="楷体" w:eastAsia="楷体"/>
              </w:rPr>
              <w:t>En</w:t>
            </w:r>
            <w:r>
              <w:rPr>
                <w:rFonts w:ascii="楷体" w:hAnsi="楷体" w:eastAsia="楷体"/>
              </w:rPr>
              <w:t>7.4</w:t>
            </w:r>
          </w:p>
        </w:tc>
        <w:tc>
          <w:tcPr>
            <w:tcW w:w="12049" w:type="dxa"/>
            <w:vAlign w:val="center"/>
          </w:tcPr>
          <w:p>
            <w:pPr>
              <w:pStyle w:val="13"/>
              <w:numPr>
                <w:ilvl w:val="0"/>
                <w:numId w:val="1"/>
              </w:numPr>
              <w:ind w:firstLineChars="0"/>
              <w:rPr>
                <w:rFonts w:ascii="楷体" w:hAnsi="楷体" w:eastAsia="楷体"/>
                <w:szCs w:val="21"/>
              </w:rPr>
            </w:pPr>
            <w:r>
              <w:rPr>
                <w:rFonts w:hint="eastAsia" w:ascii="楷体" w:hAnsi="楷体" w:eastAsia="楷体"/>
                <w:szCs w:val="21"/>
              </w:rPr>
              <w:t>部门负责人介绍，公司通过建立实施和保持适当的信息交流沟通、确保了公司内部以及与外部相关方的联系和回应、保证能源管理体系的有效运行、其中：</w:t>
            </w:r>
          </w:p>
          <w:p>
            <w:pPr>
              <w:pStyle w:val="13"/>
              <w:numPr>
                <w:ilvl w:val="0"/>
                <w:numId w:val="1"/>
              </w:numPr>
              <w:ind w:firstLineChars="0"/>
              <w:rPr>
                <w:rFonts w:ascii="楷体" w:hAnsi="楷体" w:eastAsia="楷体"/>
                <w:szCs w:val="21"/>
              </w:rPr>
            </w:pPr>
            <w:r>
              <w:rPr>
                <w:rFonts w:hint="eastAsia" w:ascii="楷体" w:hAnsi="楷体" w:eastAsia="楷体"/>
                <w:szCs w:val="21"/>
              </w:rPr>
              <w:t>----内部信息交流：法律法规、标准及其他要求、目标、指标及管理方案的实施、能源基准及能源绩效参数、体系运行的监测结果、内审和管理评审的结果，由运行保障中心传达到各部门；另内部能源体系宣传教育包括：节能形势政策；节约能源带来的社会和经济效益；交流节能技术；节能知识竞赛；组建节能小组；征集合理化建议；评选节能先进。</w:t>
            </w:r>
          </w:p>
          <w:p>
            <w:pPr>
              <w:pStyle w:val="13"/>
              <w:numPr>
                <w:ilvl w:val="0"/>
                <w:numId w:val="1"/>
              </w:numPr>
              <w:ind w:firstLineChars="0"/>
              <w:rPr>
                <w:rFonts w:ascii="楷体" w:hAnsi="楷体" w:eastAsia="楷体"/>
                <w:szCs w:val="21"/>
              </w:rPr>
            </w:pPr>
            <w:r>
              <w:rPr>
                <w:rFonts w:hint="eastAsia" w:ascii="楷体" w:hAnsi="楷体" w:eastAsia="楷体"/>
                <w:szCs w:val="21"/>
              </w:rPr>
              <w:t>----外部信息交流：从相关方收集、接收的能源供应信息及时传递给相关方；上级部门或相关方需要公司能源信息。</w:t>
            </w:r>
          </w:p>
          <w:p>
            <w:pPr>
              <w:pStyle w:val="13"/>
              <w:numPr>
                <w:ilvl w:val="0"/>
                <w:numId w:val="1"/>
              </w:numPr>
              <w:ind w:firstLineChars="0"/>
              <w:rPr>
                <w:rFonts w:ascii="楷体" w:hAnsi="楷体" w:eastAsia="楷体"/>
                <w:szCs w:val="21"/>
              </w:rPr>
            </w:pPr>
            <w:r>
              <w:rPr>
                <w:rFonts w:hint="eastAsia" w:ascii="楷体" w:hAnsi="楷体" w:eastAsia="楷体"/>
                <w:szCs w:val="21"/>
              </w:rPr>
              <w:t>----方式：电话、石化通、公文、邮件、专题会议、面谈、微信等。</w:t>
            </w:r>
          </w:p>
        </w:tc>
        <w:tc>
          <w:tcPr>
            <w:tcW w:w="627"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242" w:type="dxa"/>
            <w:vAlign w:val="center"/>
          </w:tcPr>
          <w:p>
            <w:pPr>
              <w:rPr>
                <w:rFonts w:ascii="楷体" w:hAnsi="楷体" w:eastAsia="楷体"/>
              </w:rPr>
            </w:pPr>
            <w:r>
              <w:rPr>
                <w:rFonts w:ascii="楷体" w:hAnsi="楷体" w:eastAsia="楷体"/>
              </w:rPr>
              <w:t>运行策划和控制</w:t>
            </w:r>
          </w:p>
        </w:tc>
        <w:tc>
          <w:tcPr>
            <w:tcW w:w="851" w:type="dxa"/>
            <w:vAlign w:val="center"/>
          </w:tcPr>
          <w:p>
            <w:pPr>
              <w:rPr>
                <w:rFonts w:ascii="楷体" w:hAnsi="楷体" w:eastAsia="楷体"/>
              </w:rPr>
            </w:pPr>
            <w:r>
              <w:rPr>
                <w:rFonts w:hint="eastAsia" w:ascii="楷体" w:hAnsi="楷体" w:eastAsia="楷体"/>
              </w:rPr>
              <w:t>E</w:t>
            </w:r>
            <w:r>
              <w:rPr>
                <w:rFonts w:ascii="楷体" w:hAnsi="楷体" w:eastAsia="楷体"/>
              </w:rPr>
              <w:t>n8.1</w:t>
            </w:r>
          </w:p>
        </w:tc>
        <w:tc>
          <w:tcPr>
            <w:tcW w:w="12049" w:type="dxa"/>
            <w:vAlign w:val="center"/>
          </w:tcPr>
          <w:p>
            <w:pPr>
              <w:pStyle w:val="13"/>
              <w:numPr>
                <w:ilvl w:val="0"/>
                <w:numId w:val="1"/>
              </w:numPr>
              <w:ind w:left="34" w:firstLine="0" w:firstLineChars="0"/>
              <w:rPr>
                <w:rFonts w:ascii="楷体" w:hAnsi="楷体" w:eastAsia="楷体"/>
                <w:szCs w:val="21"/>
              </w:rPr>
            </w:pPr>
            <w:r>
              <w:rPr>
                <w:rFonts w:hint="eastAsia" w:ascii="楷体" w:hAnsi="楷体" w:eastAsia="楷体"/>
                <w:szCs w:val="21"/>
              </w:rPr>
              <w:t>公司编制有《能源管理办法》（编号：SJZLH-1003-007-2018），用于指导企业各部门进行能源管理。</w:t>
            </w:r>
          </w:p>
          <w:p>
            <w:pPr>
              <w:pStyle w:val="13"/>
              <w:numPr>
                <w:ilvl w:val="0"/>
                <w:numId w:val="1"/>
              </w:numPr>
              <w:ind w:left="34" w:firstLine="0" w:firstLineChars="0"/>
              <w:rPr>
                <w:rFonts w:ascii="楷体" w:hAnsi="楷体" w:eastAsia="楷体"/>
                <w:szCs w:val="21"/>
              </w:rPr>
            </w:pPr>
            <w:r>
              <w:rPr>
                <w:rFonts w:hint="eastAsia" w:ascii="楷体" w:hAnsi="楷体" w:eastAsia="楷体"/>
                <w:szCs w:val="21"/>
              </w:rPr>
              <w:t>部门负责人介绍，党委组织部（资源管理部）业务主要是人员办公过程，耗能主要是办公设备消耗少量电力以及工作中消耗少量生活用水。</w:t>
            </w:r>
          </w:p>
          <w:p>
            <w:pPr>
              <w:pStyle w:val="13"/>
              <w:numPr>
                <w:ilvl w:val="0"/>
                <w:numId w:val="1"/>
              </w:numPr>
              <w:ind w:left="34" w:firstLine="0" w:firstLineChars="0"/>
              <w:rPr>
                <w:rFonts w:ascii="楷体" w:hAnsi="楷体" w:eastAsia="楷体"/>
                <w:szCs w:val="21"/>
              </w:rPr>
            </w:pPr>
            <w:r>
              <w:rPr>
                <w:rFonts w:hint="eastAsia" w:ascii="楷体" w:hAnsi="楷体" w:eastAsia="楷体"/>
                <w:szCs w:val="21"/>
              </w:rPr>
              <w:t>部门执行公司的节能制度要求：闲置房间要停止供应水、电、暖气等介质；有人活动的房间按规定使用空调设备，夏天设定温度不能低于26℃，冬天设定温度不能高于20℃，并做到人离开关闭空调，设备间空调设定温度不得低于设计温度；按要求时间停、开供暖；减少电脑、复印机、打印机等耗能设备的待机能耗，优先使用绿色节能照明灯具；杜绝长流水、长明灯现象，使用空调及暖气期间要关闭门窗。日常注意节水节电、节省办公过程中的能源消耗。</w:t>
            </w:r>
          </w:p>
        </w:tc>
        <w:tc>
          <w:tcPr>
            <w:tcW w:w="627" w:type="dxa"/>
            <w:vAlign w:val="center"/>
          </w:tcPr>
          <w:p>
            <w:pPr>
              <w:jc w:val="center"/>
            </w:pPr>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242" w:type="dxa"/>
            <w:vAlign w:val="center"/>
          </w:tcPr>
          <w:p>
            <w:pPr>
              <w:rPr>
                <w:rFonts w:ascii="楷体" w:hAnsi="楷体" w:eastAsia="楷体"/>
              </w:rPr>
            </w:pPr>
            <w:r>
              <w:rPr>
                <w:rFonts w:hint="eastAsia" w:ascii="楷体" w:hAnsi="楷体" w:eastAsia="楷体"/>
                <w:szCs w:val="21"/>
              </w:rPr>
              <w:t>不符合纠正和纠正措施</w:t>
            </w:r>
          </w:p>
        </w:tc>
        <w:tc>
          <w:tcPr>
            <w:tcW w:w="851" w:type="dxa"/>
            <w:vAlign w:val="center"/>
          </w:tcPr>
          <w:p>
            <w:pPr>
              <w:rPr>
                <w:rFonts w:ascii="楷体" w:hAnsi="楷体" w:eastAsia="楷体"/>
              </w:rPr>
            </w:pPr>
            <w:r>
              <w:rPr>
                <w:rFonts w:hint="eastAsia" w:ascii="楷体" w:hAnsi="楷体" w:eastAsia="楷体"/>
              </w:rPr>
              <w:t>E</w:t>
            </w:r>
            <w:r>
              <w:rPr>
                <w:rFonts w:ascii="楷体" w:hAnsi="楷体" w:eastAsia="楷体"/>
              </w:rPr>
              <w:t>n10.1</w:t>
            </w:r>
          </w:p>
        </w:tc>
        <w:tc>
          <w:tcPr>
            <w:tcW w:w="12049" w:type="dxa"/>
            <w:vAlign w:val="center"/>
          </w:tcPr>
          <w:p>
            <w:pPr>
              <w:pStyle w:val="13"/>
              <w:numPr>
                <w:ilvl w:val="0"/>
                <w:numId w:val="1"/>
              </w:numPr>
              <w:ind w:left="0" w:firstLine="0" w:firstLineChars="0"/>
              <w:rPr>
                <w:rFonts w:ascii="楷体" w:hAnsi="楷体" w:eastAsia="楷体"/>
                <w:szCs w:val="21"/>
              </w:rPr>
            </w:pPr>
            <w:r>
              <w:rPr>
                <w:rFonts w:hint="eastAsia" w:ascii="楷体" w:hAnsi="楷体" w:eastAsia="楷体"/>
                <w:szCs w:val="21"/>
              </w:rPr>
              <w:t>负责人介绍公司利用内外部检查/评价、相关方/客户投诉、抱怨等，识别公司各项活动中实际存在的或潜在的不符合项及由此产生的不利影响，查找原因采取适宜的纠正、纠正措施，以消除不符合的原因，防止不符合项的再次发生，减少或消除由此产生的不利影响，持续改进管理体系的有效性。</w:t>
            </w:r>
          </w:p>
        </w:tc>
        <w:tc>
          <w:tcPr>
            <w:tcW w:w="627" w:type="dxa"/>
            <w:vAlign w:val="center"/>
          </w:tcPr>
          <w:p>
            <w:pPr>
              <w:jc w:val="center"/>
            </w:pPr>
            <w:r>
              <w:rPr>
                <w:rFonts w:hint="eastAsia"/>
              </w:rPr>
              <w:t>Y</w:t>
            </w:r>
          </w:p>
        </w:tc>
      </w:tr>
    </w:tbl>
    <w:p>
      <w:pPr>
        <w:pStyle w:val="3"/>
      </w:pPr>
    </w:p>
    <w:p>
      <w:pPr>
        <w:pStyle w:val="3"/>
      </w:pPr>
      <w:r>
        <w:rPr>
          <w:rFonts w:hint="eastAsia"/>
        </w:rPr>
        <w:t>说明：不符合标注N</w:t>
      </w:r>
    </w:p>
    <w:p>
      <w:pPr>
        <w:pStyle w:val="3"/>
        <w:jc w:val="center"/>
        <w:rPr>
          <w:rFonts w:ascii="隶书" w:hAnsi="宋体" w:eastAsia="隶书"/>
          <w:bCs/>
          <w:color w:val="000000"/>
          <w:sz w:val="36"/>
          <w:szCs w:val="36"/>
        </w:rPr>
      </w:pPr>
      <w:r>
        <w:rPr>
          <w:rFonts w:ascii="隶书" w:hAnsi="宋体" w:eastAsia="隶书"/>
          <w:bCs/>
          <w:color w:val="000000"/>
          <w:sz w:val="36"/>
          <w:szCs w:val="36"/>
        </w:rPr>
        <w:br w:type="page"/>
      </w:r>
    </w:p>
    <w:p>
      <w:pPr>
        <w:pStyle w:val="3"/>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5"/>
        <w:tblW w:w="151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850"/>
        <w:gridCol w:w="12474"/>
        <w:gridCol w:w="7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101" w:type="dxa"/>
            <w:vMerge w:val="restart"/>
            <w:vAlign w:val="center"/>
          </w:tcPr>
          <w:p>
            <w:pPr>
              <w:tabs>
                <w:tab w:val="left" w:pos="7380"/>
              </w:tabs>
              <w:rPr>
                <w:rFonts w:ascii="楷体" w:hAnsi="楷体" w:eastAsia="楷体"/>
                <w:szCs w:val="21"/>
              </w:rPr>
            </w:pPr>
            <w:r>
              <w:rPr>
                <w:rFonts w:hint="eastAsia" w:ascii="楷体" w:hAnsi="楷体" w:eastAsia="楷体"/>
                <w:szCs w:val="21"/>
              </w:rPr>
              <w:t>过程与活动、抽样计划</w:t>
            </w:r>
          </w:p>
        </w:tc>
        <w:tc>
          <w:tcPr>
            <w:tcW w:w="850" w:type="dxa"/>
            <w:vMerge w:val="restart"/>
            <w:vAlign w:val="center"/>
          </w:tcPr>
          <w:p>
            <w:pPr>
              <w:tabs>
                <w:tab w:val="left" w:pos="7380"/>
              </w:tabs>
              <w:rPr>
                <w:rFonts w:ascii="楷体" w:hAnsi="楷体" w:eastAsia="楷体"/>
                <w:szCs w:val="21"/>
              </w:rPr>
            </w:pPr>
            <w:r>
              <w:rPr>
                <w:rFonts w:hint="eastAsia" w:ascii="楷体" w:hAnsi="楷体" w:eastAsia="楷体"/>
                <w:szCs w:val="21"/>
              </w:rPr>
              <w:t>涉及条款</w:t>
            </w:r>
          </w:p>
        </w:tc>
        <w:tc>
          <w:tcPr>
            <w:tcW w:w="12474" w:type="dxa"/>
            <w:vAlign w:val="center"/>
          </w:tcPr>
          <w:p>
            <w:pPr>
              <w:tabs>
                <w:tab w:val="left" w:pos="7380"/>
              </w:tabs>
              <w:rPr>
                <w:rFonts w:ascii="楷体" w:hAnsi="楷体" w:eastAsia="楷体"/>
                <w:szCs w:val="21"/>
              </w:rPr>
            </w:pPr>
            <w:r>
              <w:rPr>
                <w:rFonts w:hint="eastAsia" w:ascii="楷体" w:hAnsi="楷体" w:eastAsia="楷体"/>
                <w:szCs w:val="21"/>
              </w:rPr>
              <w:t>受审核部门：</w:t>
            </w:r>
            <w:bookmarkStart w:id="0" w:name="_Hlk123031968"/>
            <w:r>
              <w:rPr>
                <w:rFonts w:hint="eastAsia" w:ascii="楷体" w:hAnsi="楷体" w:eastAsia="楷体"/>
                <w:szCs w:val="21"/>
              </w:rPr>
              <w:t>物资采购中心</w:t>
            </w:r>
            <w:bookmarkEnd w:id="0"/>
            <w:r>
              <w:rPr>
                <w:rFonts w:hint="eastAsia" w:ascii="楷体" w:hAnsi="楷体" w:eastAsia="楷体"/>
                <w:szCs w:val="21"/>
              </w:rPr>
              <w:t xml:space="preserve"> </w:t>
            </w:r>
            <w:r>
              <w:rPr>
                <w:rFonts w:ascii="楷体" w:hAnsi="楷体" w:eastAsia="楷体"/>
                <w:szCs w:val="21"/>
              </w:rPr>
              <w:t xml:space="preserve">        </w:t>
            </w:r>
            <w:r>
              <w:rPr>
                <w:rFonts w:hint="eastAsia" w:ascii="楷体" w:hAnsi="楷体" w:eastAsia="楷体"/>
                <w:szCs w:val="21"/>
              </w:rPr>
              <w:t>负责人：叶晓江</w:t>
            </w:r>
            <w:r>
              <w:rPr>
                <w:rFonts w:ascii="楷体" w:hAnsi="楷体" w:eastAsia="楷体"/>
                <w:szCs w:val="21"/>
              </w:rPr>
              <w:t xml:space="preserve">               </w:t>
            </w:r>
            <w:r>
              <w:rPr>
                <w:rFonts w:hint="eastAsia" w:ascii="楷体" w:hAnsi="楷体" w:eastAsia="楷体"/>
                <w:szCs w:val="21"/>
              </w:rPr>
              <w:t>陪同人员：杨惠娇</w:t>
            </w:r>
          </w:p>
        </w:tc>
        <w:tc>
          <w:tcPr>
            <w:tcW w:w="769" w:type="dxa"/>
            <w:vMerge w:val="restart"/>
            <w:vAlign w:val="center"/>
          </w:tcPr>
          <w:p>
            <w:pPr>
              <w:tabs>
                <w:tab w:val="left" w:pos="7380"/>
              </w:tabs>
              <w:jc w:val="center"/>
              <w:rPr>
                <w:rFonts w:ascii="楷体" w:hAnsi="楷体" w:eastAsia="楷体"/>
                <w:szCs w:val="21"/>
              </w:rPr>
            </w:pPr>
            <w:r>
              <w:rPr>
                <w:rFonts w:hint="eastAsia" w:ascii="楷体" w:hAnsi="楷体" w:eastAsia="楷体"/>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101" w:type="dxa"/>
            <w:vMerge w:val="continue"/>
            <w:vAlign w:val="center"/>
          </w:tcPr>
          <w:p/>
        </w:tc>
        <w:tc>
          <w:tcPr>
            <w:tcW w:w="850" w:type="dxa"/>
            <w:vMerge w:val="continue"/>
            <w:vAlign w:val="center"/>
          </w:tcPr>
          <w:p/>
        </w:tc>
        <w:tc>
          <w:tcPr>
            <w:tcW w:w="12474" w:type="dxa"/>
            <w:vAlign w:val="center"/>
          </w:tcPr>
          <w:p>
            <w:pPr>
              <w:tabs>
                <w:tab w:val="left" w:pos="7380"/>
              </w:tabs>
              <w:rPr>
                <w:rFonts w:ascii="楷体" w:hAnsi="楷体" w:eastAsia="楷体"/>
                <w:szCs w:val="21"/>
              </w:rPr>
            </w:pPr>
            <w:r>
              <w:rPr>
                <w:rFonts w:hint="eastAsia" w:ascii="楷体" w:hAnsi="楷体" w:eastAsia="楷体"/>
                <w:szCs w:val="21"/>
              </w:rPr>
              <w:t xml:space="preserve">审核员：王琳（微信、电话沟通） </w:t>
            </w:r>
            <w:r>
              <w:rPr>
                <w:rFonts w:ascii="楷体" w:hAnsi="楷体" w:eastAsia="楷体"/>
                <w:szCs w:val="21"/>
              </w:rPr>
              <w:t xml:space="preserve">                   </w:t>
            </w:r>
            <w:r>
              <w:rPr>
                <w:rFonts w:hint="eastAsia" w:ascii="楷体" w:hAnsi="楷体" w:eastAsia="楷体"/>
                <w:szCs w:val="21"/>
              </w:rPr>
              <w:t>审核时间：</w:t>
            </w:r>
            <w:r>
              <w:rPr>
                <w:rFonts w:ascii="楷体" w:hAnsi="楷体" w:eastAsia="楷体"/>
                <w:szCs w:val="21"/>
              </w:rPr>
              <w:t>2022年12月29日</w:t>
            </w:r>
          </w:p>
        </w:tc>
        <w:tc>
          <w:tcPr>
            <w:tcW w:w="769"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101" w:type="dxa"/>
            <w:vMerge w:val="continue"/>
            <w:vAlign w:val="center"/>
          </w:tcPr>
          <w:p/>
        </w:tc>
        <w:tc>
          <w:tcPr>
            <w:tcW w:w="850" w:type="dxa"/>
            <w:vMerge w:val="continue"/>
            <w:vAlign w:val="center"/>
          </w:tcPr>
          <w:p/>
        </w:tc>
        <w:tc>
          <w:tcPr>
            <w:tcW w:w="12474" w:type="dxa"/>
            <w:vAlign w:val="center"/>
          </w:tcPr>
          <w:p>
            <w:pPr>
              <w:tabs>
                <w:tab w:val="left" w:pos="7380"/>
              </w:tabs>
              <w:rPr>
                <w:rFonts w:ascii="楷体" w:hAnsi="楷体" w:eastAsia="楷体"/>
                <w:szCs w:val="21"/>
              </w:rPr>
            </w:pPr>
            <w:r>
              <w:rPr>
                <w:rFonts w:hint="eastAsia" w:ascii="楷体" w:hAnsi="楷体" w:eastAsia="楷体"/>
                <w:szCs w:val="21"/>
              </w:rPr>
              <w:t>审核条款：</w:t>
            </w:r>
            <w:bookmarkStart w:id="1" w:name="_Hlk123031977"/>
            <w:r>
              <w:rPr>
                <w:rFonts w:ascii="楷体" w:hAnsi="楷体" w:eastAsia="楷体"/>
                <w:szCs w:val="21"/>
              </w:rPr>
              <w:t>EnMS:5.3/6.2/8.3/10.1</w:t>
            </w:r>
            <w:bookmarkEnd w:id="1"/>
          </w:p>
          <w:p>
            <w:pPr>
              <w:tabs>
                <w:tab w:val="left" w:pos="7380"/>
              </w:tabs>
              <w:rPr>
                <w:rFonts w:ascii="楷体" w:hAnsi="楷体" w:eastAsia="楷体"/>
                <w:szCs w:val="21"/>
              </w:rPr>
            </w:pPr>
          </w:p>
        </w:tc>
        <w:tc>
          <w:tcPr>
            <w:tcW w:w="769"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101" w:type="dxa"/>
            <w:vAlign w:val="center"/>
          </w:tcPr>
          <w:p>
            <w:r>
              <w:rPr>
                <w:rFonts w:hint="eastAsia" w:ascii="楷体" w:hAnsi="楷体" w:eastAsia="楷体"/>
                <w:szCs w:val="21"/>
              </w:rPr>
              <w:t>部门职责权限</w:t>
            </w:r>
          </w:p>
        </w:tc>
        <w:tc>
          <w:tcPr>
            <w:tcW w:w="850" w:type="dxa"/>
            <w:vAlign w:val="center"/>
          </w:tcPr>
          <w:p>
            <w:r>
              <w:rPr>
                <w:rFonts w:hint="eastAsia"/>
              </w:rPr>
              <w:t>En</w:t>
            </w:r>
            <w:r>
              <w:t>5.3</w:t>
            </w:r>
          </w:p>
        </w:tc>
        <w:tc>
          <w:tcPr>
            <w:tcW w:w="12474" w:type="dxa"/>
            <w:vAlign w:val="center"/>
          </w:tcPr>
          <w:p>
            <w:pPr>
              <w:pStyle w:val="13"/>
              <w:numPr>
                <w:ilvl w:val="0"/>
                <w:numId w:val="1"/>
              </w:numPr>
              <w:ind w:left="0" w:firstLine="0" w:firstLineChars="0"/>
              <w:rPr>
                <w:rFonts w:ascii="楷体" w:hAnsi="楷体" w:eastAsia="楷体"/>
                <w:szCs w:val="21"/>
              </w:rPr>
            </w:pPr>
            <w:r>
              <w:rPr>
                <w:rFonts w:hint="eastAsia" w:ascii="楷体" w:hAnsi="楷体" w:eastAsia="楷体"/>
                <w:szCs w:val="21"/>
              </w:rPr>
              <w:t>企业在《职责划分手册》（编号：SJZLH-T1-005-2021，版本：F/0，实施日期：2022/12/20）中规定了各部门的业务范围和工作职责。</w:t>
            </w:r>
          </w:p>
          <w:p>
            <w:pPr>
              <w:pStyle w:val="13"/>
              <w:numPr>
                <w:ilvl w:val="0"/>
                <w:numId w:val="1"/>
              </w:numPr>
              <w:ind w:left="0" w:firstLine="0" w:firstLineChars="0"/>
              <w:rPr>
                <w:rFonts w:ascii="楷体" w:hAnsi="楷体" w:eastAsia="楷体"/>
                <w:szCs w:val="21"/>
              </w:rPr>
            </w:pPr>
            <w:r>
              <w:rPr>
                <w:rFonts w:hint="eastAsia" w:ascii="楷体" w:hAnsi="楷体" w:eastAsia="楷体"/>
                <w:szCs w:val="21"/>
              </w:rPr>
              <w:t>负责人介绍物资采购中心主要职责为：负责制定并持续完善《物资绿色采购管理办法》；负责采购符合相关要求标准和规范的节能型工艺设备，优先采购国家节能推荐名录和绿色低碳的产品，参与节能设备选型，优化采购方案，优选高效节能设备，实现全生命周期总成本最低，禁止采购国家明令淘汰落后的产品；机泵类转动设备采购，要将设备效率列为关键指标，采购时充分考虑设备效率对全生命周期费用的影响，确保设备长周期稳定运行；塔盘、冷换类静设备的采购，要充分考虑设备对装置能效的影响，要将采购费用节约与装置运行总成本相关联，提高设备运行综合效率。提供涉及碳盘查及核查的相关采购、外发凭证及数据整理工作。 负责按照中国石化相关制度和规范，对合同能源管理项目的物资采购进行监督和管理。</w:t>
            </w:r>
          </w:p>
          <w:p>
            <w:pPr>
              <w:pStyle w:val="13"/>
              <w:numPr>
                <w:ilvl w:val="0"/>
                <w:numId w:val="1"/>
              </w:numPr>
              <w:ind w:left="0" w:firstLine="0" w:firstLineChars="0"/>
              <w:rPr>
                <w:rFonts w:ascii="楷体" w:hAnsi="楷体" w:eastAsia="楷体"/>
                <w:szCs w:val="21"/>
              </w:rPr>
            </w:pPr>
            <w:r>
              <w:rPr>
                <w:rFonts w:hint="eastAsia" w:ascii="楷体" w:hAnsi="楷体" w:eastAsia="楷体"/>
                <w:szCs w:val="21"/>
              </w:rPr>
              <w:t>负责人介绍部门设置仓储管理、价格管理、招标（供应资源管理）、采购、计划、过程控制、保管员等30个具体岗位，岗位分工明确、职责清晰，人员能够满足部门工作需要。</w:t>
            </w:r>
          </w:p>
        </w:tc>
        <w:tc>
          <w:tcPr>
            <w:tcW w:w="769" w:type="dxa"/>
            <w:vAlign w:val="center"/>
          </w:tcPr>
          <w:p>
            <w:pPr>
              <w:jc w:val="center"/>
            </w:pPr>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101" w:type="dxa"/>
            <w:vAlign w:val="center"/>
          </w:tcPr>
          <w:p>
            <w:pPr>
              <w:rPr>
                <w:rFonts w:ascii="楷体" w:hAnsi="楷体" w:eastAsia="楷体"/>
                <w:szCs w:val="21"/>
              </w:rPr>
            </w:pPr>
            <w:r>
              <w:rPr>
                <w:rFonts w:hint="eastAsia" w:ascii="楷体" w:hAnsi="楷体" w:eastAsia="楷体"/>
              </w:rPr>
              <w:t>目标指标</w:t>
            </w:r>
          </w:p>
        </w:tc>
        <w:tc>
          <w:tcPr>
            <w:tcW w:w="850" w:type="dxa"/>
            <w:vAlign w:val="center"/>
          </w:tcPr>
          <w:p>
            <w:pPr>
              <w:rPr>
                <w:highlight w:val="yellow"/>
              </w:rPr>
            </w:pPr>
            <w:r>
              <w:rPr>
                <w:rFonts w:hint="eastAsia" w:ascii="楷体" w:hAnsi="楷体" w:eastAsia="楷体"/>
              </w:rPr>
              <w:t>En</w:t>
            </w:r>
            <w:r>
              <w:rPr>
                <w:rFonts w:ascii="楷体" w:hAnsi="楷体" w:eastAsia="楷体"/>
              </w:rPr>
              <w:t>6.2</w:t>
            </w:r>
          </w:p>
        </w:tc>
        <w:tc>
          <w:tcPr>
            <w:tcW w:w="12474" w:type="dxa"/>
            <w:vAlign w:val="center"/>
          </w:tcPr>
          <w:p>
            <w:pPr>
              <w:pStyle w:val="13"/>
              <w:numPr>
                <w:ilvl w:val="0"/>
                <w:numId w:val="1"/>
              </w:numPr>
              <w:ind w:left="0" w:firstLine="0" w:firstLineChars="0"/>
              <w:rPr>
                <w:rFonts w:ascii="楷体" w:hAnsi="楷体" w:eastAsia="楷体"/>
                <w:szCs w:val="21"/>
              </w:rPr>
            </w:pPr>
            <w:r>
              <w:rPr>
                <w:rFonts w:hint="eastAsia" w:ascii="楷体" w:hAnsi="楷体" w:eastAsia="楷体"/>
                <w:szCs w:val="21"/>
              </w:rPr>
              <w:t>负责人介绍，物资采购部是职能部门，不涉及生产，公司未分配能源目标指标到本部门。</w:t>
            </w:r>
          </w:p>
        </w:tc>
        <w:tc>
          <w:tcPr>
            <w:tcW w:w="769" w:type="dxa"/>
            <w:vAlign w:val="center"/>
          </w:tcPr>
          <w:p>
            <w:pPr>
              <w:jc w:val="center"/>
            </w:pPr>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101" w:type="dxa"/>
            <w:vAlign w:val="center"/>
          </w:tcPr>
          <w:p>
            <w:pPr>
              <w:rPr>
                <w:rFonts w:ascii="楷体" w:hAnsi="楷体" w:eastAsia="楷体"/>
              </w:rPr>
            </w:pPr>
            <w:bookmarkStart w:id="2" w:name="_Hlk123032019"/>
            <w:r>
              <w:rPr>
                <w:rFonts w:hint="eastAsia" w:ascii="楷体" w:hAnsi="楷体" w:eastAsia="楷体"/>
              </w:rPr>
              <w:t>能源（蒸汽）采购及用能设备采购</w:t>
            </w:r>
            <w:bookmarkEnd w:id="2"/>
          </w:p>
        </w:tc>
        <w:tc>
          <w:tcPr>
            <w:tcW w:w="850" w:type="dxa"/>
            <w:vAlign w:val="center"/>
          </w:tcPr>
          <w:p>
            <w:pPr>
              <w:rPr>
                <w:rFonts w:ascii="楷体" w:hAnsi="楷体" w:eastAsia="楷体"/>
              </w:rPr>
            </w:pPr>
            <w:r>
              <w:rPr>
                <w:rFonts w:hint="eastAsia" w:ascii="楷体" w:hAnsi="楷体" w:eastAsia="楷体"/>
              </w:rPr>
              <w:t>E</w:t>
            </w:r>
            <w:r>
              <w:rPr>
                <w:rFonts w:ascii="楷体" w:hAnsi="楷体" w:eastAsia="楷体"/>
              </w:rPr>
              <w:t>n8.3</w:t>
            </w:r>
          </w:p>
        </w:tc>
        <w:tc>
          <w:tcPr>
            <w:tcW w:w="12474" w:type="dxa"/>
            <w:vAlign w:val="center"/>
          </w:tcPr>
          <w:p>
            <w:pPr>
              <w:pStyle w:val="13"/>
              <w:numPr>
                <w:ilvl w:val="0"/>
                <w:numId w:val="1"/>
              </w:numPr>
              <w:ind w:left="0" w:firstLine="0" w:firstLineChars="0"/>
              <w:rPr>
                <w:rFonts w:ascii="楷体" w:hAnsi="楷体" w:eastAsia="楷体"/>
                <w:szCs w:val="21"/>
              </w:rPr>
            </w:pPr>
            <w:r>
              <w:rPr>
                <w:rFonts w:hint="eastAsia" w:ascii="楷体" w:hAnsi="楷体" w:eastAsia="楷体"/>
                <w:szCs w:val="21"/>
              </w:rPr>
              <w:t>关于</w:t>
            </w:r>
            <w:r>
              <w:rPr>
                <w:rFonts w:hint="eastAsia" w:ascii="楷体" w:hAnsi="楷体" w:eastAsia="楷体"/>
                <w:b/>
                <w:bCs/>
                <w:szCs w:val="21"/>
              </w:rPr>
              <w:t>蒸汽采购</w:t>
            </w:r>
            <w:r>
              <w:rPr>
                <w:rFonts w:hint="eastAsia" w:ascii="楷体" w:hAnsi="楷体" w:eastAsia="楷体"/>
                <w:szCs w:val="21"/>
              </w:rPr>
              <w:t>工作，负责人介绍，蒸汽采购依据公司需求计划、《物资采购供应管理规定》等制度要求、按流程（框架协议、招标或联合谈判）进行采购。作为运行证据，提供有同晋煤金石化工投资集团有限公司签订的《供用热框架协议》。</w:t>
            </w:r>
          </w:p>
          <w:p>
            <w:pPr>
              <w:pStyle w:val="13"/>
              <w:ind w:firstLine="0" w:firstLineChars="0"/>
              <w:rPr>
                <w:rFonts w:ascii="楷体" w:hAnsi="楷体" w:eastAsia="楷体"/>
                <w:szCs w:val="21"/>
              </w:rPr>
            </w:pPr>
            <w:r>
              <w:rPr>
                <w:rFonts w:ascii="楷体" w:hAnsi="楷体" w:eastAsia="楷体"/>
                <w:szCs w:val="21"/>
              </w:rPr>
              <w:drawing>
                <wp:inline distT="0" distB="0" distL="0" distR="0">
                  <wp:extent cx="2327275" cy="1946910"/>
                  <wp:effectExtent l="0" t="0" r="9525" b="889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0"/>
                          <a:stretch>
                            <a:fillRect/>
                          </a:stretch>
                        </pic:blipFill>
                        <pic:spPr>
                          <a:xfrm>
                            <a:off x="0" y="0"/>
                            <a:ext cx="2327275" cy="1946910"/>
                          </a:xfrm>
                          <a:prstGeom prst="rect">
                            <a:avLst/>
                          </a:prstGeom>
                        </pic:spPr>
                      </pic:pic>
                    </a:graphicData>
                  </a:graphic>
                </wp:inline>
              </w:drawing>
            </w:r>
            <w:r>
              <w:rPr>
                <w:rFonts w:ascii="楷体" w:hAnsi="楷体" w:eastAsia="楷体"/>
                <w:szCs w:val="21"/>
              </w:rPr>
              <w:t xml:space="preserve">    </w:t>
            </w:r>
            <w:r>
              <w:rPr>
                <w:rFonts w:ascii="楷体" w:hAnsi="楷体" w:eastAsia="楷体"/>
                <w:szCs w:val="21"/>
              </w:rPr>
              <w:drawing>
                <wp:inline distT="0" distB="0" distL="0" distR="0">
                  <wp:extent cx="2076450" cy="1888490"/>
                  <wp:effectExtent l="0" t="0" r="6350" b="381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1" cstate="print">
                            <a:extLst>
                              <a:ext uri="{BEBA8EAE-BF5A-486C-A8C5-ECC9F3942E4B}">
                                <a14:imgProps xmlns:a14="http://schemas.microsoft.com/office/drawing/2010/main">
                                  <a14:imgLayer r:embed="rId22">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a:xfrm>
                            <a:off x="0" y="0"/>
                            <a:ext cx="2076450" cy="1888490"/>
                          </a:xfrm>
                          <a:prstGeom prst="rect">
                            <a:avLst/>
                          </a:prstGeom>
                          <a:noFill/>
                          <a:ln>
                            <a:noFill/>
                          </a:ln>
                        </pic:spPr>
                      </pic:pic>
                    </a:graphicData>
                  </a:graphic>
                </wp:inline>
              </w:drawing>
            </w:r>
            <w:r>
              <w:rPr>
                <w:rFonts w:hint="eastAsia" w:ascii="楷体" w:hAnsi="楷体" w:eastAsia="楷体"/>
                <w:szCs w:val="21"/>
              </w:rPr>
              <w:t xml:space="preserve"> </w:t>
            </w:r>
          </w:p>
          <w:p>
            <w:pPr>
              <w:pStyle w:val="13"/>
              <w:numPr>
                <w:ilvl w:val="0"/>
                <w:numId w:val="1"/>
              </w:numPr>
              <w:ind w:left="0" w:firstLine="0" w:firstLineChars="0"/>
              <w:rPr>
                <w:rFonts w:ascii="楷体" w:hAnsi="楷体" w:eastAsia="楷体"/>
                <w:szCs w:val="21"/>
              </w:rPr>
            </w:pPr>
            <w:r>
              <w:rPr>
                <w:rFonts w:hint="eastAsia" w:ascii="楷体" w:hAnsi="楷体" w:eastAsia="楷体"/>
                <w:szCs w:val="21"/>
              </w:rPr>
              <w:t>关于用能设备采购工作，负责人介绍：使用单位负责提报需求计划，明确采购技术标准及绿色采购要求，在技术要求/协议中，将机泵类转动设备的设备效率列为关键指标；需求计划审核部门负责对需求计划物资的采购技术标准、能效指标及其他绿色采购要求进行审核；物资采购中心执行具体采购，关注节能相关法规及要求，在价格成本分析时关注设备效率关键指标，充分考虑设备效率对全生命周期费用的影响，确保设备长周期稳定运行。作为运行证据，提供有2</w:t>
            </w:r>
            <w:r>
              <w:rPr>
                <w:rFonts w:ascii="楷体" w:hAnsi="楷体" w:eastAsia="楷体"/>
                <w:szCs w:val="21"/>
              </w:rPr>
              <w:t>022</w:t>
            </w:r>
            <w:r>
              <w:rPr>
                <w:rFonts w:hint="eastAsia" w:ascii="楷体" w:hAnsi="楷体" w:eastAsia="楷体"/>
                <w:szCs w:val="21"/>
              </w:rPr>
              <w:t>年5月签订的冲洗泵（P</w:t>
            </w:r>
            <w:r>
              <w:rPr>
                <w:rFonts w:ascii="楷体" w:hAnsi="楷体" w:eastAsia="楷体"/>
                <w:szCs w:val="21"/>
              </w:rPr>
              <w:t>-601A</w:t>
            </w:r>
            <w:r>
              <w:rPr>
                <w:rFonts w:hint="eastAsia" w:ascii="楷体" w:hAnsi="楷体" w:eastAsia="楷体"/>
                <w:szCs w:val="21"/>
              </w:rPr>
              <w:t>/</w:t>
            </w:r>
            <w:r>
              <w:rPr>
                <w:rFonts w:ascii="楷体" w:hAnsi="楷体" w:eastAsia="楷体"/>
                <w:szCs w:val="21"/>
              </w:rPr>
              <w:t>B</w:t>
            </w:r>
            <w:r>
              <w:rPr>
                <w:rFonts w:hint="eastAsia" w:ascii="楷体" w:hAnsi="楷体" w:eastAsia="楷体"/>
                <w:szCs w:val="21"/>
              </w:rPr>
              <w:t>）的技术协议。</w:t>
            </w:r>
          </w:p>
          <w:p>
            <w:pPr>
              <w:pStyle w:val="13"/>
              <w:ind w:firstLine="0" w:firstLineChars="0"/>
              <w:rPr>
                <w:rFonts w:ascii="楷体" w:hAnsi="楷体" w:eastAsia="楷体"/>
                <w:szCs w:val="21"/>
              </w:rPr>
            </w:pPr>
            <w:r>
              <w:rPr>
                <w:rFonts w:ascii="楷体" w:hAnsi="楷体" w:eastAsia="楷体"/>
                <w:szCs w:val="21"/>
              </w:rPr>
              <w:drawing>
                <wp:inline distT="0" distB="0" distL="0" distR="0">
                  <wp:extent cx="2096770" cy="2316480"/>
                  <wp:effectExtent l="0" t="0" r="11430" b="762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3"/>
                          <a:stretch>
                            <a:fillRect/>
                          </a:stretch>
                        </pic:blipFill>
                        <pic:spPr>
                          <a:xfrm>
                            <a:off x="0" y="0"/>
                            <a:ext cx="2096770" cy="2316480"/>
                          </a:xfrm>
                          <a:prstGeom prst="rect">
                            <a:avLst/>
                          </a:prstGeom>
                        </pic:spPr>
                      </pic:pic>
                    </a:graphicData>
                  </a:graphic>
                </wp:inline>
              </w:drawing>
            </w:r>
            <w:r>
              <w:rPr>
                <w:rFonts w:hint="eastAsia" w:ascii="楷体" w:hAnsi="楷体" w:eastAsia="楷体"/>
                <w:szCs w:val="21"/>
              </w:rPr>
              <w:t xml:space="preserve"> </w:t>
            </w:r>
            <w:r>
              <w:rPr>
                <w:rFonts w:ascii="楷体" w:hAnsi="楷体" w:eastAsia="楷体"/>
                <w:szCs w:val="21"/>
              </w:rPr>
              <w:t xml:space="preserve">    </w:t>
            </w:r>
            <w:bookmarkStart w:id="9" w:name="_GoBack"/>
            <w:r>
              <w:rPr>
                <w:rFonts w:ascii="楷体" w:hAnsi="楷体" w:eastAsia="楷体"/>
                <w:szCs w:val="21"/>
              </w:rPr>
              <w:drawing>
                <wp:inline distT="0" distB="0" distL="0" distR="0">
                  <wp:extent cx="2216785" cy="2245995"/>
                  <wp:effectExtent l="0" t="0" r="5715" b="190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4"/>
                          <a:stretch>
                            <a:fillRect/>
                          </a:stretch>
                        </pic:blipFill>
                        <pic:spPr>
                          <a:xfrm>
                            <a:off x="0" y="0"/>
                            <a:ext cx="2216785" cy="2245995"/>
                          </a:xfrm>
                          <a:prstGeom prst="rect">
                            <a:avLst/>
                          </a:prstGeom>
                        </pic:spPr>
                      </pic:pic>
                    </a:graphicData>
                  </a:graphic>
                </wp:inline>
              </w:drawing>
            </w:r>
            <w:bookmarkEnd w:id="9"/>
          </w:p>
        </w:tc>
        <w:tc>
          <w:tcPr>
            <w:tcW w:w="769" w:type="dxa"/>
            <w:vAlign w:val="center"/>
          </w:tcPr>
          <w:p>
            <w:pPr>
              <w:jc w:val="center"/>
            </w:pPr>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101" w:type="dxa"/>
            <w:tcBorders>
              <w:top w:val="single" w:color="auto" w:sz="4" w:space="0"/>
              <w:left w:val="single" w:color="auto" w:sz="4" w:space="0"/>
              <w:bottom w:val="single" w:color="auto" w:sz="4" w:space="0"/>
              <w:right w:val="single" w:color="auto" w:sz="4" w:space="0"/>
            </w:tcBorders>
            <w:vAlign w:val="center"/>
          </w:tcPr>
          <w:p>
            <w:pPr>
              <w:rPr>
                <w:rFonts w:ascii="楷体" w:hAnsi="楷体" w:eastAsia="楷体"/>
              </w:rPr>
            </w:pPr>
            <w:r>
              <w:rPr>
                <w:rFonts w:hint="eastAsia" w:ascii="楷体" w:hAnsi="楷体" w:eastAsia="楷体"/>
              </w:rPr>
              <w:t>不符合纠正和纠正措施</w:t>
            </w:r>
          </w:p>
        </w:tc>
        <w:tc>
          <w:tcPr>
            <w:tcW w:w="850" w:type="dxa"/>
            <w:tcBorders>
              <w:top w:val="single" w:color="auto" w:sz="4" w:space="0"/>
              <w:left w:val="single" w:color="auto" w:sz="4" w:space="0"/>
              <w:bottom w:val="single" w:color="auto" w:sz="4" w:space="0"/>
              <w:right w:val="single" w:color="auto" w:sz="4" w:space="0"/>
            </w:tcBorders>
            <w:vAlign w:val="center"/>
          </w:tcPr>
          <w:p>
            <w:pPr>
              <w:rPr>
                <w:rFonts w:ascii="楷体" w:hAnsi="楷体" w:eastAsia="楷体"/>
              </w:rPr>
            </w:pPr>
            <w:r>
              <w:rPr>
                <w:rFonts w:hint="eastAsia" w:ascii="楷体" w:hAnsi="楷体" w:eastAsia="楷体"/>
              </w:rPr>
              <w:t>E</w:t>
            </w:r>
            <w:r>
              <w:rPr>
                <w:rFonts w:ascii="楷体" w:hAnsi="楷体" w:eastAsia="楷体"/>
              </w:rPr>
              <w:t>n10.1</w:t>
            </w:r>
          </w:p>
        </w:tc>
        <w:tc>
          <w:tcPr>
            <w:tcW w:w="12474" w:type="dxa"/>
            <w:tcBorders>
              <w:top w:val="single" w:color="auto" w:sz="4" w:space="0"/>
              <w:left w:val="single" w:color="auto" w:sz="4" w:space="0"/>
              <w:bottom w:val="single" w:color="auto" w:sz="4" w:space="0"/>
              <w:right w:val="single" w:color="auto" w:sz="4" w:space="0"/>
            </w:tcBorders>
            <w:vAlign w:val="center"/>
          </w:tcPr>
          <w:p>
            <w:pPr>
              <w:pStyle w:val="13"/>
              <w:numPr>
                <w:ilvl w:val="0"/>
                <w:numId w:val="1"/>
              </w:numPr>
              <w:ind w:left="0" w:firstLine="0" w:firstLineChars="0"/>
              <w:rPr>
                <w:rFonts w:ascii="楷体" w:hAnsi="楷体" w:eastAsia="楷体"/>
                <w:szCs w:val="21"/>
              </w:rPr>
            </w:pPr>
            <w:r>
              <w:rPr>
                <w:rFonts w:hint="eastAsia" w:ascii="楷体" w:hAnsi="楷体" w:eastAsia="楷体"/>
                <w:szCs w:val="21"/>
              </w:rPr>
              <w:t>负责人介绍公司利用内外部检查/评价、相关方/客户投诉、抱怨等，识别公司各项活动中实际存在的或潜在的不符合项及由此产生的不利影响，查找原因采取适宜的纠正、纠正措施，以消除不符合的原因，防止不符合项的再次发生，减少或消除由此产生的不利影响，持续改进管理体系的有效性。</w:t>
            </w:r>
          </w:p>
        </w:tc>
        <w:tc>
          <w:tcPr>
            <w:tcW w:w="769"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Y</w:t>
            </w:r>
          </w:p>
        </w:tc>
      </w:tr>
    </w:tbl>
    <w:p>
      <w:pPr>
        <w:pStyle w:val="3"/>
      </w:pPr>
      <w:r>
        <w:rPr>
          <w:rFonts w:hint="eastAsia"/>
        </w:rPr>
        <w:t>说明：不符合标注N</w:t>
      </w:r>
    </w:p>
    <w:p>
      <w:pPr>
        <w:pStyle w:val="3"/>
      </w:pPr>
    </w:p>
    <w:p>
      <w:pPr>
        <w:pStyle w:val="3"/>
      </w:pPr>
    </w:p>
    <w:p>
      <w:pPr>
        <w:pStyle w:val="3"/>
      </w:pPr>
    </w:p>
    <w:p>
      <w:pPr>
        <w:pStyle w:val="3"/>
        <w:jc w:val="center"/>
        <w:rPr>
          <w:rFonts w:ascii="隶书" w:hAnsi="宋体" w:eastAsia="隶书"/>
          <w:bCs/>
          <w:color w:val="000000"/>
          <w:sz w:val="36"/>
          <w:szCs w:val="36"/>
        </w:rPr>
      </w:pPr>
      <w:r>
        <w:rPr>
          <w:rFonts w:ascii="隶书" w:hAnsi="宋体" w:eastAsia="隶书"/>
          <w:bCs/>
          <w:color w:val="000000"/>
          <w:sz w:val="36"/>
          <w:szCs w:val="36"/>
        </w:rPr>
        <w:br w:type="page"/>
      </w:r>
    </w:p>
    <w:p>
      <w:pPr>
        <w:pStyle w:val="3"/>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5"/>
        <w:tblW w:w="149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1134"/>
        <w:gridCol w:w="11907"/>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242" w:type="dxa"/>
            <w:vMerge w:val="restart"/>
            <w:vAlign w:val="center"/>
          </w:tcPr>
          <w:p>
            <w:pPr>
              <w:tabs>
                <w:tab w:val="left" w:pos="7380"/>
              </w:tabs>
              <w:rPr>
                <w:rFonts w:ascii="楷体" w:hAnsi="楷体" w:eastAsia="楷体"/>
                <w:szCs w:val="21"/>
              </w:rPr>
            </w:pPr>
            <w:r>
              <w:rPr>
                <w:rFonts w:hint="eastAsia" w:ascii="楷体" w:hAnsi="楷体" w:eastAsia="楷体"/>
                <w:szCs w:val="21"/>
              </w:rPr>
              <w:t>过程与活动、抽样计划</w:t>
            </w:r>
          </w:p>
        </w:tc>
        <w:tc>
          <w:tcPr>
            <w:tcW w:w="1134" w:type="dxa"/>
            <w:vMerge w:val="restart"/>
            <w:vAlign w:val="center"/>
          </w:tcPr>
          <w:p>
            <w:pPr>
              <w:tabs>
                <w:tab w:val="left" w:pos="7380"/>
              </w:tabs>
              <w:rPr>
                <w:rFonts w:ascii="楷体" w:hAnsi="楷体" w:eastAsia="楷体"/>
                <w:szCs w:val="21"/>
              </w:rPr>
            </w:pPr>
            <w:r>
              <w:rPr>
                <w:rFonts w:hint="eastAsia" w:ascii="楷体" w:hAnsi="楷体" w:eastAsia="楷体"/>
                <w:szCs w:val="21"/>
              </w:rPr>
              <w:t>涉及条款</w:t>
            </w:r>
          </w:p>
        </w:tc>
        <w:tc>
          <w:tcPr>
            <w:tcW w:w="11907" w:type="dxa"/>
            <w:vAlign w:val="center"/>
          </w:tcPr>
          <w:p>
            <w:pPr>
              <w:tabs>
                <w:tab w:val="left" w:pos="7380"/>
              </w:tabs>
              <w:rPr>
                <w:rFonts w:ascii="楷体" w:hAnsi="楷体" w:eastAsia="楷体"/>
                <w:szCs w:val="21"/>
              </w:rPr>
            </w:pPr>
            <w:r>
              <w:rPr>
                <w:rFonts w:hint="eastAsia" w:ascii="楷体" w:hAnsi="楷体" w:eastAsia="楷体"/>
                <w:szCs w:val="21"/>
              </w:rPr>
              <w:t>受审核部门：</w:t>
            </w:r>
            <w:bookmarkStart w:id="3" w:name="_Hlk123032427"/>
            <w:r>
              <w:rPr>
                <w:rFonts w:hint="eastAsia" w:ascii="楷体" w:hAnsi="楷体" w:eastAsia="楷体"/>
                <w:szCs w:val="21"/>
              </w:rPr>
              <w:t>销运管理部</w:t>
            </w:r>
            <w:bookmarkEnd w:id="3"/>
            <w:r>
              <w:rPr>
                <w:rFonts w:hint="eastAsia" w:ascii="楷体" w:hAnsi="楷体" w:eastAsia="楷体"/>
                <w:szCs w:val="21"/>
              </w:rPr>
              <w:t xml:space="preserve"> </w:t>
            </w:r>
            <w:r>
              <w:rPr>
                <w:rFonts w:ascii="楷体" w:hAnsi="楷体" w:eastAsia="楷体"/>
                <w:szCs w:val="21"/>
              </w:rPr>
              <w:t xml:space="preserve">        </w:t>
            </w:r>
            <w:r>
              <w:rPr>
                <w:rFonts w:hint="eastAsia" w:ascii="楷体" w:hAnsi="楷体" w:eastAsia="楷体"/>
                <w:szCs w:val="21"/>
              </w:rPr>
              <w:t>负责人：姜志华</w:t>
            </w:r>
            <w:r>
              <w:rPr>
                <w:rFonts w:ascii="楷体" w:hAnsi="楷体" w:eastAsia="楷体"/>
                <w:szCs w:val="21"/>
              </w:rPr>
              <w:t xml:space="preserve">               </w:t>
            </w:r>
            <w:r>
              <w:rPr>
                <w:rFonts w:hint="eastAsia" w:ascii="楷体" w:hAnsi="楷体" w:eastAsia="楷体"/>
                <w:szCs w:val="21"/>
              </w:rPr>
              <w:t>陪同人员：杨惠娇</w:t>
            </w:r>
          </w:p>
        </w:tc>
        <w:tc>
          <w:tcPr>
            <w:tcW w:w="709" w:type="dxa"/>
            <w:vMerge w:val="restart"/>
            <w:vAlign w:val="center"/>
          </w:tcPr>
          <w:p>
            <w:pPr>
              <w:tabs>
                <w:tab w:val="left" w:pos="7380"/>
              </w:tabs>
              <w:jc w:val="center"/>
              <w:rPr>
                <w:rFonts w:ascii="楷体" w:hAnsi="楷体" w:eastAsia="楷体"/>
                <w:szCs w:val="21"/>
              </w:rPr>
            </w:pPr>
            <w:r>
              <w:rPr>
                <w:rFonts w:hint="eastAsia" w:ascii="楷体" w:hAnsi="楷体" w:eastAsia="楷体"/>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242" w:type="dxa"/>
            <w:vMerge w:val="continue"/>
            <w:vAlign w:val="center"/>
          </w:tcPr>
          <w:p/>
        </w:tc>
        <w:tc>
          <w:tcPr>
            <w:tcW w:w="1134" w:type="dxa"/>
            <w:vMerge w:val="continue"/>
            <w:vAlign w:val="center"/>
          </w:tcPr>
          <w:p/>
        </w:tc>
        <w:tc>
          <w:tcPr>
            <w:tcW w:w="11907" w:type="dxa"/>
            <w:vAlign w:val="center"/>
          </w:tcPr>
          <w:p>
            <w:pPr>
              <w:tabs>
                <w:tab w:val="left" w:pos="7380"/>
              </w:tabs>
              <w:rPr>
                <w:rFonts w:ascii="楷体" w:hAnsi="楷体" w:eastAsia="楷体"/>
                <w:szCs w:val="21"/>
              </w:rPr>
            </w:pPr>
            <w:r>
              <w:rPr>
                <w:rFonts w:hint="eastAsia" w:ascii="楷体" w:hAnsi="楷体" w:eastAsia="楷体"/>
                <w:szCs w:val="21"/>
              </w:rPr>
              <w:t xml:space="preserve">审核员：王琳（微信、电话沟通） </w:t>
            </w:r>
            <w:r>
              <w:rPr>
                <w:rFonts w:ascii="楷体" w:hAnsi="楷体" w:eastAsia="楷体"/>
                <w:szCs w:val="21"/>
              </w:rPr>
              <w:t xml:space="preserve">                   </w:t>
            </w:r>
            <w:r>
              <w:rPr>
                <w:rFonts w:hint="eastAsia" w:ascii="楷体" w:hAnsi="楷体" w:eastAsia="楷体"/>
                <w:szCs w:val="21"/>
              </w:rPr>
              <w:t>审核时间：</w:t>
            </w:r>
            <w:r>
              <w:rPr>
                <w:rFonts w:ascii="楷体" w:hAnsi="楷体" w:eastAsia="楷体"/>
                <w:szCs w:val="21"/>
              </w:rPr>
              <w:t>2022年12月</w:t>
            </w:r>
            <w:r>
              <w:rPr>
                <w:rFonts w:hint="eastAsia" w:ascii="楷体" w:hAnsi="楷体" w:eastAsia="楷体"/>
                <w:szCs w:val="21"/>
              </w:rPr>
              <w:t>3</w:t>
            </w:r>
            <w:r>
              <w:rPr>
                <w:rFonts w:ascii="楷体" w:hAnsi="楷体" w:eastAsia="楷体"/>
                <w:szCs w:val="21"/>
              </w:rPr>
              <w:t>0日</w:t>
            </w:r>
          </w:p>
        </w:tc>
        <w:tc>
          <w:tcPr>
            <w:tcW w:w="709"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242" w:type="dxa"/>
            <w:vMerge w:val="continue"/>
            <w:vAlign w:val="center"/>
          </w:tcPr>
          <w:p/>
        </w:tc>
        <w:tc>
          <w:tcPr>
            <w:tcW w:w="1134" w:type="dxa"/>
            <w:vMerge w:val="continue"/>
            <w:vAlign w:val="center"/>
          </w:tcPr>
          <w:p/>
        </w:tc>
        <w:tc>
          <w:tcPr>
            <w:tcW w:w="11907" w:type="dxa"/>
            <w:vAlign w:val="center"/>
          </w:tcPr>
          <w:p>
            <w:pPr>
              <w:tabs>
                <w:tab w:val="left" w:pos="7380"/>
              </w:tabs>
              <w:rPr>
                <w:rFonts w:ascii="楷体" w:hAnsi="楷体" w:eastAsia="楷体"/>
                <w:szCs w:val="21"/>
              </w:rPr>
            </w:pPr>
            <w:r>
              <w:rPr>
                <w:rFonts w:hint="eastAsia" w:ascii="楷体" w:hAnsi="楷体" w:eastAsia="楷体"/>
                <w:szCs w:val="21"/>
              </w:rPr>
              <w:t>审核条款：</w:t>
            </w:r>
            <w:bookmarkStart w:id="4" w:name="_Hlk123032441"/>
            <w:r>
              <w:rPr>
                <w:rFonts w:hint="eastAsia"/>
                <w:szCs w:val="21"/>
              </w:rPr>
              <w:t>EnMS:5.3/6.2/7.4/8.1/10.1</w:t>
            </w:r>
            <w:bookmarkEnd w:id="4"/>
          </w:p>
        </w:tc>
        <w:tc>
          <w:tcPr>
            <w:tcW w:w="709"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242" w:type="dxa"/>
            <w:vAlign w:val="center"/>
          </w:tcPr>
          <w:p>
            <w:r>
              <w:rPr>
                <w:rFonts w:hint="eastAsia" w:ascii="楷体" w:hAnsi="楷体" w:eastAsia="楷体"/>
                <w:szCs w:val="21"/>
              </w:rPr>
              <w:t>部门职责权限</w:t>
            </w:r>
          </w:p>
        </w:tc>
        <w:tc>
          <w:tcPr>
            <w:tcW w:w="1134" w:type="dxa"/>
            <w:vAlign w:val="center"/>
          </w:tcPr>
          <w:p>
            <w:r>
              <w:rPr>
                <w:rFonts w:hint="eastAsia"/>
              </w:rPr>
              <w:t>En</w:t>
            </w:r>
            <w:r>
              <w:t>5.3</w:t>
            </w:r>
          </w:p>
        </w:tc>
        <w:tc>
          <w:tcPr>
            <w:tcW w:w="11907" w:type="dxa"/>
            <w:vAlign w:val="center"/>
          </w:tcPr>
          <w:p>
            <w:pPr>
              <w:pStyle w:val="13"/>
              <w:numPr>
                <w:ilvl w:val="0"/>
                <w:numId w:val="1"/>
              </w:numPr>
              <w:ind w:left="0" w:firstLine="0" w:firstLineChars="0"/>
              <w:rPr>
                <w:rFonts w:ascii="楷体" w:hAnsi="楷体" w:eastAsia="楷体"/>
                <w:szCs w:val="21"/>
              </w:rPr>
            </w:pPr>
            <w:r>
              <w:rPr>
                <w:rFonts w:hint="eastAsia" w:ascii="楷体" w:hAnsi="楷体" w:eastAsia="楷体"/>
                <w:szCs w:val="21"/>
              </w:rPr>
              <w:t>企业在《职责划分手册》（编号：SJZLH-T1-005-2021，版本：F/0，实施日期：2022/12/20）中规定了各部门的业务范围和工作职责。</w:t>
            </w:r>
          </w:p>
          <w:p>
            <w:pPr>
              <w:pStyle w:val="13"/>
              <w:numPr>
                <w:ilvl w:val="0"/>
                <w:numId w:val="1"/>
              </w:numPr>
              <w:ind w:left="0" w:firstLine="0" w:firstLineChars="0"/>
              <w:rPr>
                <w:rFonts w:ascii="楷体" w:hAnsi="楷体" w:eastAsia="楷体"/>
                <w:szCs w:val="21"/>
              </w:rPr>
            </w:pPr>
            <w:r>
              <w:rPr>
                <w:rFonts w:hint="eastAsia" w:ascii="楷体" w:hAnsi="楷体" w:eastAsia="楷体"/>
                <w:szCs w:val="21"/>
              </w:rPr>
              <w:t>负责人介绍，销运管理部2020年10月成立,下设调运业务、销售业务、综合管理、库房保管等岗位，销运部承接了原计划经营部销售板块的职责：成品油调运+结算、炼化产品销售、市场信息+客户服务、库房管理，和相关的党建、HSE及基础管理工作。</w:t>
            </w:r>
          </w:p>
        </w:tc>
        <w:tc>
          <w:tcPr>
            <w:tcW w:w="709" w:type="dxa"/>
            <w:vAlign w:val="center"/>
          </w:tcPr>
          <w:p>
            <w:pPr>
              <w:jc w:val="center"/>
            </w:pPr>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1242" w:type="dxa"/>
            <w:vAlign w:val="center"/>
          </w:tcPr>
          <w:p>
            <w:pPr>
              <w:rPr>
                <w:rFonts w:ascii="楷体" w:hAnsi="楷体" w:eastAsia="楷体"/>
                <w:szCs w:val="21"/>
              </w:rPr>
            </w:pPr>
            <w:r>
              <w:rPr>
                <w:rFonts w:hint="eastAsia" w:ascii="楷体" w:hAnsi="楷体" w:eastAsia="楷体"/>
              </w:rPr>
              <w:t>目标指标</w:t>
            </w:r>
          </w:p>
        </w:tc>
        <w:tc>
          <w:tcPr>
            <w:tcW w:w="1134" w:type="dxa"/>
            <w:vAlign w:val="center"/>
          </w:tcPr>
          <w:p>
            <w:pPr>
              <w:rPr>
                <w:highlight w:val="yellow"/>
              </w:rPr>
            </w:pPr>
            <w:r>
              <w:rPr>
                <w:rFonts w:hint="eastAsia" w:ascii="楷体" w:hAnsi="楷体" w:eastAsia="楷体"/>
              </w:rPr>
              <w:t>En</w:t>
            </w:r>
            <w:r>
              <w:rPr>
                <w:rFonts w:ascii="楷体" w:hAnsi="楷体" w:eastAsia="楷体"/>
              </w:rPr>
              <w:t>6.2</w:t>
            </w:r>
          </w:p>
        </w:tc>
        <w:tc>
          <w:tcPr>
            <w:tcW w:w="11907" w:type="dxa"/>
            <w:vAlign w:val="center"/>
          </w:tcPr>
          <w:p>
            <w:pPr>
              <w:pStyle w:val="13"/>
              <w:numPr>
                <w:ilvl w:val="0"/>
                <w:numId w:val="1"/>
              </w:numPr>
              <w:ind w:left="0" w:firstLine="0" w:firstLineChars="0"/>
              <w:rPr>
                <w:rFonts w:ascii="楷体" w:hAnsi="楷体" w:eastAsia="楷体"/>
                <w:szCs w:val="21"/>
              </w:rPr>
            </w:pPr>
            <w:r>
              <w:rPr>
                <w:rFonts w:hint="eastAsia" w:ascii="楷体" w:hAnsi="楷体" w:eastAsia="楷体"/>
                <w:szCs w:val="21"/>
              </w:rPr>
              <w:t>负责人介绍，销运管理部部是职能部门，不涉及生产，公司未分配能源目标指标到本部门。</w:t>
            </w:r>
          </w:p>
        </w:tc>
        <w:tc>
          <w:tcPr>
            <w:tcW w:w="709" w:type="dxa"/>
            <w:vAlign w:val="center"/>
          </w:tcPr>
          <w:p>
            <w:pPr>
              <w:jc w:val="center"/>
            </w:pPr>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242" w:type="dxa"/>
            <w:vAlign w:val="center"/>
          </w:tcPr>
          <w:p>
            <w:pPr>
              <w:rPr>
                <w:rFonts w:ascii="楷体" w:hAnsi="楷体" w:eastAsia="楷体"/>
              </w:rPr>
            </w:pPr>
            <w:r>
              <w:rPr>
                <w:rFonts w:hint="eastAsia" w:ascii="楷体" w:hAnsi="楷体" w:eastAsia="楷体"/>
              </w:rPr>
              <w:t>沟通</w:t>
            </w:r>
          </w:p>
        </w:tc>
        <w:tc>
          <w:tcPr>
            <w:tcW w:w="1134" w:type="dxa"/>
            <w:vAlign w:val="center"/>
          </w:tcPr>
          <w:p>
            <w:pPr>
              <w:rPr>
                <w:rFonts w:ascii="楷体" w:hAnsi="楷体" w:eastAsia="楷体"/>
              </w:rPr>
            </w:pPr>
            <w:r>
              <w:rPr>
                <w:rFonts w:hint="eastAsia" w:ascii="楷体" w:hAnsi="楷体" w:eastAsia="楷体"/>
              </w:rPr>
              <w:t>En</w:t>
            </w:r>
            <w:r>
              <w:rPr>
                <w:rFonts w:ascii="楷体" w:hAnsi="楷体" w:eastAsia="楷体"/>
              </w:rPr>
              <w:t>7.4</w:t>
            </w:r>
          </w:p>
        </w:tc>
        <w:tc>
          <w:tcPr>
            <w:tcW w:w="11907" w:type="dxa"/>
            <w:vAlign w:val="center"/>
          </w:tcPr>
          <w:p>
            <w:pPr>
              <w:pStyle w:val="13"/>
              <w:numPr>
                <w:ilvl w:val="0"/>
                <w:numId w:val="1"/>
              </w:numPr>
              <w:ind w:firstLineChars="0"/>
              <w:rPr>
                <w:rFonts w:ascii="楷体" w:hAnsi="楷体" w:eastAsia="楷体"/>
                <w:szCs w:val="21"/>
              </w:rPr>
            </w:pPr>
            <w:r>
              <w:rPr>
                <w:rFonts w:hint="eastAsia" w:ascii="楷体" w:hAnsi="楷体" w:eastAsia="楷体"/>
                <w:szCs w:val="21"/>
              </w:rPr>
              <w:t>部门负责人介绍，公司通过建立实施和保持适当的信息交流沟通、确保了公司内部以及与外部相关方的联系和回应、保证能源管理体系的有效运行、其中：</w:t>
            </w:r>
          </w:p>
          <w:p>
            <w:pPr>
              <w:pStyle w:val="13"/>
              <w:numPr>
                <w:ilvl w:val="0"/>
                <w:numId w:val="1"/>
              </w:numPr>
              <w:ind w:firstLineChars="0"/>
              <w:rPr>
                <w:rFonts w:ascii="楷体" w:hAnsi="楷体" w:eastAsia="楷体"/>
                <w:szCs w:val="21"/>
              </w:rPr>
            </w:pPr>
            <w:r>
              <w:rPr>
                <w:rFonts w:hint="eastAsia" w:ascii="楷体" w:hAnsi="楷体" w:eastAsia="楷体"/>
                <w:szCs w:val="21"/>
              </w:rPr>
              <w:t>----内部信息交流：法律法规、标准及其他要求、目标、指标及管理方案的实施、能源基准及能源绩效参数、体系运行的监测结果、内审和管理评审的结果，由运行保障中心传达到各部门；另内部能源体系宣传教育包括：节能形势政策；节约能源带来的社会和经济效益；交流节能技术；节能知识竞赛；组建节能小组；征集合理化建议；评选节能先进。</w:t>
            </w:r>
          </w:p>
          <w:p>
            <w:pPr>
              <w:pStyle w:val="13"/>
              <w:numPr>
                <w:ilvl w:val="0"/>
                <w:numId w:val="1"/>
              </w:numPr>
              <w:ind w:firstLineChars="0"/>
              <w:rPr>
                <w:rFonts w:ascii="楷体" w:hAnsi="楷体" w:eastAsia="楷体"/>
                <w:szCs w:val="21"/>
              </w:rPr>
            </w:pPr>
            <w:r>
              <w:rPr>
                <w:rFonts w:hint="eastAsia" w:ascii="楷体" w:hAnsi="楷体" w:eastAsia="楷体"/>
                <w:szCs w:val="21"/>
              </w:rPr>
              <w:t>----外部信息交流：从相关方收集、接收的能源供应信息及时传递给相关方；上级部门或相关方需要公司能源信息。</w:t>
            </w:r>
          </w:p>
          <w:p>
            <w:pPr>
              <w:pStyle w:val="13"/>
              <w:numPr>
                <w:ilvl w:val="0"/>
                <w:numId w:val="1"/>
              </w:numPr>
              <w:ind w:left="0" w:firstLine="0" w:firstLineChars="0"/>
              <w:rPr>
                <w:rFonts w:ascii="楷体" w:hAnsi="楷体" w:eastAsia="楷体"/>
                <w:szCs w:val="21"/>
              </w:rPr>
            </w:pPr>
            <w:r>
              <w:rPr>
                <w:rFonts w:hint="eastAsia" w:ascii="楷体" w:hAnsi="楷体" w:eastAsia="楷体"/>
                <w:szCs w:val="21"/>
              </w:rPr>
              <w:t>----方式：电话、石化通、公文、邮件、专题会议、面谈、微信等。</w:t>
            </w:r>
          </w:p>
        </w:tc>
        <w:tc>
          <w:tcPr>
            <w:tcW w:w="709" w:type="dxa"/>
            <w:vAlign w:val="center"/>
          </w:tcPr>
          <w:p>
            <w:pPr>
              <w:jc w:val="center"/>
            </w:pPr>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242" w:type="dxa"/>
            <w:vAlign w:val="center"/>
          </w:tcPr>
          <w:p>
            <w:pPr>
              <w:rPr>
                <w:rFonts w:ascii="楷体" w:hAnsi="楷体" w:eastAsia="楷体"/>
              </w:rPr>
            </w:pPr>
            <w:r>
              <w:rPr>
                <w:rFonts w:ascii="楷体" w:hAnsi="楷体" w:eastAsia="楷体"/>
              </w:rPr>
              <w:t>运行策划和控制</w:t>
            </w:r>
          </w:p>
        </w:tc>
        <w:tc>
          <w:tcPr>
            <w:tcW w:w="1134" w:type="dxa"/>
            <w:vAlign w:val="center"/>
          </w:tcPr>
          <w:p>
            <w:pPr>
              <w:rPr>
                <w:rFonts w:ascii="楷体" w:hAnsi="楷体" w:eastAsia="楷体"/>
              </w:rPr>
            </w:pPr>
            <w:r>
              <w:rPr>
                <w:rFonts w:hint="eastAsia" w:ascii="楷体" w:hAnsi="楷体" w:eastAsia="楷体"/>
              </w:rPr>
              <w:t>E</w:t>
            </w:r>
            <w:r>
              <w:rPr>
                <w:rFonts w:ascii="楷体" w:hAnsi="楷体" w:eastAsia="楷体"/>
              </w:rPr>
              <w:t>n8.1</w:t>
            </w:r>
          </w:p>
        </w:tc>
        <w:tc>
          <w:tcPr>
            <w:tcW w:w="11907" w:type="dxa"/>
            <w:vAlign w:val="center"/>
          </w:tcPr>
          <w:p>
            <w:pPr>
              <w:pStyle w:val="13"/>
              <w:numPr>
                <w:ilvl w:val="0"/>
                <w:numId w:val="1"/>
              </w:numPr>
              <w:ind w:left="34" w:firstLine="0" w:firstLineChars="0"/>
              <w:rPr>
                <w:rFonts w:ascii="楷体" w:hAnsi="楷体" w:eastAsia="楷体"/>
                <w:szCs w:val="21"/>
              </w:rPr>
            </w:pPr>
            <w:r>
              <w:rPr>
                <w:rFonts w:hint="eastAsia" w:ascii="楷体" w:hAnsi="楷体" w:eastAsia="楷体"/>
                <w:szCs w:val="21"/>
              </w:rPr>
              <w:t>公司编制有《能源管理办法》（编号：SJZLH-1003-007-2018），用于指导企业各部门进行能源管理。</w:t>
            </w:r>
          </w:p>
          <w:p>
            <w:pPr>
              <w:pStyle w:val="13"/>
              <w:numPr>
                <w:ilvl w:val="0"/>
                <w:numId w:val="1"/>
              </w:numPr>
              <w:ind w:left="34" w:firstLine="0" w:firstLineChars="0"/>
              <w:rPr>
                <w:rFonts w:ascii="楷体" w:hAnsi="楷体" w:eastAsia="楷体"/>
                <w:szCs w:val="21"/>
              </w:rPr>
            </w:pPr>
            <w:r>
              <w:rPr>
                <w:rFonts w:hint="eastAsia" w:ascii="楷体" w:hAnsi="楷体" w:eastAsia="楷体"/>
                <w:szCs w:val="21"/>
              </w:rPr>
              <w:t>部门负责人介绍，销运管理部业务主要是人员办公过程，耗能主要是办公设备消耗少量电力以及工作中消耗少量生活用水。</w:t>
            </w:r>
          </w:p>
          <w:p>
            <w:pPr>
              <w:pStyle w:val="13"/>
              <w:numPr>
                <w:ilvl w:val="0"/>
                <w:numId w:val="1"/>
              </w:numPr>
              <w:ind w:left="0" w:firstLine="0" w:firstLineChars="0"/>
              <w:rPr>
                <w:rFonts w:ascii="楷体" w:hAnsi="楷体" w:eastAsia="楷体"/>
                <w:szCs w:val="21"/>
              </w:rPr>
            </w:pPr>
            <w:r>
              <w:rPr>
                <w:rFonts w:hint="eastAsia" w:ascii="楷体" w:hAnsi="楷体" w:eastAsia="楷体"/>
                <w:szCs w:val="21"/>
              </w:rPr>
              <w:t>部门执行公司的节能制度要求：闲置房间要停止供应水、电、暖气等介质；有人活动的房间按规定使用空调设备，夏天设定温度不能低于26℃，冬天设定温度不能高于20℃，并做到人离开关闭空调，设备间空调设定温度不得低于设计温度；按要求时间停、开供暖；减少电脑、复印机、打印机等耗能设备的待机能耗，优先使用绿色节能照明灯具；杜绝长流水、长明灯现象，使用空调及暖气期间要关闭门窗。日常注意节水节电、节省办公过程中的能源消耗。</w:t>
            </w:r>
          </w:p>
        </w:tc>
        <w:tc>
          <w:tcPr>
            <w:tcW w:w="709" w:type="dxa"/>
            <w:vAlign w:val="center"/>
          </w:tcPr>
          <w:p>
            <w:pPr>
              <w:jc w:val="center"/>
            </w:pPr>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242" w:type="dxa"/>
            <w:vAlign w:val="center"/>
          </w:tcPr>
          <w:p>
            <w:pPr>
              <w:rPr>
                <w:rFonts w:ascii="楷体" w:hAnsi="楷体" w:eastAsia="楷体"/>
              </w:rPr>
            </w:pPr>
            <w:r>
              <w:rPr>
                <w:rFonts w:hint="eastAsia" w:ascii="楷体" w:hAnsi="楷体" w:eastAsia="楷体"/>
                <w:szCs w:val="21"/>
              </w:rPr>
              <w:t>不符合纠正和纠正措施</w:t>
            </w:r>
          </w:p>
        </w:tc>
        <w:tc>
          <w:tcPr>
            <w:tcW w:w="1134" w:type="dxa"/>
            <w:vAlign w:val="center"/>
          </w:tcPr>
          <w:p>
            <w:pPr>
              <w:rPr>
                <w:rFonts w:ascii="楷体" w:hAnsi="楷体" w:eastAsia="楷体"/>
              </w:rPr>
            </w:pPr>
            <w:r>
              <w:rPr>
                <w:rFonts w:hint="eastAsia" w:ascii="楷体" w:hAnsi="楷体" w:eastAsia="楷体"/>
              </w:rPr>
              <w:t>E</w:t>
            </w:r>
            <w:r>
              <w:rPr>
                <w:rFonts w:ascii="楷体" w:hAnsi="楷体" w:eastAsia="楷体"/>
              </w:rPr>
              <w:t>n10.1</w:t>
            </w:r>
          </w:p>
        </w:tc>
        <w:tc>
          <w:tcPr>
            <w:tcW w:w="11907" w:type="dxa"/>
            <w:vAlign w:val="center"/>
          </w:tcPr>
          <w:p>
            <w:pPr>
              <w:pStyle w:val="13"/>
              <w:numPr>
                <w:ilvl w:val="0"/>
                <w:numId w:val="1"/>
              </w:numPr>
              <w:ind w:left="0" w:firstLine="0" w:firstLineChars="0"/>
              <w:rPr>
                <w:rFonts w:ascii="楷体" w:hAnsi="楷体" w:eastAsia="楷体"/>
                <w:szCs w:val="21"/>
              </w:rPr>
            </w:pPr>
            <w:r>
              <w:rPr>
                <w:rFonts w:hint="eastAsia" w:ascii="楷体" w:hAnsi="楷体" w:eastAsia="楷体"/>
                <w:szCs w:val="21"/>
              </w:rPr>
              <w:t>负责人介绍公司利用内外部检查/评价、相关方/客户投诉、抱怨等，识别公司各项活动中实际存在的或潜在的不符合项及由此产生的不利影响，查找原因采取适宜的纠正、纠正措施，以消除不符合的原因，防止不符合项的再次发生，减少或消除由此产生的不利影响，持续改进管理体系的有效性。</w:t>
            </w:r>
          </w:p>
        </w:tc>
        <w:tc>
          <w:tcPr>
            <w:tcW w:w="709" w:type="dxa"/>
            <w:vAlign w:val="center"/>
          </w:tcPr>
          <w:p>
            <w:pPr>
              <w:jc w:val="center"/>
            </w:pPr>
            <w:r>
              <w:rPr>
                <w:rFonts w:hint="eastAsia"/>
              </w:rPr>
              <w:t>Y</w:t>
            </w:r>
          </w:p>
        </w:tc>
      </w:tr>
    </w:tbl>
    <w:p>
      <w:pPr>
        <w:pStyle w:val="3"/>
      </w:pPr>
      <w:r>
        <w:rPr>
          <w:rFonts w:hint="eastAsia"/>
        </w:rPr>
        <w:t>说明：不符合标注N</w:t>
      </w:r>
    </w:p>
    <w:p>
      <w:pPr>
        <w:pStyle w:val="3"/>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5"/>
        <w:tblW w:w="149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850"/>
        <w:gridCol w:w="12474"/>
        <w:gridCol w:w="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101" w:type="dxa"/>
            <w:vMerge w:val="restart"/>
            <w:vAlign w:val="center"/>
          </w:tcPr>
          <w:p>
            <w:pPr>
              <w:tabs>
                <w:tab w:val="left" w:pos="7380"/>
              </w:tabs>
              <w:rPr>
                <w:rFonts w:ascii="楷体" w:hAnsi="楷体" w:eastAsia="楷体"/>
                <w:szCs w:val="21"/>
              </w:rPr>
            </w:pPr>
            <w:r>
              <w:rPr>
                <w:rFonts w:hint="eastAsia" w:ascii="楷体" w:hAnsi="楷体" w:eastAsia="楷体"/>
                <w:szCs w:val="21"/>
              </w:rPr>
              <w:t>过程与活动、抽样计划</w:t>
            </w:r>
          </w:p>
        </w:tc>
        <w:tc>
          <w:tcPr>
            <w:tcW w:w="850" w:type="dxa"/>
            <w:vMerge w:val="restart"/>
            <w:vAlign w:val="center"/>
          </w:tcPr>
          <w:p>
            <w:pPr>
              <w:tabs>
                <w:tab w:val="left" w:pos="7380"/>
              </w:tabs>
              <w:rPr>
                <w:rFonts w:ascii="楷体" w:hAnsi="楷体" w:eastAsia="楷体"/>
                <w:szCs w:val="21"/>
              </w:rPr>
            </w:pPr>
            <w:r>
              <w:rPr>
                <w:rFonts w:hint="eastAsia" w:ascii="楷体" w:hAnsi="楷体" w:eastAsia="楷体"/>
                <w:szCs w:val="21"/>
              </w:rPr>
              <w:t>涉及条款</w:t>
            </w:r>
          </w:p>
        </w:tc>
        <w:tc>
          <w:tcPr>
            <w:tcW w:w="12474" w:type="dxa"/>
            <w:vAlign w:val="center"/>
          </w:tcPr>
          <w:p>
            <w:pPr>
              <w:tabs>
                <w:tab w:val="left" w:pos="7380"/>
              </w:tabs>
              <w:rPr>
                <w:rFonts w:ascii="楷体" w:hAnsi="楷体" w:eastAsia="楷体"/>
                <w:szCs w:val="21"/>
              </w:rPr>
            </w:pPr>
            <w:r>
              <w:rPr>
                <w:rFonts w:hint="eastAsia" w:ascii="楷体" w:hAnsi="楷体" w:eastAsia="楷体"/>
                <w:szCs w:val="21"/>
              </w:rPr>
              <w:t>受审核部门：</w:t>
            </w:r>
            <w:bookmarkStart w:id="5" w:name="_Hlk123032621"/>
            <w:r>
              <w:rPr>
                <w:rFonts w:hint="eastAsia" w:ascii="楷体" w:hAnsi="楷体" w:eastAsia="楷体"/>
                <w:szCs w:val="21"/>
              </w:rPr>
              <w:t xml:space="preserve">行政事务中心 </w:t>
            </w:r>
            <w:bookmarkEnd w:id="5"/>
            <w:r>
              <w:rPr>
                <w:rFonts w:ascii="楷体" w:hAnsi="楷体" w:eastAsia="楷体"/>
                <w:szCs w:val="21"/>
              </w:rPr>
              <w:t xml:space="preserve">        </w:t>
            </w:r>
            <w:r>
              <w:rPr>
                <w:rFonts w:hint="eastAsia" w:ascii="楷体" w:hAnsi="楷体" w:eastAsia="楷体"/>
                <w:szCs w:val="21"/>
              </w:rPr>
              <w:t>负责人：王立新</w:t>
            </w:r>
            <w:r>
              <w:rPr>
                <w:rFonts w:ascii="楷体" w:hAnsi="楷体" w:eastAsia="楷体"/>
                <w:szCs w:val="21"/>
              </w:rPr>
              <w:t xml:space="preserve">               </w:t>
            </w:r>
            <w:r>
              <w:rPr>
                <w:rFonts w:hint="eastAsia" w:ascii="楷体" w:hAnsi="楷体" w:eastAsia="楷体"/>
                <w:szCs w:val="21"/>
              </w:rPr>
              <w:t>陪同人员：杨惠娇</w:t>
            </w:r>
          </w:p>
        </w:tc>
        <w:tc>
          <w:tcPr>
            <w:tcW w:w="567" w:type="dxa"/>
            <w:vMerge w:val="restart"/>
            <w:vAlign w:val="center"/>
          </w:tcPr>
          <w:p>
            <w:pPr>
              <w:tabs>
                <w:tab w:val="left" w:pos="7380"/>
              </w:tabs>
              <w:jc w:val="center"/>
              <w:rPr>
                <w:rFonts w:ascii="楷体" w:hAnsi="楷体" w:eastAsia="楷体"/>
                <w:szCs w:val="21"/>
              </w:rPr>
            </w:pPr>
            <w:r>
              <w:rPr>
                <w:rFonts w:hint="eastAsia" w:ascii="楷体" w:hAnsi="楷体" w:eastAsia="楷体"/>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101" w:type="dxa"/>
            <w:vMerge w:val="continue"/>
            <w:vAlign w:val="center"/>
          </w:tcPr>
          <w:p/>
        </w:tc>
        <w:tc>
          <w:tcPr>
            <w:tcW w:w="850" w:type="dxa"/>
            <w:vMerge w:val="continue"/>
            <w:vAlign w:val="center"/>
          </w:tcPr>
          <w:p/>
        </w:tc>
        <w:tc>
          <w:tcPr>
            <w:tcW w:w="12474" w:type="dxa"/>
            <w:vAlign w:val="center"/>
          </w:tcPr>
          <w:p>
            <w:pPr>
              <w:tabs>
                <w:tab w:val="left" w:pos="7380"/>
              </w:tabs>
              <w:rPr>
                <w:rFonts w:ascii="楷体" w:hAnsi="楷体" w:eastAsia="楷体"/>
                <w:szCs w:val="21"/>
              </w:rPr>
            </w:pPr>
            <w:r>
              <w:rPr>
                <w:rFonts w:hint="eastAsia" w:ascii="楷体" w:hAnsi="楷体" w:eastAsia="楷体"/>
                <w:szCs w:val="21"/>
              </w:rPr>
              <w:t xml:space="preserve">审核员：王琳（微信、电话沟通） </w:t>
            </w:r>
            <w:r>
              <w:rPr>
                <w:rFonts w:ascii="楷体" w:hAnsi="楷体" w:eastAsia="楷体"/>
                <w:szCs w:val="21"/>
              </w:rPr>
              <w:t xml:space="preserve">                   </w:t>
            </w:r>
            <w:r>
              <w:rPr>
                <w:rFonts w:hint="eastAsia" w:ascii="楷体" w:hAnsi="楷体" w:eastAsia="楷体"/>
                <w:szCs w:val="21"/>
              </w:rPr>
              <w:t>审核时间：</w:t>
            </w:r>
            <w:r>
              <w:rPr>
                <w:rFonts w:ascii="楷体" w:hAnsi="楷体" w:eastAsia="楷体"/>
                <w:szCs w:val="21"/>
              </w:rPr>
              <w:t>2022年12月</w:t>
            </w:r>
            <w:r>
              <w:rPr>
                <w:rFonts w:hint="eastAsia" w:ascii="楷体" w:hAnsi="楷体" w:eastAsia="楷体"/>
                <w:szCs w:val="21"/>
              </w:rPr>
              <w:t>3</w:t>
            </w:r>
            <w:r>
              <w:rPr>
                <w:rFonts w:ascii="楷体" w:hAnsi="楷体" w:eastAsia="楷体"/>
                <w:szCs w:val="21"/>
              </w:rPr>
              <w:t>0日</w:t>
            </w:r>
          </w:p>
        </w:tc>
        <w:tc>
          <w:tcPr>
            <w:tcW w:w="567"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101" w:type="dxa"/>
            <w:vMerge w:val="continue"/>
            <w:vAlign w:val="center"/>
          </w:tcPr>
          <w:p/>
        </w:tc>
        <w:tc>
          <w:tcPr>
            <w:tcW w:w="850" w:type="dxa"/>
            <w:vMerge w:val="continue"/>
            <w:vAlign w:val="center"/>
          </w:tcPr>
          <w:p/>
        </w:tc>
        <w:tc>
          <w:tcPr>
            <w:tcW w:w="12474" w:type="dxa"/>
            <w:vAlign w:val="center"/>
          </w:tcPr>
          <w:p>
            <w:pPr>
              <w:tabs>
                <w:tab w:val="left" w:pos="7380"/>
              </w:tabs>
              <w:rPr>
                <w:rFonts w:ascii="楷体" w:hAnsi="楷体" w:eastAsia="楷体"/>
                <w:szCs w:val="21"/>
              </w:rPr>
            </w:pPr>
            <w:r>
              <w:rPr>
                <w:rFonts w:hint="eastAsia" w:ascii="楷体" w:hAnsi="楷体" w:eastAsia="楷体"/>
                <w:szCs w:val="21"/>
              </w:rPr>
              <w:t>审核条款：</w:t>
            </w:r>
            <w:bookmarkStart w:id="6" w:name="_Hlk123032630"/>
            <w:r>
              <w:rPr>
                <w:rFonts w:hint="eastAsia"/>
                <w:szCs w:val="21"/>
              </w:rPr>
              <w:t>EnMS:5.3/6.2/7.4/8.1/10.1</w:t>
            </w:r>
            <w:bookmarkEnd w:id="6"/>
          </w:p>
        </w:tc>
        <w:tc>
          <w:tcPr>
            <w:tcW w:w="567"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101" w:type="dxa"/>
            <w:vAlign w:val="center"/>
          </w:tcPr>
          <w:p>
            <w:r>
              <w:rPr>
                <w:rFonts w:hint="eastAsia" w:ascii="楷体" w:hAnsi="楷体" w:eastAsia="楷体"/>
                <w:szCs w:val="21"/>
              </w:rPr>
              <w:t>部门职责权限</w:t>
            </w:r>
          </w:p>
        </w:tc>
        <w:tc>
          <w:tcPr>
            <w:tcW w:w="850" w:type="dxa"/>
            <w:vAlign w:val="center"/>
          </w:tcPr>
          <w:p>
            <w:r>
              <w:rPr>
                <w:rFonts w:hint="eastAsia"/>
              </w:rPr>
              <w:t>En</w:t>
            </w:r>
            <w:r>
              <w:t>5.3</w:t>
            </w:r>
          </w:p>
        </w:tc>
        <w:tc>
          <w:tcPr>
            <w:tcW w:w="12474" w:type="dxa"/>
            <w:vAlign w:val="center"/>
          </w:tcPr>
          <w:p>
            <w:pPr>
              <w:pStyle w:val="13"/>
              <w:numPr>
                <w:ilvl w:val="0"/>
                <w:numId w:val="1"/>
              </w:numPr>
              <w:ind w:left="0" w:firstLine="0" w:firstLineChars="0"/>
              <w:rPr>
                <w:rFonts w:ascii="楷体" w:hAnsi="楷体" w:eastAsia="楷体"/>
                <w:szCs w:val="21"/>
              </w:rPr>
            </w:pPr>
            <w:r>
              <w:rPr>
                <w:rFonts w:hint="eastAsia" w:ascii="楷体" w:hAnsi="楷体" w:eastAsia="楷体"/>
                <w:szCs w:val="21"/>
              </w:rPr>
              <w:t>企业在《职责划分手册》（编号：SJZLH-T1-005-2021，版本：F/0，实施日期：2022/12/20）中规定了各部门的业务范围和工作职责。</w:t>
            </w:r>
          </w:p>
          <w:p>
            <w:pPr>
              <w:pStyle w:val="13"/>
              <w:numPr>
                <w:ilvl w:val="0"/>
                <w:numId w:val="1"/>
              </w:numPr>
              <w:ind w:left="0" w:firstLine="31" w:firstLineChars="15"/>
              <w:rPr>
                <w:rFonts w:ascii="楷体" w:hAnsi="楷体" w:eastAsia="楷体"/>
                <w:szCs w:val="21"/>
              </w:rPr>
            </w:pPr>
            <w:r>
              <w:rPr>
                <w:rFonts w:hint="eastAsia" w:ascii="楷体" w:hAnsi="楷体" w:eastAsia="楷体"/>
                <w:szCs w:val="21"/>
              </w:rPr>
              <w:t xml:space="preserve">负责人介绍，行政事务中心主要负责非生产方面节能管理，负责厂办大楼、机关部室、中心、运行部等办公场所的节能管理；负责资产分公司及下属各单位的水电汽的消耗管理，负责下达能源考核指标并负责督促与检查；负责责配合能源及碳排放相关检查、核查中所需数据及材料的提供及说明工作；负责非生产用能过程的能源风险识别与管控。 </w:t>
            </w:r>
            <w:r>
              <w:rPr>
                <w:rFonts w:ascii="楷体" w:hAnsi="楷体" w:eastAsia="楷体"/>
                <w:szCs w:val="21"/>
              </w:rPr>
              <w:t xml:space="preserve"> </w:t>
            </w:r>
          </w:p>
        </w:tc>
        <w:tc>
          <w:tcPr>
            <w:tcW w:w="567" w:type="dxa"/>
            <w:vAlign w:val="center"/>
          </w:tcPr>
          <w:p>
            <w:pPr>
              <w:jc w:val="center"/>
            </w:pPr>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01" w:type="dxa"/>
            <w:vAlign w:val="center"/>
          </w:tcPr>
          <w:p>
            <w:pPr>
              <w:rPr>
                <w:rFonts w:ascii="楷体" w:hAnsi="楷体" w:eastAsia="楷体"/>
                <w:szCs w:val="21"/>
              </w:rPr>
            </w:pPr>
            <w:r>
              <w:rPr>
                <w:rFonts w:hint="eastAsia" w:ascii="楷体" w:hAnsi="楷体" w:eastAsia="楷体"/>
              </w:rPr>
              <w:t>目标指标</w:t>
            </w:r>
          </w:p>
        </w:tc>
        <w:tc>
          <w:tcPr>
            <w:tcW w:w="850" w:type="dxa"/>
            <w:vAlign w:val="center"/>
          </w:tcPr>
          <w:p>
            <w:pPr>
              <w:rPr>
                <w:highlight w:val="yellow"/>
              </w:rPr>
            </w:pPr>
            <w:r>
              <w:rPr>
                <w:rFonts w:hint="eastAsia" w:ascii="楷体" w:hAnsi="楷体" w:eastAsia="楷体"/>
              </w:rPr>
              <w:t>En</w:t>
            </w:r>
            <w:r>
              <w:rPr>
                <w:rFonts w:ascii="楷体" w:hAnsi="楷体" w:eastAsia="楷体"/>
              </w:rPr>
              <w:t>6.2</w:t>
            </w:r>
          </w:p>
        </w:tc>
        <w:tc>
          <w:tcPr>
            <w:tcW w:w="12474" w:type="dxa"/>
            <w:vAlign w:val="center"/>
          </w:tcPr>
          <w:p>
            <w:pPr>
              <w:pStyle w:val="13"/>
              <w:numPr>
                <w:ilvl w:val="0"/>
                <w:numId w:val="1"/>
              </w:numPr>
              <w:ind w:left="0" w:firstLine="0" w:firstLineChars="0"/>
              <w:rPr>
                <w:rFonts w:ascii="楷体" w:hAnsi="楷体" w:eastAsia="楷体"/>
                <w:szCs w:val="21"/>
              </w:rPr>
            </w:pPr>
            <w:r>
              <w:rPr>
                <w:rFonts w:hint="eastAsia" w:ascii="楷体" w:hAnsi="楷体" w:eastAsia="楷体"/>
                <w:szCs w:val="21"/>
              </w:rPr>
              <w:t>负责人介绍，行政事务中心负责食堂管理，公司为食堂水电气消耗制定了年度目标。本部门每月统计实际消耗值。部门提责任提供了目标值和2</w:t>
            </w:r>
            <w:r>
              <w:rPr>
                <w:rFonts w:ascii="楷体" w:hAnsi="楷体" w:eastAsia="楷体"/>
                <w:szCs w:val="21"/>
              </w:rPr>
              <w:t>02</w:t>
            </w:r>
            <w:r>
              <w:rPr>
                <w:rFonts w:hint="eastAsia" w:ascii="楷体" w:hAnsi="楷体" w:eastAsia="楷体"/>
                <w:szCs w:val="21"/>
              </w:rPr>
              <w:t>年每月实际消耗数据，目前看实际消耗未超指标要求。</w:t>
            </w:r>
          </w:p>
          <w:p>
            <w:pPr>
              <w:pStyle w:val="13"/>
              <w:ind w:firstLine="0" w:firstLineChars="0"/>
              <w:rPr>
                <w:rFonts w:ascii="楷体" w:hAnsi="楷体" w:eastAsia="楷体"/>
                <w:szCs w:val="21"/>
              </w:rPr>
            </w:pPr>
            <w:r>
              <w:rPr>
                <w:rFonts w:ascii="楷体" w:hAnsi="楷体" w:eastAsia="楷体"/>
                <w:szCs w:val="21"/>
              </w:rPr>
              <w:drawing>
                <wp:inline distT="0" distB="0" distL="0" distR="0">
                  <wp:extent cx="6172200" cy="145542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5"/>
                          <a:stretch>
                            <a:fillRect/>
                          </a:stretch>
                        </pic:blipFill>
                        <pic:spPr>
                          <a:xfrm>
                            <a:off x="0" y="0"/>
                            <a:ext cx="6172361" cy="1456002"/>
                          </a:xfrm>
                          <a:prstGeom prst="rect">
                            <a:avLst/>
                          </a:prstGeom>
                        </pic:spPr>
                      </pic:pic>
                    </a:graphicData>
                  </a:graphic>
                </wp:inline>
              </w:drawing>
            </w:r>
          </w:p>
        </w:tc>
        <w:tc>
          <w:tcPr>
            <w:tcW w:w="567" w:type="dxa"/>
            <w:vAlign w:val="center"/>
          </w:tcPr>
          <w:p>
            <w:pPr>
              <w:jc w:val="center"/>
            </w:pPr>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1101" w:type="dxa"/>
            <w:vAlign w:val="center"/>
          </w:tcPr>
          <w:p>
            <w:pPr>
              <w:rPr>
                <w:rFonts w:ascii="楷体" w:hAnsi="楷体" w:eastAsia="楷体"/>
              </w:rPr>
            </w:pPr>
            <w:r>
              <w:rPr>
                <w:rFonts w:hint="eastAsia" w:ascii="楷体" w:hAnsi="楷体" w:eastAsia="楷体"/>
              </w:rPr>
              <w:t>信息沟通</w:t>
            </w:r>
          </w:p>
        </w:tc>
        <w:tc>
          <w:tcPr>
            <w:tcW w:w="850" w:type="dxa"/>
            <w:vAlign w:val="center"/>
          </w:tcPr>
          <w:p>
            <w:pPr>
              <w:rPr>
                <w:rFonts w:ascii="楷体" w:hAnsi="楷体" w:eastAsia="楷体"/>
              </w:rPr>
            </w:pPr>
            <w:r>
              <w:rPr>
                <w:rFonts w:hint="eastAsia" w:ascii="楷体" w:hAnsi="楷体" w:eastAsia="楷体"/>
              </w:rPr>
              <w:t>En</w:t>
            </w:r>
            <w:r>
              <w:rPr>
                <w:rFonts w:ascii="楷体" w:hAnsi="楷体" w:eastAsia="楷体"/>
              </w:rPr>
              <w:t>7.4</w:t>
            </w:r>
          </w:p>
        </w:tc>
        <w:tc>
          <w:tcPr>
            <w:tcW w:w="12474" w:type="dxa"/>
            <w:vAlign w:val="center"/>
          </w:tcPr>
          <w:p>
            <w:pPr>
              <w:pStyle w:val="13"/>
              <w:numPr>
                <w:ilvl w:val="0"/>
                <w:numId w:val="1"/>
              </w:numPr>
              <w:ind w:firstLineChars="0"/>
              <w:rPr>
                <w:rFonts w:ascii="楷体" w:hAnsi="楷体" w:eastAsia="楷体"/>
                <w:szCs w:val="21"/>
              </w:rPr>
            </w:pPr>
            <w:r>
              <w:rPr>
                <w:rFonts w:hint="eastAsia" w:ascii="楷体" w:hAnsi="楷体" w:eastAsia="楷体"/>
                <w:szCs w:val="21"/>
              </w:rPr>
              <w:t>部门负责人介绍，公司通过建立实施和保持适当的信息交流沟通、确保了公司内部以及与外部相关方的联系和回应、保证能源管理体系的有效运行、其中：</w:t>
            </w:r>
          </w:p>
          <w:p>
            <w:pPr>
              <w:pStyle w:val="13"/>
              <w:numPr>
                <w:ilvl w:val="0"/>
                <w:numId w:val="1"/>
              </w:numPr>
              <w:ind w:firstLineChars="0"/>
              <w:rPr>
                <w:rFonts w:ascii="楷体" w:hAnsi="楷体" w:eastAsia="楷体"/>
                <w:szCs w:val="21"/>
              </w:rPr>
            </w:pPr>
            <w:r>
              <w:rPr>
                <w:rFonts w:hint="eastAsia" w:ascii="楷体" w:hAnsi="楷体" w:eastAsia="楷体"/>
                <w:szCs w:val="21"/>
              </w:rPr>
              <w:t>----内部信息交流：食堂水电气使用，都为公司内部沟通，分别与生产技术部、检查计量中心联系沟通，沟通方式：内部电话和石化通。当食堂水电气供应有波动时，生产技术部调度通知行政事务中心做好用能切换准备，如停天然气，做饭改为用电，如停电，做饭改为用天然气，如停水，食堂存备一些。</w:t>
            </w:r>
          </w:p>
          <w:p>
            <w:pPr>
              <w:pStyle w:val="13"/>
              <w:numPr>
                <w:ilvl w:val="0"/>
                <w:numId w:val="1"/>
              </w:numPr>
              <w:ind w:firstLineChars="0"/>
              <w:rPr>
                <w:rFonts w:ascii="楷体" w:hAnsi="楷体" w:eastAsia="楷体"/>
                <w:szCs w:val="21"/>
              </w:rPr>
            </w:pPr>
            <w:r>
              <w:rPr>
                <w:rFonts w:hint="eastAsia" w:ascii="楷体" w:hAnsi="楷体" w:eastAsia="楷体"/>
                <w:szCs w:val="21"/>
              </w:rPr>
              <w:t>----外部信息交流：从相关方收集、接收的能源供应信息及时传递给相关方；上级部门或相关方需要公司能源信息。</w:t>
            </w:r>
          </w:p>
          <w:p>
            <w:pPr>
              <w:pStyle w:val="13"/>
              <w:numPr>
                <w:ilvl w:val="0"/>
                <w:numId w:val="1"/>
              </w:numPr>
              <w:ind w:left="0" w:firstLine="0" w:firstLineChars="0"/>
              <w:rPr>
                <w:rFonts w:ascii="楷体" w:hAnsi="楷体" w:eastAsia="楷体"/>
                <w:szCs w:val="21"/>
              </w:rPr>
            </w:pPr>
            <w:r>
              <w:rPr>
                <w:rFonts w:hint="eastAsia" w:ascii="楷体" w:hAnsi="楷体" w:eastAsia="楷体"/>
                <w:szCs w:val="21"/>
              </w:rPr>
              <w:t>----方式：电话、石化通、公文、邮件、专题会议、面谈、微信等。</w:t>
            </w:r>
          </w:p>
        </w:tc>
        <w:tc>
          <w:tcPr>
            <w:tcW w:w="567" w:type="dxa"/>
            <w:vAlign w:val="center"/>
          </w:tcPr>
          <w:p>
            <w:pPr>
              <w:jc w:val="center"/>
            </w:pPr>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101" w:type="dxa"/>
            <w:vAlign w:val="center"/>
          </w:tcPr>
          <w:p>
            <w:pPr>
              <w:rPr>
                <w:rFonts w:ascii="楷体" w:hAnsi="楷体" w:eastAsia="楷体"/>
              </w:rPr>
            </w:pPr>
            <w:r>
              <w:rPr>
                <w:rFonts w:hint="eastAsia" w:ascii="楷体" w:hAnsi="楷体" w:eastAsia="楷体"/>
              </w:rPr>
              <w:t>运行控制</w:t>
            </w:r>
          </w:p>
        </w:tc>
        <w:tc>
          <w:tcPr>
            <w:tcW w:w="850" w:type="dxa"/>
            <w:vAlign w:val="center"/>
          </w:tcPr>
          <w:p>
            <w:pPr>
              <w:rPr>
                <w:rFonts w:ascii="楷体" w:hAnsi="楷体" w:eastAsia="楷体"/>
              </w:rPr>
            </w:pPr>
            <w:r>
              <w:rPr>
                <w:rFonts w:hint="eastAsia" w:ascii="楷体" w:hAnsi="楷体" w:eastAsia="楷体"/>
              </w:rPr>
              <w:t>E</w:t>
            </w:r>
            <w:r>
              <w:rPr>
                <w:rFonts w:ascii="楷体" w:hAnsi="楷体" w:eastAsia="楷体"/>
              </w:rPr>
              <w:t>n8.1</w:t>
            </w:r>
          </w:p>
        </w:tc>
        <w:tc>
          <w:tcPr>
            <w:tcW w:w="12474" w:type="dxa"/>
            <w:vAlign w:val="center"/>
          </w:tcPr>
          <w:p>
            <w:pPr>
              <w:pStyle w:val="13"/>
              <w:numPr>
                <w:ilvl w:val="0"/>
                <w:numId w:val="1"/>
              </w:numPr>
              <w:ind w:left="34" w:firstLine="0" w:firstLineChars="0"/>
              <w:rPr>
                <w:rFonts w:ascii="楷体" w:hAnsi="楷体" w:eastAsia="楷体"/>
                <w:szCs w:val="21"/>
              </w:rPr>
            </w:pPr>
            <w:r>
              <w:rPr>
                <w:rFonts w:hint="eastAsia" w:ascii="楷体" w:hAnsi="楷体" w:eastAsia="楷体"/>
                <w:szCs w:val="21"/>
              </w:rPr>
              <w:t>公司编制有《能源管理办法》（编号：SJZLH-1003-007-2018），用于指导企业各部门进行能源管理。</w:t>
            </w:r>
          </w:p>
          <w:p>
            <w:pPr>
              <w:pStyle w:val="13"/>
              <w:numPr>
                <w:ilvl w:val="0"/>
                <w:numId w:val="1"/>
              </w:numPr>
              <w:ind w:left="34" w:firstLine="0" w:firstLineChars="0"/>
              <w:rPr>
                <w:rFonts w:ascii="楷体" w:hAnsi="楷体" w:eastAsia="楷体"/>
                <w:szCs w:val="21"/>
              </w:rPr>
            </w:pPr>
            <w:r>
              <w:rPr>
                <w:rFonts w:hint="eastAsia" w:ascii="楷体" w:hAnsi="楷体" w:eastAsia="楷体"/>
                <w:szCs w:val="21"/>
              </w:rPr>
              <w:t>部门负责人介绍，行政事务中心业务一方面是人员办公过程，耗能主要是办公设备消耗少量电力以及工作中消耗少量生活用水；另一方面是食堂运营消耗水电气。</w:t>
            </w:r>
          </w:p>
          <w:p>
            <w:pPr>
              <w:pStyle w:val="13"/>
              <w:numPr>
                <w:ilvl w:val="0"/>
                <w:numId w:val="1"/>
              </w:numPr>
              <w:ind w:left="0" w:firstLine="0" w:firstLineChars="0"/>
              <w:rPr>
                <w:rFonts w:ascii="楷体" w:hAnsi="楷体" w:eastAsia="楷体"/>
                <w:szCs w:val="21"/>
              </w:rPr>
            </w:pPr>
            <w:r>
              <w:rPr>
                <w:rFonts w:hint="eastAsia" w:ascii="楷体" w:hAnsi="楷体" w:eastAsia="楷体"/>
                <w:szCs w:val="21"/>
              </w:rPr>
              <w:t>办公过程中部门执行公司的节能制度要求：闲置房间要停止供应水、电、暖气等介质；有人活动的房间按规定使用空调设备，夏天设定温度不能低于26℃，冬天设定温度不能高于20℃，并做到人离开关闭空调，设备间空调设定温度不得低于设计温度；按要求时间停、开供暖；减少电脑、复印机、打印机等耗能设备的待机能耗，优先使用绿色节能照明灯具；杜绝长流水、长明灯现象，使用空调及暖气期间要关闭门窗。日常注意节水节电、节省办公过程中的能源消耗。</w:t>
            </w:r>
          </w:p>
          <w:p>
            <w:pPr>
              <w:pStyle w:val="13"/>
              <w:numPr>
                <w:ilvl w:val="0"/>
                <w:numId w:val="1"/>
              </w:numPr>
              <w:ind w:left="0" w:firstLine="0" w:firstLineChars="0"/>
              <w:rPr>
                <w:rFonts w:ascii="楷体" w:hAnsi="楷体" w:eastAsia="楷体"/>
                <w:szCs w:val="21"/>
              </w:rPr>
            </w:pPr>
            <w:r>
              <w:rPr>
                <w:rFonts w:hint="eastAsia" w:ascii="楷体" w:hAnsi="楷体" w:eastAsia="楷体"/>
                <w:szCs w:val="21"/>
              </w:rPr>
              <w:t>对于食堂运营，部门通过实施如下措施来节约水电气：</w:t>
            </w:r>
          </w:p>
          <w:p>
            <w:pPr>
              <w:pStyle w:val="13"/>
              <w:ind w:firstLine="0" w:firstLineChars="0"/>
              <w:rPr>
                <w:rFonts w:ascii="楷体" w:hAnsi="楷体" w:eastAsia="楷体"/>
                <w:szCs w:val="21"/>
              </w:rPr>
            </w:pPr>
            <w:r>
              <w:rPr>
                <w:rFonts w:ascii="楷体" w:hAnsi="楷体" w:eastAsia="楷体"/>
                <w:szCs w:val="21"/>
              </w:rPr>
              <w:t>---</w:t>
            </w:r>
            <w:r>
              <w:rPr>
                <w:rFonts w:hint="eastAsia" w:ascii="楷体" w:hAnsi="楷体" w:eastAsia="楷体"/>
                <w:szCs w:val="21"/>
              </w:rPr>
              <w:t>节约用水措施：各操作间工作期间禁止长流水现象，有水龙头损坏，先关闭分阀门，及时报修。</w:t>
            </w:r>
          </w:p>
          <w:p>
            <w:pPr>
              <w:pStyle w:val="13"/>
              <w:ind w:firstLine="0" w:firstLineChars="0"/>
              <w:rPr>
                <w:rFonts w:ascii="楷体" w:hAnsi="楷体" w:eastAsia="楷体"/>
                <w:szCs w:val="21"/>
              </w:rPr>
            </w:pPr>
            <w:r>
              <w:rPr>
                <w:rFonts w:ascii="楷体" w:hAnsi="楷体" w:eastAsia="楷体"/>
                <w:szCs w:val="21"/>
              </w:rPr>
              <w:t>---</w:t>
            </w:r>
            <w:r>
              <w:rPr>
                <w:rFonts w:hint="eastAsia" w:ascii="楷体" w:hAnsi="楷体" w:eastAsia="楷体"/>
                <w:szCs w:val="21"/>
              </w:rPr>
              <w:t>节约用电措施：每餐闭餐后，各部门关闭电气设备、关闭电源箱电闸。</w:t>
            </w:r>
            <w:r>
              <w:rPr>
                <w:rFonts w:hint="eastAsia" w:ascii="楷体" w:hAnsi="楷体" w:eastAsia="楷体"/>
                <w:szCs w:val="21"/>
              </w:rPr>
              <w:tab/>
            </w:r>
          </w:p>
          <w:p>
            <w:pPr>
              <w:pStyle w:val="13"/>
              <w:ind w:firstLine="0" w:firstLineChars="0"/>
              <w:rPr>
                <w:rFonts w:ascii="楷体" w:hAnsi="楷体" w:eastAsia="楷体"/>
                <w:szCs w:val="21"/>
              </w:rPr>
            </w:pPr>
            <w:r>
              <w:rPr>
                <w:rFonts w:ascii="楷体" w:hAnsi="楷体" w:eastAsia="楷体"/>
                <w:szCs w:val="21"/>
              </w:rPr>
              <w:t>---</w:t>
            </w:r>
            <w:r>
              <w:rPr>
                <w:rFonts w:hint="eastAsia" w:ascii="楷体" w:hAnsi="楷体" w:eastAsia="楷体"/>
                <w:szCs w:val="21"/>
              </w:rPr>
              <w:t>节约用气措施：早餐、午餐、晚餐闭餐后，各部门关闭燃气分阀门；夜餐餐后关闭燃气总阀门，填写关闭记录，拍照发工作群为证。</w:t>
            </w:r>
          </w:p>
        </w:tc>
        <w:tc>
          <w:tcPr>
            <w:tcW w:w="567" w:type="dxa"/>
            <w:vAlign w:val="center"/>
          </w:tcPr>
          <w:p>
            <w:pPr>
              <w:jc w:val="center"/>
            </w:pPr>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101" w:type="dxa"/>
            <w:vAlign w:val="center"/>
          </w:tcPr>
          <w:p>
            <w:pPr>
              <w:rPr>
                <w:rFonts w:ascii="楷体" w:hAnsi="楷体" w:eastAsia="楷体"/>
              </w:rPr>
            </w:pPr>
            <w:r>
              <w:rPr>
                <w:rFonts w:hint="eastAsia" w:ascii="楷体" w:hAnsi="楷体" w:eastAsia="楷体"/>
                <w:szCs w:val="21"/>
              </w:rPr>
              <w:t>不符合纠正和纠正措施</w:t>
            </w:r>
          </w:p>
        </w:tc>
        <w:tc>
          <w:tcPr>
            <w:tcW w:w="850" w:type="dxa"/>
            <w:vAlign w:val="center"/>
          </w:tcPr>
          <w:p>
            <w:pPr>
              <w:rPr>
                <w:rFonts w:ascii="楷体" w:hAnsi="楷体" w:eastAsia="楷体"/>
              </w:rPr>
            </w:pPr>
            <w:r>
              <w:rPr>
                <w:rFonts w:hint="eastAsia" w:ascii="楷体" w:hAnsi="楷体" w:eastAsia="楷体"/>
              </w:rPr>
              <w:t>E</w:t>
            </w:r>
            <w:r>
              <w:rPr>
                <w:rFonts w:ascii="楷体" w:hAnsi="楷体" w:eastAsia="楷体"/>
              </w:rPr>
              <w:t>n10.1</w:t>
            </w:r>
          </w:p>
        </w:tc>
        <w:tc>
          <w:tcPr>
            <w:tcW w:w="12474" w:type="dxa"/>
            <w:vAlign w:val="center"/>
          </w:tcPr>
          <w:p>
            <w:pPr>
              <w:pStyle w:val="13"/>
              <w:numPr>
                <w:ilvl w:val="0"/>
                <w:numId w:val="1"/>
              </w:numPr>
              <w:ind w:left="0" w:firstLine="0" w:firstLineChars="0"/>
              <w:rPr>
                <w:rFonts w:ascii="楷体" w:hAnsi="楷体" w:eastAsia="楷体"/>
                <w:szCs w:val="21"/>
              </w:rPr>
            </w:pPr>
            <w:r>
              <w:rPr>
                <w:rFonts w:hint="eastAsia" w:ascii="楷体" w:hAnsi="楷体" w:eastAsia="楷体"/>
                <w:szCs w:val="21"/>
              </w:rPr>
              <w:t>负责人介绍公司利用内外部检查/评价、相关方/客户投诉、抱怨等，识别公司各项活动中实际存在的或潜在的不符合项及由此产生的不利影响，查找原因采取适宜的纠正、纠正措施，以消除不符合的原因，防止不符合项的再次发生，减少或消除由此产生的不利影响，持续改进管理体系的有效性。</w:t>
            </w:r>
          </w:p>
        </w:tc>
        <w:tc>
          <w:tcPr>
            <w:tcW w:w="567" w:type="dxa"/>
            <w:vAlign w:val="center"/>
          </w:tcPr>
          <w:p>
            <w:pPr>
              <w:jc w:val="center"/>
            </w:pPr>
            <w:r>
              <w:rPr>
                <w:rFonts w:hint="eastAsia"/>
              </w:rPr>
              <w:t>Y</w:t>
            </w:r>
          </w:p>
        </w:tc>
      </w:tr>
    </w:tbl>
    <w:p>
      <w:pPr>
        <w:pStyle w:val="3"/>
      </w:pPr>
    </w:p>
    <w:p>
      <w:pPr>
        <w:pStyle w:val="3"/>
      </w:pPr>
      <w:r>
        <w:rPr>
          <w:rFonts w:hint="eastAsia"/>
        </w:rPr>
        <w:t>说明：不符合标注N</w:t>
      </w:r>
    </w:p>
    <w:p>
      <w:pPr>
        <w:pStyle w:val="3"/>
      </w:pPr>
    </w:p>
    <w:p>
      <w:pPr>
        <w:pStyle w:val="3"/>
      </w:pPr>
    </w:p>
    <w:p>
      <w:pPr>
        <w:pStyle w:val="3"/>
        <w:jc w:val="center"/>
        <w:rPr>
          <w:rFonts w:ascii="隶书" w:hAnsi="宋体" w:eastAsia="隶书"/>
          <w:bCs/>
          <w:color w:val="000000"/>
          <w:sz w:val="36"/>
          <w:szCs w:val="36"/>
        </w:rPr>
      </w:pPr>
      <w:r>
        <w:rPr>
          <w:rFonts w:ascii="隶书" w:hAnsi="宋体" w:eastAsia="隶书"/>
          <w:bCs/>
          <w:color w:val="000000"/>
          <w:sz w:val="36"/>
          <w:szCs w:val="36"/>
        </w:rPr>
        <w:br w:type="page"/>
      </w:r>
    </w:p>
    <w:p>
      <w:pPr>
        <w:pStyle w:val="3"/>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5"/>
        <w:tblW w:w="149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850"/>
        <w:gridCol w:w="12474"/>
        <w:gridCol w:w="4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101" w:type="dxa"/>
            <w:vMerge w:val="restart"/>
            <w:vAlign w:val="center"/>
          </w:tcPr>
          <w:p>
            <w:pPr>
              <w:tabs>
                <w:tab w:val="left" w:pos="7380"/>
              </w:tabs>
              <w:rPr>
                <w:rFonts w:ascii="楷体" w:hAnsi="楷体" w:eastAsia="楷体"/>
                <w:szCs w:val="21"/>
              </w:rPr>
            </w:pPr>
            <w:r>
              <w:rPr>
                <w:rFonts w:hint="eastAsia" w:ascii="楷体" w:hAnsi="楷体" w:eastAsia="楷体"/>
                <w:szCs w:val="21"/>
              </w:rPr>
              <w:t>过程与活动、抽样计划</w:t>
            </w:r>
          </w:p>
        </w:tc>
        <w:tc>
          <w:tcPr>
            <w:tcW w:w="850" w:type="dxa"/>
            <w:vMerge w:val="restart"/>
            <w:vAlign w:val="center"/>
          </w:tcPr>
          <w:p>
            <w:pPr>
              <w:tabs>
                <w:tab w:val="left" w:pos="7380"/>
              </w:tabs>
              <w:rPr>
                <w:rFonts w:ascii="楷体" w:hAnsi="楷体" w:eastAsia="楷体"/>
                <w:szCs w:val="21"/>
              </w:rPr>
            </w:pPr>
            <w:r>
              <w:rPr>
                <w:rFonts w:hint="eastAsia" w:ascii="楷体" w:hAnsi="楷体" w:eastAsia="楷体"/>
                <w:szCs w:val="21"/>
              </w:rPr>
              <w:t>涉及条款</w:t>
            </w:r>
          </w:p>
        </w:tc>
        <w:tc>
          <w:tcPr>
            <w:tcW w:w="12474" w:type="dxa"/>
            <w:vAlign w:val="center"/>
          </w:tcPr>
          <w:p>
            <w:pPr>
              <w:tabs>
                <w:tab w:val="left" w:pos="7380"/>
              </w:tabs>
              <w:rPr>
                <w:rFonts w:ascii="楷体" w:hAnsi="楷体" w:eastAsia="楷体"/>
                <w:szCs w:val="21"/>
              </w:rPr>
            </w:pPr>
            <w:r>
              <w:rPr>
                <w:rFonts w:hint="eastAsia" w:ascii="楷体" w:hAnsi="楷体" w:eastAsia="楷体"/>
                <w:szCs w:val="21"/>
              </w:rPr>
              <w:t>受审核部门：</w:t>
            </w:r>
            <w:bookmarkStart w:id="7" w:name="_Hlk123032677"/>
            <w:r>
              <w:rPr>
                <w:rFonts w:hint="eastAsia" w:ascii="楷体" w:hAnsi="楷体" w:eastAsia="楷体"/>
                <w:szCs w:val="21"/>
              </w:rPr>
              <w:t>纪委（监督部）</w:t>
            </w:r>
            <w:bookmarkEnd w:id="7"/>
            <w:r>
              <w:rPr>
                <w:rFonts w:hint="eastAsia" w:ascii="楷体" w:hAnsi="楷体" w:eastAsia="楷体"/>
                <w:szCs w:val="21"/>
              </w:rPr>
              <w:t xml:space="preserve"> </w:t>
            </w:r>
            <w:r>
              <w:rPr>
                <w:rFonts w:ascii="楷体" w:hAnsi="楷体" w:eastAsia="楷体"/>
                <w:szCs w:val="21"/>
              </w:rPr>
              <w:t xml:space="preserve">        </w:t>
            </w:r>
            <w:r>
              <w:rPr>
                <w:rFonts w:hint="eastAsia" w:ascii="楷体" w:hAnsi="楷体" w:eastAsia="楷体"/>
                <w:szCs w:val="21"/>
              </w:rPr>
              <w:t>负责人：肖俊泉</w:t>
            </w:r>
            <w:r>
              <w:rPr>
                <w:rFonts w:ascii="楷体" w:hAnsi="楷体" w:eastAsia="楷体"/>
                <w:szCs w:val="21"/>
              </w:rPr>
              <w:t xml:space="preserve">               </w:t>
            </w:r>
            <w:r>
              <w:rPr>
                <w:rFonts w:hint="eastAsia" w:ascii="楷体" w:hAnsi="楷体" w:eastAsia="楷体"/>
                <w:szCs w:val="21"/>
              </w:rPr>
              <w:t>陪同人员：杨惠娇</w:t>
            </w:r>
          </w:p>
        </w:tc>
        <w:tc>
          <w:tcPr>
            <w:tcW w:w="486" w:type="dxa"/>
            <w:vMerge w:val="restart"/>
            <w:vAlign w:val="center"/>
          </w:tcPr>
          <w:p>
            <w:pPr>
              <w:tabs>
                <w:tab w:val="left" w:pos="7380"/>
              </w:tabs>
              <w:jc w:val="center"/>
              <w:rPr>
                <w:rFonts w:ascii="楷体" w:hAnsi="楷体" w:eastAsia="楷体"/>
                <w:szCs w:val="21"/>
              </w:rPr>
            </w:pPr>
            <w:r>
              <w:rPr>
                <w:rFonts w:hint="eastAsia" w:ascii="楷体" w:hAnsi="楷体" w:eastAsia="楷体"/>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101" w:type="dxa"/>
            <w:vMerge w:val="continue"/>
            <w:vAlign w:val="center"/>
          </w:tcPr>
          <w:p/>
        </w:tc>
        <w:tc>
          <w:tcPr>
            <w:tcW w:w="850" w:type="dxa"/>
            <w:vMerge w:val="continue"/>
            <w:vAlign w:val="center"/>
          </w:tcPr>
          <w:p/>
        </w:tc>
        <w:tc>
          <w:tcPr>
            <w:tcW w:w="12474" w:type="dxa"/>
            <w:vAlign w:val="center"/>
          </w:tcPr>
          <w:p>
            <w:pPr>
              <w:tabs>
                <w:tab w:val="left" w:pos="7380"/>
              </w:tabs>
              <w:rPr>
                <w:rFonts w:ascii="楷体" w:hAnsi="楷体" w:eastAsia="楷体"/>
                <w:szCs w:val="21"/>
              </w:rPr>
            </w:pPr>
            <w:r>
              <w:rPr>
                <w:rFonts w:hint="eastAsia" w:ascii="楷体" w:hAnsi="楷体" w:eastAsia="楷体"/>
                <w:szCs w:val="21"/>
              </w:rPr>
              <w:t xml:space="preserve">审核员：王琳（微信、电话沟通） </w:t>
            </w:r>
            <w:r>
              <w:rPr>
                <w:rFonts w:ascii="楷体" w:hAnsi="楷体" w:eastAsia="楷体"/>
                <w:szCs w:val="21"/>
              </w:rPr>
              <w:t xml:space="preserve">                   </w:t>
            </w:r>
            <w:r>
              <w:rPr>
                <w:rFonts w:hint="eastAsia" w:ascii="楷体" w:hAnsi="楷体" w:eastAsia="楷体"/>
                <w:szCs w:val="21"/>
              </w:rPr>
              <w:t>审核时间：</w:t>
            </w:r>
            <w:r>
              <w:rPr>
                <w:rFonts w:ascii="楷体" w:hAnsi="楷体" w:eastAsia="楷体"/>
                <w:szCs w:val="21"/>
              </w:rPr>
              <w:t>2022年12月</w:t>
            </w:r>
            <w:r>
              <w:rPr>
                <w:rFonts w:hint="eastAsia" w:ascii="楷体" w:hAnsi="楷体" w:eastAsia="楷体"/>
                <w:szCs w:val="21"/>
              </w:rPr>
              <w:t>3</w:t>
            </w:r>
            <w:r>
              <w:rPr>
                <w:rFonts w:ascii="楷体" w:hAnsi="楷体" w:eastAsia="楷体"/>
                <w:szCs w:val="21"/>
              </w:rPr>
              <w:t>0日</w:t>
            </w:r>
          </w:p>
        </w:tc>
        <w:tc>
          <w:tcPr>
            <w:tcW w:w="486"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101" w:type="dxa"/>
            <w:vMerge w:val="continue"/>
            <w:vAlign w:val="center"/>
          </w:tcPr>
          <w:p/>
        </w:tc>
        <w:tc>
          <w:tcPr>
            <w:tcW w:w="850" w:type="dxa"/>
            <w:vMerge w:val="continue"/>
            <w:vAlign w:val="center"/>
          </w:tcPr>
          <w:p/>
        </w:tc>
        <w:tc>
          <w:tcPr>
            <w:tcW w:w="12474" w:type="dxa"/>
            <w:vAlign w:val="center"/>
          </w:tcPr>
          <w:p>
            <w:pPr>
              <w:tabs>
                <w:tab w:val="left" w:pos="7380"/>
              </w:tabs>
              <w:rPr>
                <w:rFonts w:ascii="楷体" w:hAnsi="楷体" w:eastAsia="楷体"/>
                <w:szCs w:val="21"/>
              </w:rPr>
            </w:pPr>
            <w:r>
              <w:rPr>
                <w:rFonts w:hint="eastAsia" w:ascii="楷体" w:hAnsi="楷体" w:eastAsia="楷体"/>
                <w:szCs w:val="21"/>
              </w:rPr>
              <w:t>审核条款：</w:t>
            </w:r>
            <w:r>
              <w:rPr>
                <w:rFonts w:hint="eastAsia"/>
                <w:szCs w:val="21"/>
              </w:rPr>
              <w:t>EnMS:5.3/6.2/7.4/8.1/10.1</w:t>
            </w:r>
          </w:p>
        </w:tc>
        <w:tc>
          <w:tcPr>
            <w:tcW w:w="486"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2" w:hRule="atLeast"/>
        </w:trPr>
        <w:tc>
          <w:tcPr>
            <w:tcW w:w="1101" w:type="dxa"/>
            <w:vAlign w:val="center"/>
          </w:tcPr>
          <w:p>
            <w:r>
              <w:rPr>
                <w:rFonts w:hint="eastAsia" w:ascii="楷体" w:hAnsi="楷体" w:eastAsia="楷体"/>
                <w:szCs w:val="21"/>
              </w:rPr>
              <w:t>部门职责权限</w:t>
            </w:r>
          </w:p>
        </w:tc>
        <w:tc>
          <w:tcPr>
            <w:tcW w:w="850" w:type="dxa"/>
            <w:vAlign w:val="center"/>
          </w:tcPr>
          <w:p>
            <w:r>
              <w:rPr>
                <w:rFonts w:hint="eastAsia"/>
              </w:rPr>
              <w:t>En</w:t>
            </w:r>
            <w:r>
              <w:t>5.3</w:t>
            </w:r>
          </w:p>
        </w:tc>
        <w:tc>
          <w:tcPr>
            <w:tcW w:w="12474" w:type="dxa"/>
            <w:vAlign w:val="center"/>
          </w:tcPr>
          <w:p>
            <w:pPr>
              <w:pStyle w:val="13"/>
              <w:numPr>
                <w:ilvl w:val="0"/>
                <w:numId w:val="1"/>
              </w:numPr>
              <w:ind w:left="0" w:firstLine="0" w:firstLineChars="0"/>
              <w:rPr>
                <w:rFonts w:ascii="楷体" w:hAnsi="楷体" w:eastAsia="楷体"/>
                <w:szCs w:val="21"/>
              </w:rPr>
            </w:pPr>
            <w:r>
              <w:rPr>
                <w:rFonts w:hint="eastAsia" w:ascii="楷体" w:hAnsi="楷体" w:eastAsia="楷体"/>
                <w:szCs w:val="21"/>
              </w:rPr>
              <w:t>企业在《职责划分手册》（编号：SJZLH-T1-005-2021，版本：F/0，实施日期：2022/12/20）中规定了各部门的业务范围和工作职责。</w:t>
            </w:r>
          </w:p>
          <w:p>
            <w:pPr>
              <w:tabs>
                <w:tab w:val="center" w:pos="4201"/>
                <w:tab w:val="right" w:leader="dot" w:pos="9298"/>
              </w:tabs>
              <w:autoSpaceDE w:val="0"/>
              <w:autoSpaceDN w:val="0"/>
              <w:spacing w:line="360" w:lineRule="exact"/>
              <w:ind w:firstLine="420" w:firstLineChars="200"/>
              <w:rPr>
                <w:rFonts w:ascii="楷体" w:hAnsi="楷体" w:eastAsia="楷体"/>
                <w:szCs w:val="21"/>
              </w:rPr>
            </w:pPr>
            <w:r>
              <w:rPr>
                <w:rFonts w:hint="eastAsia" w:ascii="楷体" w:hAnsi="楷体" w:eastAsia="楷体"/>
                <w:szCs w:val="21"/>
              </w:rPr>
              <w:t>部门负责人介绍，纪委（监督部）在能源管理方面基本不承担职责，仅负责对采购过程进行监督并组织开展相关的效能监察。</w:t>
            </w:r>
          </w:p>
        </w:tc>
        <w:tc>
          <w:tcPr>
            <w:tcW w:w="486" w:type="dxa"/>
            <w:vAlign w:val="center"/>
          </w:tcPr>
          <w:p>
            <w:pPr>
              <w:jc w:val="center"/>
            </w:pPr>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1101" w:type="dxa"/>
            <w:vAlign w:val="center"/>
          </w:tcPr>
          <w:p>
            <w:pPr>
              <w:rPr>
                <w:rFonts w:ascii="楷体" w:hAnsi="楷体" w:eastAsia="楷体"/>
                <w:szCs w:val="21"/>
              </w:rPr>
            </w:pPr>
            <w:r>
              <w:rPr>
                <w:rFonts w:hint="eastAsia" w:ascii="楷体" w:hAnsi="楷体" w:eastAsia="楷体"/>
              </w:rPr>
              <w:t>目标指标</w:t>
            </w:r>
          </w:p>
        </w:tc>
        <w:tc>
          <w:tcPr>
            <w:tcW w:w="850" w:type="dxa"/>
            <w:vAlign w:val="center"/>
          </w:tcPr>
          <w:p>
            <w:pPr>
              <w:rPr>
                <w:highlight w:val="yellow"/>
              </w:rPr>
            </w:pPr>
            <w:r>
              <w:rPr>
                <w:rFonts w:hint="eastAsia" w:ascii="楷体" w:hAnsi="楷体" w:eastAsia="楷体"/>
              </w:rPr>
              <w:t>En</w:t>
            </w:r>
            <w:r>
              <w:rPr>
                <w:rFonts w:ascii="楷体" w:hAnsi="楷体" w:eastAsia="楷体"/>
              </w:rPr>
              <w:t>6.2</w:t>
            </w:r>
          </w:p>
        </w:tc>
        <w:tc>
          <w:tcPr>
            <w:tcW w:w="12474" w:type="dxa"/>
            <w:vAlign w:val="center"/>
          </w:tcPr>
          <w:p>
            <w:pPr>
              <w:pStyle w:val="13"/>
              <w:numPr>
                <w:ilvl w:val="0"/>
                <w:numId w:val="1"/>
              </w:numPr>
              <w:ind w:left="0" w:firstLine="0" w:firstLineChars="0"/>
              <w:rPr>
                <w:rFonts w:ascii="楷体" w:hAnsi="楷体" w:eastAsia="楷体"/>
                <w:szCs w:val="21"/>
              </w:rPr>
            </w:pPr>
            <w:r>
              <w:rPr>
                <w:rFonts w:hint="eastAsia" w:ascii="楷体" w:hAnsi="楷体" w:eastAsia="楷体"/>
                <w:szCs w:val="21"/>
              </w:rPr>
              <w:t>负责人介绍，纪委（监督部）是职能部门，不涉及生产，公司未分配能源目标指标到本部门。</w:t>
            </w:r>
          </w:p>
        </w:tc>
        <w:tc>
          <w:tcPr>
            <w:tcW w:w="486" w:type="dxa"/>
            <w:vAlign w:val="center"/>
          </w:tcPr>
          <w:p>
            <w:pPr>
              <w:jc w:val="center"/>
            </w:pPr>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101" w:type="dxa"/>
            <w:vAlign w:val="center"/>
          </w:tcPr>
          <w:p>
            <w:pPr>
              <w:rPr>
                <w:rFonts w:ascii="楷体" w:hAnsi="楷体" w:eastAsia="楷体"/>
              </w:rPr>
            </w:pPr>
            <w:r>
              <w:rPr>
                <w:rFonts w:hint="eastAsia" w:ascii="楷体" w:hAnsi="楷体" w:eastAsia="楷体"/>
              </w:rPr>
              <w:t>信息沟通</w:t>
            </w:r>
          </w:p>
        </w:tc>
        <w:tc>
          <w:tcPr>
            <w:tcW w:w="850" w:type="dxa"/>
            <w:vAlign w:val="center"/>
          </w:tcPr>
          <w:p>
            <w:pPr>
              <w:rPr>
                <w:rFonts w:ascii="楷体" w:hAnsi="楷体" w:eastAsia="楷体"/>
              </w:rPr>
            </w:pPr>
            <w:r>
              <w:rPr>
                <w:rFonts w:hint="eastAsia" w:ascii="楷体" w:hAnsi="楷体" w:eastAsia="楷体"/>
              </w:rPr>
              <w:t>En</w:t>
            </w:r>
            <w:r>
              <w:rPr>
                <w:rFonts w:ascii="楷体" w:hAnsi="楷体" w:eastAsia="楷体"/>
              </w:rPr>
              <w:t>7.4</w:t>
            </w:r>
          </w:p>
        </w:tc>
        <w:tc>
          <w:tcPr>
            <w:tcW w:w="12474" w:type="dxa"/>
            <w:vAlign w:val="center"/>
          </w:tcPr>
          <w:p>
            <w:pPr>
              <w:pStyle w:val="13"/>
              <w:numPr>
                <w:ilvl w:val="0"/>
                <w:numId w:val="1"/>
              </w:numPr>
              <w:ind w:left="0" w:firstLine="0" w:firstLineChars="0"/>
              <w:rPr>
                <w:rFonts w:ascii="楷体" w:hAnsi="楷体" w:eastAsia="楷体"/>
                <w:szCs w:val="21"/>
              </w:rPr>
            </w:pPr>
            <w:r>
              <w:rPr>
                <w:rFonts w:hint="eastAsia" w:ascii="楷体" w:hAnsi="楷体" w:eastAsia="楷体"/>
                <w:szCs w:val="21"/>
              </w:rPr>
              <w:t>部门负责人介绍，公司通过建立实施和保持适当的信息交流沟通、确保了公司内部以及与外部相关方的联系和回应、保证能源管理体系的有效运行、其中：</w:t>
            </w:r>
          </w:p>
          <w:p>
            <w:pPr>
              <w:pStyle w:val="13"/>
              <w:numPr>
                <w:ilvl w:val="0"/>
                <w:numId w:val="1"/>
              </w:numPr>
              <w:ind w:left="0" w:firstLine="0" w:firstLineChars="0"/>
              <w:rPr>
                <w:rFonts w:ascii="楷体" w:hAnsi="楷体" w:eastAsia="楷体"/>
                <w:szCs w:val="21"/>
              </w:rPr>
            </w:pPr>
            <w:r>
              <w:rPr>
                <w:rFonts w:hint="eastAsia" w:ascii="楷体" w:hAnsi="楷体" w:eastAsia="楷体"/>
                <w:szCs w:val="21"/>
              </w:rPr>
              <w:t>----内部信息交流：法律法规、标准及其他要求、目标、指标及管理方案的实施、能源基准及能源绩效参数、体系运行的监测结果、内审和管理评审的结果，由运行保障中心传达到各部门；另内部能源体系宣传教育包括：节能形势政策；节约能源带来的社会和经济效益；交流节能技术；节能知识竞赛；组建节能小组；征集合理化建议；评选节能先进。</w:t>
            </w:r>
          </w:p>
          <w:p>
            <w:pPr>
              <w:pStyle w:val="13"/>
              <w:numPr>
                <w:ilvl w:val="0"/>
                <w:numId w:val="1"/>
              </w:numPr>
              <w:ind w:left="0" w:firstLine="0" w:firstLineChars="0"/>
              <w:rPr>
                <w:rFonts w:ascii="楷体" w:hAnsi="楷体" w:eastAsia="楷体"/>
                <w:szCs w:val="21"/>
              </w:rPr>
            </w:pPr>
            <w:r>
              <w:rPr>
                <w:rFonts w:hint="eastAsia" w:ascii="楷体" w:hAnsi="楷体" w:eastAsia="楷体"/>
                <w:szCs w:val="21"/>
              </w:rPr>
              <w:t>----外部信息交流：从相关方收集、接收的能源供应信息及时传递给相关方；上级部门或相关方需要公司能源信息。</w:t>
            </w:r>
          </w:p>
          <w:p>
            <w:pPr>
              <w:pStyle w:val="13"/>
              <w:numPr>
                <w:ilvl w:val="0"/>
                <w:numId w:val="1"/>
              </w:numPr>
              <w:ind w:left="0" w:firstLine="0" w:firstLineChars="0"/>
              <w:rPr>
                <w:rFonts w:ascii="楷体" w:hAnsi="楷体" w:eastAsia="楷体"/>
                <w:szCs w:val="21"/>
              </w:rPr>
            </w:pPr>
            <w:r>
              <w:rPr>
                <w:rFonts w:hint="eastAsia" w:ascii="楷体" w:hAnsi="楷体" w:eastAsia="楷体"/>
                <w:szCs w:val="21"/>
              </w:rPr>
              <w:t>----方式：电话、石化通、公文、邮件、专题会议、面谈、微信等。</w:t>
            </w:r>
          </w:p>
        </w:tc>
        <w:tc>
          <w:tcPr>
            <w:tcW w:w="486" w:type="dxa"/>
            <w:vAlign w:val="center"/>
          </w:tcPr>
          <w:p>
            <w:pPr>
              <w:jc w:val="center"/>
            </w:pPr>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101" w:type="dxa"/>
            <w:vAlign w:val="center"/>
          </w:tcPr>
          <w:p>
            <w:pPr>
              <w:rPr>
                <w:rFonts w:ascii="楷体" w:hAnsi="楷体" w:eastAsia="楷体"/>
              </w:rPr>
            </w:pPr>
            <w:r>
              <w:rPr>
                <w:rFonts w:hint="eastAsia" w:ascii="楷体" w:hAnsi="楷体" w:eastAsia="楷体"/>
              </w:rPr>
              <w:t>运行控制</w:t>
            </w:r>
          </w:p>
        </w:tc>
        <w:tc>
          <w:tcPr>
            <w:tcW w:w="850" w:type="dxa"/>
            <w:vAlign w:val="center"/>
          </w:tcPr>
          <w:p>
            <w:pPr>
              <w:rPr>
                <w:rFonts w:ascii="楷体" w:hAnsi="楷体" w:eastAsia="楷体"/>
              </w:rPr>
            </w:pPr>
            <w:r>
              <w:rPr>
                <w:rFonts w:hint="eastAsia" w:ascii="楷体" w:hAnsi="楷体" w:eastAsia="楷体"/>
              </w:rPr>
              <w:t>E</w:t>
            </w:r>
            <w:r>
              <w:rPr>
                <w:rFonts w:ascii="楷体" w:hAnsi="楷体" w:eastAsia="楷体"/>
              </w:rPr>
              <w:t>n8.1</w:t>
            </w:r>
          </w:p>
        </w:tc>
        <w:tc>
          <w:tcPr>
            <w:tcW w:w="12474" w:type="dxa"/>
            <w:vAlign w:val="center"/>
          </w:tcPr>
          <w:p>
            <w:pPr>
              <w:pStyle w:val="13"/>
              <w:numPr>
                <w:ilvl w:val="0"/>
                <w:numId w:val="1"/>
              </w:numPr>
              <w:ind w:left="34" w:firstLine="0" w:firstLineChars="0"/>
              <w:rPr>
                <w:rFonts w:ascii="楷体" w:hAnsi="楷体" w:eastAsia="楷体"/>
                <w:szCs w:val="21"/>
              </w:rPr>
            </w:pPr>
            <w:r>
              <w:rPr>
                <w:rFonts w:hint="eastAsia" w:ascii="楷体" w:hAnsi="楷体" w:eastAsia="楷体"/>
                <w:szCs w:val="21"/>
              </w:rPr>
              <w:t>公司编制有《能源管理办法》（编号：SJZLH-1003-007-2018），用于指导企业各部门进行能源管理。</w:t>
            </w:r>
          </w:p>
          <w:p>
            <w:pPr>
              <w:pStyle w:val="13"/>
              <w:numPr>
                <w:ilvl w:val="0"/>
                <w:numId w:val="1"/>
              </w:numPr>
              <w:ind w:left="34" w:firstLine="0" w:firstLineChars="0"/>
              <w:rPr>
                <w:rFonts w:ascii="楷体" w:hAnsi="楷体" w:eastAsia="楷体"/>
                <w:szCs w:val="21"/>
              </w:rPr>
            </w:pPr>
            <w:r>
              <w:rPr>
                <w:rFonts w:hint="eastAsia" w:ascii="楷体" w:hAnsi="楷体" w:eastAsia="楷体"/>
                <w:szCs w:val="21"/>
              </w:rPr>
              <w:t>部门负责人介绍，纪委（监督部）业务主要是人员办公过程，耗能主要是办公设备消耗少量电力以及工作中消耗少量生活用水。</w:t>
            </w:r>
          </w:p>
          <w:p>
            <w:pPr>
              <w:pStyle w:val="13"/>
              <w:numPr>
                <w:ilvl w:val="0"/>
                <w:numId w:val="1"/>
              </w:numPr>
              <w:ind w:left="0" w:firstLine="0" w:firstLineChars="0"/>
              <w:rPr>
                <w:rFonts w:ascii="楷体" w:hAnsi="楷体" w:eastAsia="楷体"/>
                <w:szCs w:val="21"/>
              </w:rPr>
            </w:pPr>
            <w:r>
              <w:rPr>
                <w:rFonts w:hint="eastAsia" w:ascii="楷体" w:hAnsi="楷体" w:eastAsia="楷体"/>
                <w:szCs w:val="21"/>
              </w:rPr>
              <w:t>部门执行公司的节能制度要求：闲置房间要停止供应水、电、暖气等介质；有人活动的房间按规定使用空调设备，夏天设定温度不能低于26℃，冬天设定温度不能高于20℃，并做到人离开关闭空调，设备间空调设定温度不得低于设计温度；按要求时间停、开供暖；减少电脑、复印机、打印机等耗能设备的待机能耗，优先使用绿色节能照明灯具；杜绝长流水、长明灯现象，使用空调及暖气期间要关闭门窗。日常注意节水节电、节省办公过程中的能源消耗。</w:t>
            </w:r>
          </w:p>
        </w:tc>
        <w:tc>
          <w:tcPr>
            <w:tcW w:w="486" w:type="dxa"/>
            <w:vAlign w:val="center"/>
          </w:tcPr>
          <w:p>
            <w:pPr>
              <w:jc w:val="center"/>
            </w:pPr>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101" w:type="dxa"/>
            <w:vAlign w:val="center"/>
          </w:tcPr>
          <w:p>
            <w:pPr>
              <w:rPr>
                <w:rFonts w:ascii="楷体" w:hAnsi="楷体" w:eastAsia="楷体"/>
              </w:rPr>
            </w:pPr>
            <w:r>
              <w:rPr>
                <w:rFonts w:hint="eastAsia" w:ascii="楷体" w:hAnsi="楷体" w:eastAsia="楷体"/>
                <w:szCs w:val="21"/>
              </w:rPr>
              <w:t>不符合纠正和纠正措施</w:t>
            </w:r>
          </w:p>
        </w:tc>
        <w:tc>
          <w:tcPr>
            <w:tcW w:w="850" w:type="dxa"/>
            <w:vAlign w:val="center"/>
          </w:tcPr>
          <w:p>
            <w:pPr>
              <w:rPr>
                <w:rFonts w:ascii="楷体" w:hAnsi="楷体" w:eastAsia="楷体"/>
              </w:rPr>
            </w:pPr>
            <w:r>
              <w:rPr>
                <w:rFonts w:hint="eastAsia" w:ascii="楷体" w:hAnsi="楷体" w:eastAsia="楷体"/>
              </w:rPr>
              <w:t>E</w:t>
            </w:r>
            <w:r>
              <w:rPr>
                <w:rFonts w:ascii="楷体" w:hAnsi="楷体" w:eastAsia="楷体"/>
              </w:rPr>
              <w:t>n10.1</w:t>
            </w:r>
          </w:p>
        </w:tc>
        <w:tc>
          <w:tcPr>
            <w:tcW w:w="12474" w:type="dxa"/>
            <w:vAlign w:val="center"/>
          </w:tcPr>
          <w:p>
            <w:pPr>
              <w:pStyle w:val="13"/>
              <w:numPr>
                <w:ilvl w:val="0"/>
                <w:numId w:val="1"/>
              </w:numPr>
              <w:ind w:left="0" w:firstLine="0" w:firstLineChars="0"/>
              <w:rPr>
                <w:rFonts w:ascii="楷体" w:hAnsi="楷体" w:eastAsia="楷体"/>
                <w:szCs w:val="21"/>
              </w:rPr>
            </w:pPr>
            <w:r>
              <w:rPr>
                <w:rFonts w:hint="eastAsia" w:ascii="楷体" w:hAnsi="楷体" w:eastAsia="楷体"/>
                <w:szCs w:val="21"/>
              </w:rPr>
              <w:t>负责人介绍公司利用内外部检查/评价、相关方/客户投诉、抱怨等，识别公司各项活动中实际存在的或潜在的不符合项及由此产生的不利影响，查找原因采取适宜的纠正、纠正措施，以消除不符合的原因，防止不符合项的再次发生，减少或消除由此产生的不利影响，持续改进管理体系的有效性。</w:t>
            </w:r>
          </w:p>
        </w:tc>
        <w:tc>
          <w:tcPr>
            <w:tcW w:w="486" w:type="dxa"/>
            <w:vAlign w:val="center"/>
          </w:tcPr>
          <w:p>
            <w:pPr>
              <w:jc w:val="center"/>
            </w:pPr>
            <w:r>
              <w:rPr>
                <w:rFonts w:hint="eastAsia"/>
              </w:rPr>
              <w:t>Y</w:t>
            </w:r>
          </w:p>
        </w:tc>
      </w:tr>
    </w:tbl>
    <w:p>
      <w:pPr>
        <w:pStyle w:val="3"/>
      </w:pPr>
    </w:p>
    <w:p>
      <w:pPr>
        <w:pStyle w:val="3"/>
      </w:pPr>
      <w:r>
        <w:rPr>
          <w:rFonts w:hint="eastAsia"/>
        </w:rPr>
        <w:t>说明：不符合标注N</w:t>
      </w:r>
    </w:p>
    <w:p>
      <w:pPr>
        <w:pStyle w:val="3"/>
      </w:pPr>
    </w:p>
    <w:p>
      <w:pPr>
        <w:pStyle w:val="3"/>
      </w:pPr>
    </w:p>
    <w:p>
      <w:pPr>
        <w:pStyle w:val="3"/>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5"/>
        <w:tblW w:w="150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851"/>
        <w:gridCol w:w="12332"/>
        <w:gridCol w:w="6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242" w:type="dxa"/>
            <w:vMerge w:val="restart"/>
            <w:vAlign w:val="center"/>
          </w:tcPr>
          <w:p>
            <w:pPr>
              <w:tabs>
                <w:tab w:val="left" w:pos="7380"/>
              </w:tabs>
              <w:rPr>
                <w:rFonts w:ascii="楷体" w:hAnsi="楷体" w:eastAsia="楷体"/>
                <w:szCs w:val="21"/>
              </w:rPr>
            </w:pPr>
            <w:r>
              <w:rPr>
                <w:rFonts w:hint="eastAsia" w:ascii="楷体" w:hAnsi="楷体" w:eastAsia="楷体"/>
                <w:szCs w:val="21"/>
              </w:rPr>
              <w:t>过程与活动、抽样计划</w:t>
            </w:r>
          </w:p>
        </w:tc>
        <w:tc>
          <w:tcPr>
            <w:tcW w:w="851" w:type="dxa"/>
            <w:vMerge w:val="restart"/>
            <w:vAlign w:val="center"/>
          </w:tcPr>
          <w:p>
            <w:pPr>
              <w:tabs>
                <w:tab w:val="left" w:pos="7380"/>
              </w:tabs>
              <w:rPr>
                <w:rFonts w:ascii="楷体" w:hAnsi="楷体" w:eastAsia="楷体"/>
                <w:szCs w:val="21"/>
              </w:rPr>
            </w:pPr>
            <w:r>
              <w:rPr>
                <w:rFonts w:hint="eastAsia" w:ascii="楷体" w:hAnsi="楷体" w:eastAsia="楷体"/>
                <w:szCs w:val="21"/>
              </w:rPr>
              <w:t>涉及条款</w:t>
            </w:r>
          </w:p>
        </w:tc>
        <w:tc>
          <w:tcPr>
            <w:tcW w:w="12332" w:type="dxa"/>
            <w:vAlign w:val="center"/>
          </w:tcPr>
          <w:p>
            <w:pPr>
              <w:tabs>
                <w:tab w:val="left" w:pos="7380"/>
              </w:tabs>
              <w:rPr>
                <w:rFonts w:ascii="楷体" w:hAnsi="楷体" w:eastAsia="楷体"/>
                <w:szCs w:val="21"/>
              </w:rPr>
            </w:pPr>
            <w:r>
              <w:rPr>
                <w:rFonts w:hint="eastAsia" w:ascii="楷体" w:hAnsi="楷体" w:eastAsia="楷体"/>
                <w:szCs w:val="21"/>
              </w:rPr>
              <w:t>受审核部门：</w:t>
            </w:r>
            <w:bookmarkStart w:id="8" w:name="_Hlk123032699"/>
            <w:r>
              <w:rPr>
                <w:rFonts w:hint="eastAsia" w:ascii="楷体" w:hAnsi="楷体" w:eastAsia="楷体"/>
                <w:szCs w:val="21"/>
              </w:rPr>
              <w:t>审计管理部</w:t>
            </w:r>
            <w:bookmarkEnd w:id="8"/>
            <w:r>
              <w:rPr>
                <w:rFonts w:hint="eastAsia" w:ascii="楷体" w:hAnsi="楷体" w:eastAsia="楷体"/>
                <w:szCs w:val="21"/>
              </w:rPr>
              <w:t xml:space="preserve"> </w:t>
            </w:r>
            <w:r>
              <w:rPr>
                <w:rFonts w:ascii="楷体" w:hAnsi="楷体" w:eastAsia="楷体"/>
                <w:szCs w:val="21"/>
              </w:rPr>
              <w:t xml:space="preserve">        </w:t>
            </w:r>
            <w:r>
              <w:rPr>
                <w:rFonts w:hint="eastAsia" w:ascii="楷体" w:hAnsi="楷体" w:eastAsia="楷体"/>
                <w:szCs w:val="21"/>
              </w:rPr>
              <w:t>负责人：贾侪英</w:t>
            </w:r>
            <w:r>
              <w:rPr>
                <w:rFonts w:ascii="楷体" w:hAnsi="楷体" w:eastAsia="楷体"/>
                <w:szCs w:val="21"/>
              </w:rPr>
              <w:t xml:space="preserve">               </w:t>
            </w:r>
            <w:r>
              <w:rPr>
                <w:rFonts w:hint="eastAsia" w:ascii="楷体" w:hAnsi="楷体" w:eastAsia="楷体"/>
                <w:szCs w:val="21"/>
              </w:rPr>
              <w:t>陪同人员：杨惠娇</w:t>
            </w:r>
          </w:p>
        </w:tc>
        <w:tc>
          <w:tcPr>
            <w:tcW w:w="627" w:type="dxa"/>
            <w:vMerge w:val="restart"/>
            <w:vAlign w:val="center"/>
          </w:tcPr>
          <w:p>
            <w:pPr>
              <w:tabs>
                <w:tab w:val="left" w:pos="7380"/>
              </w:tabs>
              <w:jc w:val="center"/>
              <w:rPr>
                <w:rFonts w:ascii="楷体" w:hAnsi="楷体" w:eastAsia="楷体"/>
                <w:szCs w:val="21"/>
              </w:rPr>
            </w:pPr>
            <w:r>
              <w:rPr>
                <w:rFonts w:hint="eastAsia" w:ascii="楷体" w:hAnsi="楷体" w:eastAsia="楷体"/>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242" w:type="dxa"/>
            <w:vMerge w:val="continue"/>
            <w:vAlign w:val="center"/>
          </w:tcPr>
          <w:p/>
        </w:tc>
        <w:tc>
          <w:tcPr>
            <w:tcW w:w="851" w:type="dxa"/>
            <w:vMerge w:val="continue"/>
            <w:vAlign w:val="center"/>
          </w:tcPr>
          <w:p/>
        </w:tc>
        <w:tc>
          <w:tcPr>
            <w:tcW w:w="12332" w:type="dxa"/>
            <w:vAlign w:val="center"/>
          </w:tcPr>
          <w:p>
            <w:pPr>
              <w:tabs>
                <w:tab w:val="left" w:pos="7380"/>
              </w:tabs>
              <w:rPr>
                <w:rFonts w:ascii="楷体" w:hAnsi="楷体" w:eastAsia="楷体"/>
                <w:szCs w:val="21"/>
              </w:rPr>
            </w:pPr>
            <w:r>
              <w:rPr>
                <w:rFonts w:hint="eastAsia" w:ascii="楷体" w:hAnsi="楷体" w:eastAsia="楷体"/>
                <w:szCs w:val="21"/>
              </w:rPr>
              <w:t xml:space="preserve">审核员：王琳（微信、电话沟通） </w:t>
            </w:r>
            <w:r>
              <w:rPr>
                <w:rFonts w:ascii="楷体" w:hAnsi="楷体" w:eastAsia="楷体"/>
                <w:szCs w:val="21"/>
              </w:rPr>
              <w:t xml:space="preserve">                   </w:t>
            </w:r>
            <w:r>
              <w:rPr>
                <w:rFonts w:hint="eastAsia" w:ascii="楷体" w:hAnsi="楷体" w:eastAsia="楷体"/>
                <w:szCs w:val="21"/>
              </w:rPr>
              <w:t>审核时间：</w:t>
            </w:r>
            <w:r>
              <w:rPr>
                <w:rFonts w:ascii="楷体" w:hAnsi="楷体" w:eastAsia="楷体"/>
                <w:szCs w:val="21"/>
              </w:rPr>
              <w:t>2022年12月</w:t>
            </w:r>
            <w:r>
              <w:rPr>
                <w:rFonts w:hint="eastAsia" w:ascii="楷体" w:hAnsi="楷体" w:eastAsia="楷体"/>
                <w:szCs w:val="21"/>
              </w:rPr>
              <w:t>3</w:t>
            </w:r>
            <w:r>
              <w:rPr>
                <w:rFonts w:ascii="楷体" w:hAnsi="楷体" w:eastAsia="楷体"/>
                <w:szCs w:val="21"/>
              </w:rPr>
              <w:t>0日</w:t>
            </w:r>
          </w:p>
        </w:tc>
        <w:tc>
          <w:tcPr>
            <w:tcW w:w="627"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242" w:type="dxa"/>
            <w:vMerge w:val="continue"/>
            <w:vAlign w:val="center"/>
          </w:tcPr>
          <w:p/>
        </w:tc>
        <w:tc>
          <w:tcPr>
            <w:tcW w:w="851" w:type="dxa"/>
            <w:vMerge w:val="continue"/>
            <w:vAlign w:val="center"/>
          </w:tcPr>
          <w:p/>
        </w:tc>
        <w:tc>
          <w:tcPr>
            <w:tcW w:w="12332" w:type="dxa"/>
            <w:vAlign w:val="center"/>
          </w:tcPr>
          <w:p>
            <w:pPr>
              <w:tabs>
                <w:tab w:val="left" w:pos="7380"/>
              </w:tabs>
              <w:rPr>
                <w:rFonts w:ascii="楷体" w:hAnsi="楷体" w:eastAsia="楷体"/>
                <w:szCs w:val="21"/>
              </w:rPr>
            </w:pPr>
            <w:r>
              <w:rPr>
                <w:rFonts w:hint="eastAsia" w:ascii="楷体" w:hAnsi="楷体" w:eastAsia="楷体"/>
                <w:szCs w:val="21"/>
              </w:rPr>
              <w:t>审核条款：</w:t>
            </w:r>
            <w:r>
              <w:rPr>
                <w:rFonts w:hint="eastAsia"/>
                <w:szCs w:val="21"/>
              </w:rPr>
              <w:t>EnMS:5.3/6.2/7.4/8.1/10.1</w:t>
            </w:r>
          </w:p>
        </w:tc>
        <w:tc>
          <w:tcPr>
            <w:tcW w:w="627"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242" w:type="dxa"/>
            <w:vAlign w:val="center"/>
          </w:tcPr>
          <w:p>
            <w:r>
              <w:rPr>
                <w:rFonts w:hint="eastAsia" w:ascii="楷体" w:hAnsi="楷体" w:eastAsia="楷体"/>
                <w:szCs w:val="21"/>
              </w:rPr>
              <w:t>部门职责权限</w:t>
            </w:r>
          </w:p>
        </w:tc>
        <w:tc>
          <w:tcPr>
            <w:tcW w:w="851" w:type="dxa"/>
            <w:vAlign w:val="center"/>
          </w:tcPr>
          <w:p>
            <w:r>
              <w:rPr>
                <w:rFonts w:hint="eastAsia"/>
              </w:rPr>
              <w:t>En</w:t>
            </w:r>
            <w:r>
              <w:t>5.3</w:t>
            </w:r>
          </w:p>
        </w:tc>
        <w:tc>
          <w:tcPr>
            <w:tcW w:w="12332" w:type="dxa"/>
            <w:vAlign w:val="center"/>
          </w:tcPr>
          <w:p>
            <w:pPr>
              <w:pStyle w:val="13"/>
              <w:numPr>
                <w:ilvl w:val="0"/>
                <w:numId w:val="1"/>
              </w:numPr>
              <w:ind w:left="0" w:firstLine="0" w:firstLineChars="0"/>
              <w:rPr>
                <w:rFonts w:ascii="楷体" w:hAnsi="楷体" w:eastAsia="楷体"/>
                <w:szCs w:val="21"/>
              </w:rPr>
            </w:pPr>
            <w:r>
              <w:rPr>
                <w:rFonts w:hint="eastAsia" w:ascii="楷体" w:hAnsi="楷体" w:eastAsia="楷体"/>
                <w:szCs w:val="21"/>
              </w:rPr>
              <w:t>企业在《职责划分手册》（编号：SJZLH-T1-005-2021，版本：F/0，实施日期：2022/12/20）中规定了各部门的业务范围和工作职责。</w:t>
            </w:r>
          </w:p>
          <w:p>
            <w:pPr>
              <w:pStyle w:val="13"/>
              <w:numPr>
                <w:ilvl w:val="0"/>
                <w:numId w:val="1"/>
              </w:numPr>
              <w:ind w:firstLineChars="0"/>
              <w:rPr>
                <w:rFonts w:ascii="楷体" w:hAnsi="楷体" w:eastAsia="楷体"/>
                <w:szCs w:val="21"/>
              </w:rPr>
            </w:pPr>
            <w:r>
              <w:rPr>
                <w:rFonts w:hint="eastAsia" w:ascii="楷体" w:hAnsi="楷体" w:eastAsia="楷体"/>
                <w:szCs w:val="21"/>
              </w:rPr>
              <w:t>负责人介绍，审计管理部负责重大节能减排方案的审计；对具有明显经济和环境效益的重大清洁生产方案的经济效益进行专业确认；做好本单位其他清洁生产和绿色企业创建工作。</w:t>
            </w:r>
          </w:p>
          <w:p>
            <w:pPr>
              <w:pStyle w:val="13"/>
              <w:numPr>
                <w:ilvl w:val="0"/>
                <w:numId w:val="1"/>
              </w:numPr>
              <w:ind w:firstLineChars="0"/>
              <w:rPr>
                <w:rFonts w:ascii="楷体" w:hAnsi="楷体" w:eastAsia="楷体"/>
                <w:szCs w:val="21"/>
              </w:rPr>
            </w:pPr>
            <w:r>
              <w:rPr>
                <w:rFonts w:hint="eastAsia" w:ascii="楷体" w:hAnsi="楷体" w:eastAsia="楷体"/>
                <w:szCs w:val="21"/>
              </w:rPr>
              <w:t>负责人介绍，审计管理部设置有审计经理、审计管理 、工程审计、经济效益审计岗位。各岗位分工明确，职责清晰，人员满足部门工作要求。</w:t>
            </w:r>
          </w:p>
        </w:tc>
        <w:tc>
          <w:tcPr>
            <w:tcW w:w="627" w:type="dxa"/>
            <w:vAlign w:val="center"/>
          </w:tcPr>
          <w:p>
            <w:pPr>
              <w:jc w:val="center"/>
            </w:pPr>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242" w:type="dxa"/>
            <w:vAlign w:val="center"/>
          </w:tcPr>
          <w:p>
            <w:pPr>
              <w:rPr>
                <w:rFonts w:ascii="楷体" w:hAnsi="楷体" w:eastAsia="楷体"/>
                <w:szCs w:val="21"/>
              </w:rPr>
            </w:pPr>
            <w:r>
              <w:rPr>
                <w:rFonts w:hint="eastAsia" w:ascii="楷体" w:hAnsi="楷体" w:eastAsia="楷体"/>
              </w:rPr>
              <w:t>目标指标</w:t>
            </w:r>
          </w:p>
        </w:tc>
        <w:tc>
          <w:tcPr>
            <w:tcW w:w="851" w:type="dxa"/>
            <w:vAlign w:val="center"/>
          </w:tcPr>
          <w:p>
            <w:pPr>
              <w:rPr>
                <w:highlight w:val="yellow"/>
              </w:rPr>
            </w:pPr>
            <w:r>
              <w:rPr>
                <w:rFonts w:hint="eastAsia" w:ascii="楷体" w:hAnsi="楷体" w:eastAsia="楷体"/>
              </w:rPr>
              <w:t>En</w:t>
            </w:r>
            <w:r>
              <w:rPr>
                <w:rFonts w:ascii="楷体" w:hAnsi="楷体" w:eastAsia="楷体"/>
              </w:rPr>
              <w:t>6.2</w:t>
            </w:r>
          </w:p>
        </w:tc>
        <w:tc>
          <w:tcPr>
            <w:tcW w:w="12332" w:type="dxa"/>
            <w:vAlign w:val="center"/>
          </w:tcPr>
          <w:p>
            <w:pPr>
              <w:pStyle w:val="13"/>
              <w:numPr>
                <w:ilvl w:val="0"/>
                <w:numId w:val="1"/>
              </w:numPr>
              <w:ind w:left="0" w:firstLine="0" w:firstLineChars="0"/>
              <w:rPr>
                <w:rFonts w:ascii="楷体" w:hAnsi="楷体" w:eastAsia="楷体"/>
                <w:szCs w:val="21"/>
              </w:rPr>
            </w:pPr>
            <w:r>
              <w:rPr>
                <w:rFonts w:hint="eastAsia" w:ascii="楷体" w:hAnsi="楷体" w:eastAsia="楷体"/>
                <w:szCs w:val="21"/>
              </w:rPr>
              <w:t>负责人介绍，审计管理部是职能部门，不涉及生产，公司未分配能源目标指标到本部门。</w:t>
            </w:r>
          </w:p>
        </w:tc>
        <w:tc>
          <w:tcPr>
            <w:tcW w:w="627" w:type="dxa"/>
            <w:vAlign w:val="center"/>
          </w:tcPr>
          <w:p>
            <w:pPr>
              <w:jc w:val="center"/>
            </w:pPr>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242" w:type="dxa"/>
            <w:vAlign w:val="center"/>
          </w:tcPr>
          <w:p>
            <w:pPr>
              <w:rPr>
                <w:rFonts w:ascii="楷体" w:hAnsi="楷体" w:eastAsia="楷体"/>
              </w:rPr>
            </w:pPr>
            <w:r>
              <w:rPr>
                <w:rFonts w:hint="eastAsia" w:ascii="楷体" w:hAnsi="楷体" w:eastAsia="楷体"/>
              </w:rPr>
              <w:t>信息沟通</w:t>
            </w:r>
          </w:p>
        </w:tc>
        <w:tc>
          <w:tcPr>
            <w:tcW w:w="851" w:type="dxa"/>
            <w:vAlign w:val="center"/>
          </w:tcPr>
          <w:p>
            <w:pPr>
              <w:rPr>
                <w:rFonts w:ascii="楷体" w:hAnsi="楷体" w:eastAsia="楷体"/>
              </w:rPr>
            </w:pPr>
            <w:r>
              <w:rPr>
                <w:rFonts w:hint="eastAsia" w:ascii="楷体" w:hAnsi="楷体" w:eastAsia="楷体"/>
              </w:rPr>
              <w:t>En</w:t>
            </w:r>
            <w:r>
              <w:rPr>
                <w:rFonts w:ascii="楷体" w:hAnsi="楷体" w:eastAsia="楷体"/>
              </w:rPr>
              <w:t>7.4</w:t>
            </w:r>
          </w:p>
        </w:tc>
        <w:tc>
          <w:tcPr>
            <w:tcW w:w="12332" w:type="dxa"/>
            <w:vAlign w:val="center"/>
          </w:tcPr>
          <w:p>
            <w:pPr>
              <w:pStyle w:val="13"/>
              <w:numPr>
                <w:ilvl w:val="0"/>
                <w:numId w:val="1"/>
              </w:numPr>
              <w:ind w:firstLineChars="0"/>
              <w:rPr>
                <w:rFonts w:ascii="楷体" w:hAnsi="楷体" w:eastAsia="楷体"/>
                <w:szCs w:val="21"/>
              </w:rPr>
            </w:pPr>
            <w:r>
              <w:rPr>
                <w:rFonts w:hint="eastAsia" w:ascii="楷体" w:hAnsi="楷体" w:eastAsia="楷体"/>
                <w:szCs w:val="21"/>
              </w:rPr>
              <w:t>部门负责人介绍，公司通过建立实施和保持适当的信息交流沟通、确保了公司内部以及与外部相关方的联系和回应、保证能源管理体系的有效运行、其中：</w:t>
            </w:r>
          </w:p>
          <w:p>
            <w:pPr>
              <w:pStyle w:val="13"/>
              <w:numPr>
                <w:ilvl w:val="0"/>
                <w:numId w:val="1"/>
              </w:numPr>
              <w:ind w:firstLineChars="0"/>
              <w:rPr>
                <w:rFonts w:ascii="楷体" w:hAnsi="楷体" w:eastAsia="楷体"/>
                <w:szCs w:val="21"/>
              </w:rPr>
            </w:pPr>
            <w:r>
              <w:rPr>
                <w:rFonts w:hint="eastAsia" w:ascii="楷体" w:hAnsi="楷体" w:eastAsia="楷体"/>
                <w:szCs w:val="21"/>
              </w:rPr>
              <w:t>----内部信息交流：法律法规、标准及其他要求、目标、指标及管理方案的实施、能源基准及能源绩效参数、体系运行的监测结果、内审和管理评审的结果，由运行保障中心传达到各部门；另内部能源体系宣传教育包括：节能形势政策；节约能源带来的社会和经济效益；交流节能技术；节能知识竞赛；组建节能小组；征集合理化建议；评选节能先进。</w:t>
            </w:r>
          </w:p>
          <w:p>
            <w:pPr>
              <w:pStyle w:val="13"/>
              <w:numPr>
                <w:ilvl w:val="0"/>
                <w:numId w:val="1"/>
              </w:numPr>
              <w:ind w:firstLineChars="0"/>
              <w:rPr>
                <w:rFonts w:ascii="楷体" w:hAnsi="楷体" w:eastAsia="楷体"/>
                <w:szCs w:val="21"/>
              </w:rPr>
            </w:pPr>
            <w:r>
              <w:rPr>
                <w:rFonts w:hint="eastAsia" w:ascii="楷体" w:hAnsi="楷体" w:eastAsia="楷体"/>
                <w:szCs w:val="21"/>
              </w:rPr>
              <w:t>----外部信息交流：从相关方收集、接收的能源供应信息及时传递给相关方；上级部门或相关方需要公司能源信息。</w:t>
            </w:r>
          </w:p>
          <w:p>
            <w:pPr>
              <w:pStyle w:val="13"/>
              <w:numPr>
                <w:ilvl w:val="0"/>
                <w:numId w:val="1"/>
              </w:numPr>
              <w:ind w:left="0" w:firstLine="0" w:firstLineChars="0"/>
              <w:rPr>
                <w:rFonts w:ascii="楷体" w:hAnsi="楷体" w:eastAsia="楷体"/>
                <w:szCs w:val="21"/>
              </w:rPr>
            </w:pPr>
            <w:r>
              <w:rPr>
                <w:rFonts w:hint="eastAsia" w:ascii="楷体" w:hAnsi="楷体" w:eastAsia="楷体"/>
                <w:szCs w:val="21"/>
              </w:rPr>
              <w:t>----方式：电话、石化通、公文、邮件、专题会议、面谈、微信等。</w:t>
            </w:r>
          </w:p>
        </w:tc>
        <w:tc>
          <w:tcPr>
            <w:tcW w:w="627" w:type="dxa"/>
            <w:vAlign w:val="center"/>
          </w:tcPr>
          <w:p>
            <w:pPr>
              <w:jc w:val="center"/>
            </w:pPr>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242" w:type="dxa"/>
            <w:vAlign w:val="center"/>
          </w:tcPr>
          <w:p>
            <w:pPr>
              <w:rPr>
                <w:rFonts w:ascii="楷体" w:hAnsi="楷体" w:eastAsia="楷体"/>
              </w:rPr>
            </w:pPr>
            <w:r>
              <w:rPr>
                <w:rFonts w:hint="eastAsia" w:ascii="楷体" w:hAnsi="楷体" w:eastAsia="楷体"/>
              </w:rPr>
              <w:t>运行控制</w:t>
            </w:r>
          </w:p>
        </w:tc>
        <w:tc>
          <w:tcPr>
            <w:tcW w:w="851" w:type="dxa"/>
            <w:vAlign w:val="center"/>
          </w:tcPr>
          <w:p>
            <w:pPr>
              <w:rPr>
                <w:rFonts w:ascii="楷体" w:hAnsi="楷体" w:eastAsia="楷体"/>
              </w:rPr>
            </w:pPr>
            <w:r>
              <w:rPr>
                <w:rFonts w:hint="eastAsia" w:ascii="楷体" w:hAnsi="楷体" w:eastAsia="楷体"/>
              </w:rPr>
              <w:t>E</w:t>
            </w:r>
            <w:r>
              <w:rPr>
                <w:rFonts w:ascii="楷体" w:hAnsi="楷体" w:eastAsia="楷体"/>
              </w:rPr>
              <w:t>n8.1</w:t>
            </w:r>
          </w:p>
        </w:tc>
        <w:tc>
          <w:tcPr>
            <w:tcW w:w="12332" w:type="dxa"/>
            <w:vAlign w:val="center"/>
          </w:tcPr>
          <w:p>
            <w:pPr>
              <w:pStyle w:val="13"/>
              <w:numPr>
                <w:ilvl w:val="0"/>
                <w:numId w:val="1"/>
              </w:numPr>
              <w:ind w:left="34" w:firstLine="0" w:firstLineChars="0"/>
              <w:rPr>
                <w:rFonts w:ascii="楷体" w:hAnsi="楷体" w:eastAsia="楷体"/>
                <w:szCs w:val="21"/>
              </w:rPr>
            </w:pPr>
            <w:r>
              <w:rPr>
                <w:rFonts w:hint="eastAsia" w:ascii="楷体" w:hAnsi="楷体" w:eastAsia="楷体"/>
                <w:szCs w:val="21"/>
              </w:rPr>
              <w:t>公司编制有《能源管理办法》（编号：SJZLH-1003-007-2018），用于指导企业各部门进行能源管理。</w:t>
            </w:r>
          </w:p>
          <w:p>
            <w:pPr>
              <w:pStyle w:val="13"/>
              <w:numPr>
                <w:ilvl w:val="0"/>
                <w:numId w:val="1"/>
              </w:numPr>
              <w:ind w:left="34" w:firstLine="0" w:firstLineChars="0"/>
              <w:rPr>
                <w:rFonts w:ascii="楷体" w:hAnsi="楷体" w:eastAsia="楷体"/>
                <w:szCs w:val="21"/>
              </w:rPr>
            </w:pPr>
            <w:r>
              <w:rPr>
                <w:rFonts w:hint="eastAsia" w:ascii="楷体" w:hAnsi="楷体" w:eastAsia="楷体"/>
                <w:szCs w:val="21"/>
              </w:rPr>
              <w:t>部门负责人介绍，审计管理部业务主要是人员办公过程，耗能主要是办公设备消耗少量电力以及工作中消耗少量生活用水。</w:t>
            </w:r>
          </w:p>
          <w:p>
            <w:pPr>
              <w:pStyle w:val="13"/>
              <w:numPr>
                <w:ilvl w:val="0"/>
                <w:numId w:val="1"/>
              </w:numPr>
              <w:ind w:firstLineChars="0"/>
              <w:rPr>
                <w:rFonts w:ascii="楷体" w:hAnsi="楷体" w:eastAsia="楷体"/>
                <w:szCs w:val="21"/>
              </w:rPr>
            </w:pPr>
            <w:r>
              <w:rPr>
                <w:rFonts w:hint="eastAsia" w:ascii="楷体" w:hAnsi="楷体" w:eastAsia="楷体"/>
                <w:szCs w:val="21"/>
              </w:rPr>
              <w:t>部门执行公司的节能制度要求：闲置房间要停止供应水、电、暖气等介质；有人活动的房间按规定使用空调设备，夏天设定温度不能低于26℃，冬天设定温度不能高于20℃，并做到人离开关闭空调，设备间空调设定温度不得低于设计温度；按要求时间停、开供暖；减少电脑、复印机、打印机等耗能设备的待机能耗，优先使用绿色节能照明灯具；杜绝长流水、长明灯现象，使用空调及暖气期间要关闭门窗。日常注意节水节电、节省办公过程中的能源消耗。</w:t>
            </w:r>
          </w:p>
        </w:tc>
        <w:tc>
          <w:tcPr>
            <w:tcW w:w="627" w:type="dxa"/>
            <w:vAlign w:val="center"/>
          </w:tcPr>
          <w:p>
            <w:pPr>
              <w:jc w:val="center"/>
            </w:pPr>
            <w:r>
              <w:rPr>
                <w:rFonts w:hint="eastAsi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242" w:type="dxa"/>
            <w:vAlign w:val="center"/>
          </w:tcPr>
          <w:p>
            <w:pPr>
              <w:rPr>
                <w:rFonts w:ascii="楷体" w:hAnsi="楷体" w:eastAsia="楷体"/>
              </w:rPr>
            </w:pPr>
            <w:r>
              <w:rPr>
                <w:rFonts w:hint="eastAsia" w:ascii="楷体" w:hAnsi="楷体" w:eastAsia="楷体"/>
                <w:szCs w:val="21"/>
              </w:rPr>
              <w:t>不符合纠正和纠正措施</w:t>
            </w:r>
          </w:p>
        </w:tc>
        <w:tc>
          <w:tcPr>
            <w:tcW w:w="851" w:type="dxa"/>
            <w:vAlign w:val="center"/>
          </w:tcPr>
          <w:p>
            <w:pPr>
              <w:rPr>
                <w:rFonts w:ascii="楷体" w:hAnsi="楷体" w:eastAsia="楷体"/>
              </w:rPr>
            </w:pPr>
            <w:r>
              <w:rPr>
                <w:rFonts w:hint="eastAsia" w:ascii="楷体" w:hAnsi="楷体" w:eastAsia="楷体"/>
              </w:rPr>
              <w:t>E</w:t>
            </w:r>
            <w:r>
              <w:rPr>
                <w:rFonts w:ascii="楷体" w:hAnsi="楷体" w:eastAsia="楷体"/>
              </w:rPr>
              <w:t>n10.1</w:t>
            </w:r>
          </w:p>
        </w:tc>
        <w:tc>
          <w:tcPr>
            <w:tcW w:w="12332" w:type="dxa"/>
            <w:vAlign w:val="center"/>
          </w:tcPr>
          <w:p>
            <w:pPr>
              <w:pStyle w:val="13"/>
              <w:numPr>
                <w:ilvl w:val="0"/>
                <w:numId w:val="1"/>
              </w:numPr>
              <w:ind w:left="0" w:firstLine="0" w:firstLineChars="0"/>
              <w:rPr>
                <w:rFonts w:ascii="楷体" w:hAnsi="楷体" w:eastAsia="楷体"/>
                <w:szCs w:val="21"/>
              </w:rPr>
            </w:pPr>
            <w:r>
              <w:rPr>
                <w:rFonts w:hint="eastAsia" w:ascii="楷体" w:hAnsi="楷体" w:eastAsia="楷体"/>
                <w:szCs w:val="21"/>
              </w:rPr>
              <w:t>负责人介绍公司利用内外部检查/评价、相关方/客户投诉、抱怨等，识别公司各项活动中实际存在的或潜在的不符合项及由此产生的不利影响，查找原因采取适宜的纠正、纠正措施，以消除不符合的原因，防止不符合项的再次发生，减少或消除由此产生的不利影响，持续改进管理体系的有效性。</w:t>
            </w:r>
          </w:p>
        </w:tc>
        <w:tc>
          <w:tcPr>
            <w:tcW w:w="627" w:type="dxa"/>
            <w:vAlign w:val="center"/>
          </w:tcPr>
          <w:p>
            <w:pPr>
              <w:jc w:val="center"/>
            </w:pPr>
            <w:r>
              <w:rPr>
                <w:rFonts w:hint="eastAsia"/>
              </w:rPr>
              <w:t>Y</w:t>
            </w:r>
          </w:p>
        </w:tc>
      </w:tr>
    </w:tbl>
    <w:p>
      <w:pPr>
        <w:pStyle w:val="3"/>
      </w:pPr>
      <w:r>
        <w:rPr>
          <w:rFonts w:hint="eastAsia"/>
        </w:rPr>
        <w:t xml:space="preserve">说明：不符合标注N </w:t>
      </w:r>
    </w:p>
    <w:sectPr>
      <w:headerReference r:id="rId3" w:type="default"/>
      <w:footerReference r:id="rId4" w:type="default"/>
      <w:pgSz w:w="16838" w:h="11906" w:orient="landscape"/>
      <w:pgMar w:top="1440" w:right="1080" w:bottom="567" w:left="1080" w:header="680" w:footer="510"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隶书">
    <w:panose1 w:val="0201050906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3"/>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tabs>
        <w:tab w:val="left" w:pos="8910"/>
        <w:tab w:val="left" w:pos="9142"/>
        <w:tab w:val="clear" w:pos="4153"/>
      </w:tabs>
      <w:spacing w:line="320" w:lineRule="exact"/>
      <w:ind w:left="-86" w:leftChars="-41" w:firstLine="810" w:firstLineChars="450"/>
      <w:jc w:val="left"/>
      <w:rPr>
        <w:rStyle w:val="11"/>
        <w:rFonts w:hint="default"/>
      </w:rPr>
    </w:pPr>
    <w:r>
      <w:drawing>
        <wp:anchor distT="0" distB="0" distL="114300" distR="114300" simplePos="0" relativeHeight="251659264"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19"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mc:AlternateContent>
        <mc:Choice Requires="wps">
          <w:drawing>
            <wp:anchor distT="0" distB="0" distL="114300" distR="114300" simplePos="0" relativeHeight="251658240" behindDoc="0" locked="0" layoutInCell="1" allowOverlap="1">
              <wp:simplePos x="0" y="0"/>
              <wp:positionH relativeFrom="column">
                <wp:posOffset>7879080</wp:posOffset>
              </wp:positionH>
              <wp:positionV relativeFrom="paragraph">
                <wp:posOffset>159385</wp:posOffset>
              </wp:positionV>
              <wp:extent cx="1304290" cy="256540"/>
              <wp:effectExtent l="0" t="0" r="0" b="0"/>
              <wp:wrapNone/>
              <wp:docPr id="3" name="文本框 1"/>
              <wp:cNvGraphicFramePr/>
              <a:graphic xmlns:a="http://schemas.openxmlformats.org/drawingml/2006/main">
                <a:graphicData uri="http://schemas.microsoft.com/office/word/2010/wordprocessingShape">
                  <wps:wsp>
                    <wps:cNvSpPr txBox="1"/>
                    <wps:spPr>
                      <a:xfrm>
                        <a:off x="0" y="0"/>
                        <a:ext cx="1304290" cy="256540"/>
                      </a:xfrm>
                      <a:prstGeom prst="rect">
                        <a:avLst/>
                      </a:prstGeom>
                      <a:solidFill>
                        <a:srgbClr val="FFFFFF"/>
                      </a:solidFill>
                      <a:ln>
                        <a:noFill/>
                      </a:ln>
                    </wps:spPr>
                    <wps:txbx>
                      <w:txbxContent>
                        <w:p>
                          <w:pPr>
                            <w:rPr>
                              <w:sz w:val="18"/>
                              <w:szCs w:val="18"/>
                            </w:rPr>
                          </w:pPr>
                          <w:r>
                            <w:rPr>
                              <w:rFonts w:hint="eastAsia"/>
                              <w:sz w:val="18"/>
                              <w:szCs w:val="18"/>
                            </w:rPr>
                            <w:t>ISC-B-II-12(05版）</w:t>
                          </w:r>
                        </w:p>
                      </w:txbxContent>
                    </wps:txbx>
                    <wps:bodyPr upright="1"/>
                  </wps:wsp>
                </a:graphicData>
              </a:graphic>
            </wp:anchor>
          </w:drawing>
        </mc:Choice>
        <mc:Fallback>
          <w:pict>
            <v:shape id="文本框 1" o:spid="_x0000_s1026" o:spt="202" type="#_x0000_t202" style="position:absolute;left:0pt;margin-left:620.4pt;margin-top:12.55pt;height:20.2pt;width:102.7pt;z-index:251658240;mso-width-relative:page;mso-height-relative:page;" fillcolor="#FFFFFF" filled="t" stroked="f" coordsize="21600,21600" o:gfxdata="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QkH4RNgAAAALAQAADwAAAAAAAAABACAAAAAiAAAAZHJzL2Rvd25yZXYu&#10;eG1sUEsBAhQAFAAAAAgAh07iQCRMtevCAQAAdwMAAA4AAAAAAAAAAQAgAAAAJwEAAGRycy9lMm9E&#10;b2MueG1sUEsFBgAAAAAGAAYAWQEAAFsFAAAAAA==&#10;">
              <v:fill on="t" focussize="0,0"/>
              <v:stroke on="f"/>
              <v:imagedata o:title=""/>
              <o:lock v:ext="edit" aspectratio="f"/>
              <v:textbox>
                <w:txbxContent>
                  <w:p>
                    <w:pPr>
                      <w:rPr>
                        <w:sz w:val="18"/>
                        <w:szCs w:val="18"/>
                      </w:rPr>
                    </w:pPr>
                    <w:r>
                      <w:rPr>
                        <w:rFonts w:hint="eastAsia"/>
                        <w:sz w:val="18"/>
                        <w:szCs w:val="18"/>
                      </w:rPr>
                      <w:t>ISC-B-II-12(05版）</w:t>
                    </w:r>
                  </w:p>
                </w:txbxContent>
              </v:textbox>
            </v:shape>
          </w:pict>
        </mc:Fallback>
      </mc:AlternateContent>
    </w:r>
    <w:r>
      <w:rPr>
        <w:rStyle w:val="11"/>
        <w:rFonts w:hint="default"/>
      </w:rPr>
      <w:t>北京国标联合认证有限公司</w:t>
    </w:r>
    <w:r>
      <w:rPr>
        <w:rStyle w:val="11"/>
        <w:rFonts w:hint="default"/>
      </w:rPr>
      <w:tab/>
    </w:r>
    <w:r>
      <w:rPr>
        <w:rStyle w:val="11"/>
        <w:rFonts w:hint="default"/>
      </w:rPr>
      <w:tab/>
    </w:r>
    <w:r>
      <w:rPr>
        <w:rStyle w:val="11"/>
        <w:rFonts w:hint="default"/>
      </w:rPr>
      <w:tab/>
    </w:r>
  </w:p>
  <w:p>
    <w:pPr>
      <w:pStyle w:val="4"/>
      <w:pBdr>
        <w:bottom w:val="none" w:color="auto" w:sz="0" w:space="0"/>
      </w:pBdr>
      <w:spacing w:line="320" w:lineRule="exact"/>
      <w:ind w:firstLine="756" w:firstLineChars="400"/>
      <w:jc w:val="left"/>
    </w:pPr>
    <w:r>
      <w:rPr>
        <w:rStyle w:val="11"/>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D655D0"/>
    <w:multiLevelType w:val="multilevel"/>
    <w:tmpl w:val="50D655D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05C"/>
    <w:rsid w:val="00002785"/>
    <w:rsid w:val="000110BF"/>
    <w:rsid w:val="00012AAE"/>
    <w:rsid w:val="000344B0"/>
    <w:rsid w:val="00034C34"/>
    <w:rsid w:val="00035581"/>
    <w:rsid w:val="00045BA8"/>
    <w:rsid w:val="000471DE"/>
    <w:rsid w:val="00053C03"/>
    <w:rsid w:val="0007190E"/>
    <w:rsid w:val="000738E3"/>
    <w:rsid w:val="000754D8"/>
    <w:rsid w:val="00087DFF"/>
    <w:rsid w:val="000956C5"/>
    <w:rsid w:val="000A1ABA"/>
    <w:rsid w:val="000C27FE"/>
    <w:rsid w:val="000C5577"/>
    <w:rsid w:val="000D4538"/>
    <w:rsid w:val="000F6774"/>
    <w:rsid w:val="00103B5F"/>
    <w:rsid w:val="001178F1"/>
    <w:rsid w:val="00130FA0"/>
    <w:rsid w:val="00151553"/>
    <w:rsid w:val="001544AF"/>
    <w:rsid w:val="001677EA"/>
    <w:rsid w:val="0017270F"/>
    <w:rsid w:val="001820F4"/>
    <w:rsid w:val="00185533"/>
    <w:rsid w:val="00191812"/>
    <w:rsid w:val="0019752E"/>
    <w:rsid w:val="001A29ED"/>
    <w:rsid w:val="001A30B2"/>
    <w:rsid w:val="001A61B5"/>
    <w:rsid w:val="001A6C31"/>
    <w:rsid w:val="001C3B36"/>
    <w:rsid w:val="001D6DD6"/>
    <w:rsid w:val="001F151E"/>
    <w:rsid w:val="001F4622"/>
    <w:rsid w:val="002103DF"/>
    <w:rsid w:val="00221D41"/>
    <w:rsid w:val="002301DF"/>
    <w:rsid w:val="00233470"/>
    <w:rsid w:val="00241F5C"/>
    <w:rsid w:val="00242845"/>
    <w:rsid w:val="00242D50"/>
    <w:rsid w:val="00247419"/>
    <w:rsid w:val="002544C9"/>
    <w:rsid w:val="00255D11"/>
    <w:rsid w:val="00263DCE"/>
    <w:rsid w:val="002656CC"/>
    <w:rsid w:val="002673E5"/>
    <w:rsid w:val="00276152"/>
    <w:rsid w:val="00281C2C"/>
    <w:rsid w:val="002847CF"/>
    <w:rsid w:val="00284C73"/>
    <w:rsid w:val="002B1C38"/>
    <w:rsid w:val="002C0EB8"/>
    <w:rsid w:val="002D0CF1"/>
    <w:rsid w:val="002D245C"/>
    <w:rsid w:val="002F35D9"/>
    <w:rsid w:val="002F51B1"/>
    <w:rsid w:val="00300790"/>
    <w:rsid w:val="00303D91"/>
    <w:rsid w:val="00314029"/>
    <w:rsid w:val="0032688D"/>
    <w:rsid w:val="003312C4"/>
    <w:rsid w:val="00333B9D"/>
    <w:rsid w:val="0033529D"/>
    <w:rsid w:val="00356622"/>
    <w:rsid w:val="00375FA3"/>
    <w:rsid w:val="00385C3D"/>
    <w:rsid w:val="00390CCE"/>
    <w:rsid w:val="003A09A0"/>
    <w:rsid w:val="003B6A4E"/>
    <w:rsid w:val="003C2D99"/>
    <w:rsid w:val="003C49C1"/>
    <w:rsid w:val="003D3066"/>
    <w:rsid w:val="003E09EE"/>
    <w:rsid w:val="003F4607"/>
    <w:rsid w:val="003F4B18"/>
    <w:rsid w:val="00407172"/>
    <w:rsid w:val="00421E50"/>
    <w:rsid w:val="00431023"/>
    <w:rsid w:val="00432C1E"/>
    <w:rsid w:val="004519F1"/>
    <w:rsid w:val="00453E3B"/>
    <w:rsid w:val="00461F6F"/>
    <w:rsid w:val="004648BA"/>
    <w:rsid w:val="0047153D"/>
    <w:rsid w:val="00475C38"/>
    <w:rsid w:val="004779A0"/>
    <w:rsid w:val="004821CD"/>
    <w:rsid w:val="0049168A"/>
    <w:rsid w:val="00495526"/>
    <w:rsid w:val="004A7545"/>
    <w:rsid w:val="004B42D6"/>
    <w:rsid w:val="004D23B0"/>
    <w:rsid w:val="004D342C"/>
    <w:rsid w:val="004E25C3"/>
    <w:rsid w:val="004E3DC8"/>
    <w:rsid w:val="00514363"/>
    <w:rsid w:val="005143FA"/>
    <w:rsid w:val="00515972"/>
    <w:rsid w:val="0051630D"/>
    <w:rsid w:val="00517394"/>
    <w:rsid w:val="00534BC9"/>
    <w:rsid w:val="0053538B"/>
    <w:rsid w:val="00535789"/>
    <w:rsid w:val="00537164"/>
    <w:rsid w:val="005412B7"/>
    <w:rsid w:val="005477CE"/>
    <w:rsid w:val="00552DED"/>
    <w:rsid w:val="005807D1"/>
    <w:rsid w:val="00581EB9"/>
    <w:rsid w:val="00583026"/>
    <w:rsid w:val="0059595A"/>
    <w:rsid w:val="00597B89"/>
    <w:rsid w:val="005A6B5D"/>
    <w:rsid w:val="005B471C"/>
    <w:rsid w:val="005D5AE3"/>
    <w:rsid w:val="005D7D10"/>
    <w:rsid w:val="005D7D3F"/>
    <w:rsid w:val="005E0158"/>
    <w:rsid w:val="005E2B9C"/>
    <w:rsid w:val="005E3DC4"/>
    <w:rsid w:val="005E71CA"/>
    <w:rsid w:val="0060578A"/>
    <w:rsid w:val="00614638"/>
    <w:rsid w:val="00616E2F"/>
    <w:rsid w:val="0064239B"/>
    <w:rsid w:val="00644836"/>
    <w:rsid w:val="006503E3"/>
    <w:rsid w:val="00672C4F"/>
    <w:rsid w:val="006848C4"/>
    <w:rsid w:val="00687D3C"/>
    <w:rsid w:val="0069186B"/>
    <w:rsid w:val="00693738"/>
    <w:rsid w:val="006B4C1E"/>
    <w:rsid w:val="006D177E"/>
    <w:rsid w:val="006D7110"/>
    <w:rsid w:val="006E52DE"/>
    <w:rsid w:val="006E534D"/>
    <w:rsid w:val="006E60D0"/>
    <w:rsid w:val="006F1035"/>
    <w:rsid w:val="00700521"/>
    <w:rsid w:val="00711E23"/>
    <w:rsid w:val="007128EB"/>
    <w:rsid w:val="00723BAE"/>
    <w:rsid w:val="00726D4C"/>
    <w:rsid w:val="00736A43"/>
    <w:rsid w:val="0074419B"/>
    <w:rsid w:val="00764CD6"/>
    <w:rsid w:val="00765F24"/>
    <w:rsid w:val="00774FF1"/>
    <w:rsid w:val="007773A2"/>
    <w:rsid w:val="007833DB"/>
    <w:rsid w:val="00787CDC"/>
    <w:rsid w:val="007A03F0"/>
    <w:rsid w:val="007A1A80"/>
    <w:rsid w:val="007B5548"/>
    <w:rsid w:val="007C707C"/>
    <w:rsid w:val="007D4461"/>
    <w:rsid w:val="007E0212"/>
    <w:rsid w:val="007E7255"/>
    <w:rsid w:val="007F32FE"/>
    <w:rsid w:val="007F412E"/>
    <w:rsid w:val="00800679"/>
    <w:rsid w:val="00800731"/>
    <w:rsid w:val="00804A53"/>
    <w:rsid w:val="00810AE5"/>
    <w:rsid w:val="008130D9"/>
    <w:rsid w:val="00827279"/>
    <w:rsid w:val="00827A25"/>
    <w:rsid w:val="00832DD3"/>
    <w:rsid w:val="00836B93"/>
    <w:rsid w:val="008372DD"/>
    <w:rsid w:val="00856134"/>
    <w:rsid w:val="008669D6"/>
    <w:rsid w:val="00867FBD"/>
    <w:rsid w:val="008743C5"/>
    <w:rsid w:val="00881816"/>
    <w:rsid w:val="00884416"/>
    <w:rsid w:val="00896F7E"/>
    <w:rsid w:val="008A34F1"/>
    <w:rsid w:val="008B0AD7"/>
    <w:rsid w:val="008B4687"/>
    <w:rsid w:val="008C61C7"/>
    <w:rsid w:val="008D4648"/>
    <w:rsid w:val="008D73CF"/>
    <w:rsid w:val="008E0BCD"/>
    <w:rsid w:val="008E43AF"/>
    <w:rsid w:val="008F0061"/>
    <w:rsid w:val="0090037F"/>
    <w:rsid w:val="00905048"/>
    <w:rsid w:val="00912D40"/>
    <w:rsid w:val="009131A3"/>
    <w:rsid w:val="00917BAB"/>
    <w:rsid w:val="009262F9"/>
    <w:rsid w:val="00926874"/>
    <w:rsid w:val="00960A54"/>
    <w:rsid w:val="009630CD"/>
    <w:rsid w:val="00974074"/>
    <w:rsid w:val="009750BE"/>
    <w:rsid w:val="0097561D"/>
    <w:rsid w:val="00995868"/>
    <w:rsid w:val="009A5355"/>
    <w:rsid w:val="009C18B9"/>
    <w:rsid w:val="009C7F26"/>
    <w:rsid w:val="009D657E"/>
    <w:rsid w:val="009E2991"/>
    <w:rsid w:val="009E3D20"/>
    <w:rsid w:val="009E766D"/>
    <w:rsid w:val="009F661A"/>
    <w:rsid w:val="00A00765"/>
    <w:rsid w:val="00A02347"/>
    <w:rsid w:val="00A023A1"/>
    <w:rsid w:val="00A02F8C"/>
    <w:rsid w:val="00A110FD"/>
    <w:rsid w:val="00A17B63"/>
    <w:rsid w:val="00A24016"/>
    <w:rsid w:val="00A30AB6"/>
    <w:rsid w:val="00A410BA"/>
    <w:rsid w:val="00A45942"/>
    <w:rsid w:val="00A530D1"/>
    <w:rsid w:val="00A712B0"/>
    <w:rsid w:val="00A72D34"/>
    <w:rsid w:val="00A77CAB"/>
    <w:rsid w:val="00A77EE7"/>
    <w:rsid w:val="00A80384"/>
    <w:rsid w:val="00A80813"/>
    <w:rsid w:val="00A80F29"/>
    <w:rsid w:val="00A935F8"/>
    <w:rsid w:val="00A9505F"/>
    <w:rsid w:val="00A96648"/>
    <w:rsid w:val="00AB0FB5"/>
    <w:rsid w:val="00AB648E"/>
    <w:rsid w:val="00AC197B"/>
    <w:rsid w:val="00AD1432"/>
    <w:rsid w:val="00AD62AB"/>
    <w:rsid w:val="00AE2416"/>
    <w:rsid w:val="00AE4209"/>
    <w:rsid w:val="00AF64AC"/>
    <w:rsid w:val="00B0096A"/>
    <w:rsid w:val="00B067F2"/>
    <w:rsid w:val="00B101AD"/>
    <w:rsid w:val="00B22991"/>
    <w:rsid w:val="00B34836"/>
    <w:rsid w:val="00B367D9"/>
    <w:rsid w:val="00B41DDD"/>
    <w:rsid w:val="00B64F5D"/>
    <w:rsid w:val="00B650D0"/>
    <w:rsid w:val="00B71918"/>
    <w:rsid w:val="00B934EF"/>
    <w:rsid w:val="00BA01C4"/>
    <w:rsid w:val="00BA0FBE"/>
    <w:rsid w:val="00BA1EA5"/>
    <w:rsid w:val="00BA2798"/>
    <w:rsid w:val="00BA2FB9"/>
    <w:rsid w:val="00BA3AE7"/>
    <w:rsid w:val="00BA64A6"/>
    <w:rsid w:val="00BB658C"/>
    <w:rsid w:val="00BC15AF"/>
    <w:rsid w:val="00BC42B1"/>
    <w:rsid w:val="00BD324E"/>
    <w:rsid w:val="00BD3DB7"/>
    <w:rsid w:val="00BE4C6B"/>
    <w:rsid w:val="00BE5F76"/>
    <w:rsid w:val="00BE61DE"/>
    <w:rsid w:val="00BE6529"/>
    <w:rsid w:val="00BF008A"/>
    <w:rsid w:val="00BF2185"/>
    <w:rsid w:val="00C023D7"/>
    <w:rsid w:val="00C16F3F"/>
    <w:rsid w:val="00C1771A"/>
    <w:rsid w:val="00C32BF1"/>
    <w:rsid w:val="00C33FFF"/>
    <w:rsid w:val="00C36D42"/>
    <w:rsid w:val="00C37027"/>
    <w:rsid w:val="00C4321A"/>
    <w:rsid w:val="00C70405"/>
    <w:rsid w:val="00C7357A"/>
    <w:rsid w:val="00C77F18"/>
    <w:rsid w:val="00C85C3F"/>
    <w:rsid w:val="00C9096A"/>
    <w:rsid w:val="00C93F75"/>
    <w:rsid w:val="00CA6552"/>
    <w:rsid w:val="00CA67A6"/>
    <w:rsid w:val="00CB3C66"/>
    <w:rsid w:val="00CB517B"/>
    <w:rsid w:val="00CB555C"/>
    <w:rsid w:val="00CC0374"/>
    <w:rsid w:val="00CE28D6"/>
    <w:rsid w:val="00CE386C"/>
    <w:rsid w:val="00D02C1C"/>
    <w:rsid w:val="00D05131"/>
    <w:rsid w:val="00D13C45"/>
    <w:rsid w:val="00D2140E"/>
    <w:rsid w:val="00D3060C"/>
    <w:rsid w:val="00D3105C"/>
    <w:rsid w:val="00D362DC"/>
    <w:rsid w:val="00D40D45"/>
    <w:rsid w:val="00D5151A"/>
    <w:rsid w:val="00D57C62"/>
    <w:rsid w:val="00D633B6"/>
    <w:rsid w:val="00D81510"/>
    <w:rsid w:val="00D9617A"/>
    <w:rsid w:val="00DA313E"/>
    <w:rsid w:val="00DA4553"/>
    <w:rsid w:val="00DA52DB"/>
    <w:rsid w:val="00DB44BB"/>
    <w:rsid w:val="00DC629B"/>
    <w:rsid w:val="00DC681C"/>
    <w:rsid w:val="00DD674D"/>
    <w:rsid w:val="00DE17AE"/>
    <w:rsid w:val="00DE3AB8"/>
    <w:rsid w:val="00DF683B"/>
    <w:rsid w:val="00DF754A"/>
    <w:rsid w:val="00E01210"/>
    <w:rsid w:val="00E0165C"/>
    <w:rsid w:val="00E04257"/>
    <w:rsid w:val="00E12F1C"/>
    <w:rsid w:val="00E14C55"/>
    <w:rsid w:val="00E239C4"/>
    <w:rsid w:val="00E246F5"/>
    <w:rsid w:val="00E450FA"/>
    <w:rsid w:val="00E473AB"/>
    <w:rsid w:val="00E535B8"/>
    <w:rsid w:val="00E569F4"/>
    <w:rsid w:val="00E62FC0"/>
    <w:rsid w:val="00E67627"/>
    <w:rsid w:val="00E71F2E"/>
    <w:rsid w:val="00E75939"/>
    <w:rsid w:val="00E7700D"/>
    <w:rsid w:val="00E814E6"/>
    <w:rsid w:val="00E9629A"/>
    <w:rsid w:val="00E96CAC"/>
    <w:rsid w:val="00EA1D5F"/>
    <w:rsid w:val="00EA4E8F"/>
    <w:rsid w:val="00EA51FC"/>
    <w:rsid w:val="00EA6C78"/>
    <w:rsid w:val="00ED2110"/>
    <w:rsid w:val="00EF5B23"/>
    <w:rsid w:val="00EF5F38"/>
    <w:rsid w:val="00F03328"/>
    <w:rsid w:val="00F05739"/>
    <w:rsid w:val="00F111DB"/>
    <w:rsid w:val="00F50D62"/>
    <w:rsid w:val="00F56A08"/>
    <w:rsid w:val="00F56A9A"/>
    <w:rsid w:val="00F62FB2"/>
    <w:rsid w:val="00F640C2"/>
    <w:rsid w:val="00F7742D"/>
    <w:rsid w:val="00F86795"/>
    <w:rsid w:val="00F91409"/>
    <w:rsid w:val="00F91C58"/>
    <w:rsid w:val="00F93EA2"/>
    <w:rsid w:val="00F975DD"/>
    <w:rsid w:val="00FA297F"/>
    <w:rsid w:val="00FB0F04"/>
    <w:rsid w:val="00FC1201"/>
    <w:rsid w:val="00FC3AF5"/>
    <w:rsid w:val="00FC5E43"/>
    <w:rsid w:val="00FE32C3"/>
    <w:rsid w:val="00FE6E7D"/>
    <w:rsid w:val="00FF258F"/>
    <w:rsid w:val="00FF69D3"/>
    <w:rsid w:val="00FF7E2F"/>
    <w:rsid w:val="096A3137"/>
    <w:rsid w:val="4097180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7">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10"/>
    <w:semiHidden/>
    <w:unhideWhenUsed/>
    <w:qFormat/>
    <w:uiPriority w:val="99"/>
    <w:rPr>
      <w:sz w:val="18"/>
      <w:szCs w:val="18"/>
    </w:rPr>
  </w:style>
  <w:style w:type="paragraph" w:styleId="3">
    <w:name w:val="footer"/>
    <w:basedOn w:val="1"/>
    <w:link w:val="9"/>
    <w:unhideWhenUsed/>
    <w:qFormat/>
    <w:uiPriority w:val="99"/>
    <w:pPr>
      <w:tabs>
        <w:tab w:val="center" w:pos="4153"/>
        <w:tab w:val="right" w:pos="8306"/>
      </w:tabs>
      <w:snapToGrid w:val="0"/>
      <w:jc w:val="left"/>
    </w:pPr>
    <w:rPr>
      <w:sz w:val="18"/>
      <w:szCs w:val="18"/>
    </w:rPr>
  </w:style>
  <w:style w:type="paragraph" w:styleId="4">
    <w:name w:val="header"/>
    <w:basedOn w:val="1"/>
    <w:link w:val="8"/>
    <w:unhideWhenUsed/>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页眉 字符"/>
    <w:basedOn w:val="7"/>
    <w:link w:val="4"/>
    <w:qFormat/>
    <w:uiPriority w:val="99"/>
    <w:rPr>
      <w:rFonts w:ascii="Times New Roman" w:hAnsi="Times New Roman" w:eastAsia="宋体" w:cs="Times New Roman"/>
      <w:sz w:val="18"/>
      <w:szCs w:val="18"/>
    </w:rPr>
  </w:style>
  <w:style w:type="character" w:customStyle="1" w:styleId="9">
    <w:name w:val="页脚 字符"/>
    <w:basedOn w:val="7"/>
    <w:link w:val="3"/>
    <w:qFormat/>
    <w:uiPriority w:val="99"/>
    <w:rPr>
      <w:rFonts w:ascii="Times New Roman" w:hAnsi="Times New Roman" w:eastAsia="宋体" w:cs="Times New Roman"/>
      <w:sz w:val="18"/>
      <w:szCs w:val="18"/>
    </w:rPr>
  </w:style>
  <w:style w:type="character" w:customStyle="1" w:styleId="10">
    <w:name w:val="批注框文本 字符"/>
    <w:basedOn w:val="7"/>
    <w:link w:val="2"/>
    <w:semiHidden/>
    <w:qFormat/>
    <w:uiPriority w:val="99"/>
    <w:rPr>
      <w:rFonts w:ascii="Times New Roman" w:hAnsi="Times New Roman" w:eastAsia="宋体" w:cs="Times New Roman"/>
      <w:sz w:val="18"/>
      <w:szCs w:val="18"/>
    </w:rPr>
  </w:style>
  <w:style w:type="character" w:customStyle="1" w:styleId="11">
    <w:name w:val="Char Char1"/>
    <w:qFormat/>
    <w:locked/>
    <w:uiPriority w:val="0"/>
    <w:rPr>
      <w:rFonts w:hint="eastAsia" w:ascii="宋体" w:hAnsi="Courier New" w:eastAsia="宋体"/>
      <w:kern w:val="2"/>
      <w:sz w:val="21"/>
      <w:lang w:val="en-US" w:eastAsia="zh-CN" w:bidi="ar-SA"/>
    </w:rPr>
  </w:style>
  <w:style w:type="paragraph" w:customStyle="1" w:styleId="12">
    <w:name w:val="表格文字"/>
    <w:basedOn w:val="1"/>
    <w:qFormat/>
    <w:uiPriority w:val="0"/>
    <w:pPr>
      <w:spacing w:before="25" w:after="25"/>
    </w:pPr>
    <w:rPr>
      <w:bCs/>
      <w:spacing w:val="10"/>
    </w:rPr>
  </w:style>
  <w:style w:type="paragraph" w:styleId="13">
    <w:name w:val="List Paragraph"/>
    <w:basedOn w:val="1"/>
    <w:qFormat/>
    <w:uiPriority w:val="99"/>
    <w:pPr>
      <w:ind w:firstLine="420" w:firstLineChars="200"/>
    </w:pPr>
  </w:style>
  <w:style w:type="paragraph" w:customStyle="1" w:styleId="14">
    <w:name w:val="b2"/>
    <w:basedOn w:val="1"/>
    <w:qFormat/>
    <w:uiPriority w:val="0"/>
    <w:pPr>
      <w:widowControl/>
      <w:adjustRightInd w:val="0"/>
      <w:snapToGrid w:val="0"/>
      <w:jc w:val="center"/>
    </w:pPr>
    <w:rPr>
      <w:rFonts w:ascii="宋体" w:hAnsi="宋体" w:cs="宋体"/>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microsoft.com/office/2007/relationships/hdphoto" Target="media/image18.wdp"/><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7DC3E92-CA10-4A60-8C2B-FFA5D49D0605}">
  <ds:schemaRefs/>
</ds:datastoreItem>
</file>

<file path=docProps/app.xml><?xml version="1.0" encoding="utf-8"?>
<Properties xmlns="http://schemas.openxmlformats.org/officeDocument/2006/extended-properties" xmlns:vt="http://schemas.openxmlformats.org/officeDocument/2006/docPropsVTypes">
  <Template>Normal</Template>
  <Pages>15</Pages>
  <Words>1520</Words>
  <Characters>8666</Characters>
  <Lines>72</Lines>
  <Paragraphs>20</Paragraphs>
  <TotalTime>1</TotalTime>
  <ScaleCrop>false</ScaleCrop>
  <LinksUpToDate>false</LinksUpToDate>
  <CharactersWithSpaces>10166</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丽英</cp:lastModifiedBy>
  <dcterms:modified xsi:type="dcterms:W3CDTF">2022-12-31T05:58:34Z</dcterms:modified>
  <cp:revision>297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2052-11.1.0.10314</vt:lpwstr>
  </property>
</Properties>
</file>