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1334-2022-EnMs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中国石油化工股份有限公司石家庄炼化分公司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1"/>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2022年12月26日 上午至2022年12月26日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p>
          <w:p>
            <w:pPr>
              <w:rPr>
                <w:rFonts w:hint="default" w:ascii="宋体" w:hAnsi="宋体" w:eastAsia="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rPr>
              <w:t>能源认证标准</w:t>
            </w:r>
            <w:r>
              <w:rPr>
                <w:rFonts w:hint="eastAsia" w:ascii="宋体" w:hAnsi="宋体"/>
                <w:b/>
                <w:color w:val="000000"/>
                <w:szCs w:val="21"/>
                <w:lang w:val="de-DE"/>
              </w:rPr>
              <w:t>：RB</w:t>
            </w:r>
            <w:r>
              <w:rPr>
                <w:rFonts w:hint="eastAsia" w:ascii="宋体" w:hAnsi="宋体"/>
                <w:b/>
                <w:color w:val="000000"/>
                <w:szCs w:val="21"/>
                <w:lang w:val="en-US" w:eastAsia="zh-CN"/>
              </w:rPr>
              <w:t>/T115-2014</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A3"/>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vAlign w:val="top"/>
          </w:tcPr>
          <w:p>
            <w:pPr>
              <w:rPr>
                <w:rFonts w:hint="default" w:ascii="宋体" w:eastAsia="宋体"/>
                <w:b/>
                <w:color w:val="0000FF"/>
                <w:szCs w:val="21"/>
                <w:lang w:val="en-US" w:eastAsia="zh-CN"/>
              </w:rPr>
            </w:pPr>
            <w:r>
              <w:rPr>
                <w:rFonts w:hint="eastAsia" w:ascii="宋体"/>
                <w:b/>
                <w:color w:val="0000FF"/>
                <w:szCs w:val="21"/>
                <w:lang w:val="en-US" w:eastAsia="zh-CN"/>
              </w:rPr>
              <w:t>马佳/深圳市；王宁敏/深圳市；李丽英/</w:t>
            </w:r>
            <w:r>
              <w:rPr>
                <w:rFonts w:hint="eastAsia" w:ascii="宋体" w:hAnsi="Times New Roman" w:eastAsia="宋体" w:cs="Times New Roman"/>
                <w:b/>
                <w:color w:val="0000FF"/>
                <w:szCs w:val="21"/>
                <w:lang w:val="en-US" w:eastAsia="zh-CN"/>
              </w:rPr>
              <w:t>河北省石家庄</w:t>
            </w:r>
            <w:r>
              <w:rPr>
                <w:rFonts w:hint="eastAsia" w:ascii="宋体" w:cs="Times New Roman"/>
                <w:b/>
                <w:color w:val="0000FF"/>
                <w:szCs w:val="21"/>
                <w:lang w:val="en-US" w:eastAsia="zh-CN"/>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1"/>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马佳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2020-N1EnMS-2061499</w:t>
            </w:r>
          </w:p>
        </w:tc>
        <w:tc>
          <w:tcPr>
            <w:tcW w:w="1140" w:type="dxa"/>
            <w:vAlign w:val="center"/>
          </w:tcPr>
          <w:p>
            <w:pPr>
              <w:spacing w:line="240" w:lineRule="exact"/>
              <w:jc w:val="center"/>
              <w:rPr>
                <w:b/>
                <w:color w:val="000000"/>
                <w:szCs w:val="21"/>
              </w:rPr>
            </w:pPr>
            <w:r>
              <w:rPr>
                <w:b/>
                <w:color w:val="000000"/>
                <w:szCs w:val="21"/>
              </w:rPr>
              <w:t>2.3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r>
              <w:rPr>
                <w:b/>
                <w:color w:val="000000"/>
                <w:szCs w:val="21"/>
              </w:rPr>
              <w:t>2.3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中国石油化工股份有限公司石家庄炼化分公司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石家庄石炼路1号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050011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河北省石家庄石炼路1号</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050011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孙健</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13933125571</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胡正海</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杨良玉</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ascii="宋体" w:hAnsi="宋体"/>
                <w:b/>
                <w:sz w:val="21"/>
                <w:szCs w:val="21"/>
              </w:rPr>
              <w:t>车用汽油、车用柴油、3号喷气燃料、聚合级丙烯、工业丙烷、聚丙烯树脂、石油沥青、石油苯、石油甲苯、石油混合二甲苯、商品重油、石油焦、工业用己内酰胺、硫酸铵、聚己内酰胺干切片、工业硫磺、石脑油</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售后服务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lang w:val="en-US" w:eastAsia="zh-CN"/>
              </w:rPr>
            </w:pPr>
            <w:r>
              <w:rPr>
                <w:rFonts w:hint="eastAsia"/>
                <w:lang w:val="en-US" w:eastAsia="zh-CN"/>
              </w:rPr>
              <w:t>炼油板块流程：</w:t>
            </w:r>
          </w:p>
          <w:p>
            <w:pPr>
              <w:pStyle w:val="2"/>
            </w:pPr>
            <w:r>
              <w:drawing>
                <wp:inline distT="0" distB="0" distL="114300" distR="114300">
                  <wp:extent cx="4323080" cy="2157095"/>
                  <wp:effectExtent l="0" t="0" r="762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323080" cy="2157095"/>
                          </a:xfrm>
                          <a:prstGeom prst="rect">
                            <a:avLst/>
                          </a:prstGeom>
                          <a:noFill/>
                          <a:ln>
                            <a:noFill/>
                          </a:ln>
                        </pic:spPr>
                      </pic:pic>
                    </a:graphicData>
                  </a:graphic>
                </wp:inline>
              </w:drawing>
            </w:r>
          </w:p>
          <w:p>
            <w:pPr>
              <w:pStyle w:val="3"/>
              <w:numPr>
                <w:ilvl w:val="0"/>
                <w:numId w:val="0"/>
              </w:numPr>
            </w:pPr>
          </w:p>
          <w:p>
            <w:pPr>
              <w:pStyle w:val="3"/>
              <w:numPr>
                <w:ilvl w:val="0"/>
                <w:numId w:val="0"/>
              </w:numPr>
              <w:rPr>
                <w:rFonts w:hint="eastAsia"/>
                <w:lang w:val="en-US" w:eastAsia="zh-CN"/>
              </w:rPr>
            </w:pPr>
            <w:r>
              <w:rPr>
                <w:rFonts w:hint="eastAsia"/>
                <w:lang w:val="en-US" w:eastAsia="zh-CN"/>
              </w:rPr>
              <w:t>化工板块流程：</w:t>
            </w:r>
          </w:p>
          <w:p>
            <w:pPr>
              <w:pStyle w:val="3"/>
              <w:numPr>
                <w:ilvl w:val="0"/>
                <w:numId w:val="0"/>
              </w:numPr>
              <w:rPr>
                <w:rFonts w:hint="eastAsia"/>
                <w:lang w:val="en-US" w:eastAsia="zh-CN"/>
              </w:rPr>
            </w:pPr>
            <w:r>
              <w:drawing>
                <wp:inline distT="0" distB="0" distL="114300" distR="114300">
                  <wp:extent cx="5181600" cy="1880870"/>
                  <wp:effectExtent l="0" t="0" r="0" b="1143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5181600" cy="1880870"/>
                          </a:xfrm>
                          <a:prstGeom prst="rect">
                            <a:avLst/>
                          </a:prstGeom>
                          <a:noFill/>
                          <a:ln>
                            <a:noFill/>
                          </a:ln>
                        </pic:spPr>
                      </pic:pic>
                    </a:graphicData>
                  </a:graphic>
                </wp:inline>
              </w:drawing>
            </w:r>
          </w:p>
          <w:p>
            <w:pPr>
              <w:pStyle w:val="3"/>
              <w:numPr>
                <w:ilvl w:val="0"/>
                <w:numId w:val="0"/>
              </w:num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Times New Roman" w:hAnsi="Times New Roman" w:eastAsia="宋体" w:cs="Times New Roman"/>
                <w:b/>
                <w:bCs/>
                <w:kern w:val="2"/>
                <w:sz w:val="21"/>
                <w:szCs w:val="21"/>
                <w:lang w:val="en-US" w:eastAsia="zh-CN" w:bidi="ar-SA"/>
              </w:rPr>
              <w:t>车用汽油、普通柴油、车用柴油、3号喷气燃料、聚合级丙烯、工业丙烷、聚丙烯树脂、石油沥青、石油苯、石油甲苯、石油混合二甲苯、商品重油、石油焦、工业用己内酰胺、硫酸铵、聚己内酰胺干切片、工业过氧化氢、工业硫磺、工业硫酸、石脑油的开发和生产所涉及的能源管理活动</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3"/>
        <w:rPr>
          <w:rFonts w:eastAsia="黑体" w:cs="Arial"/>
          <w:sz w:val="21"/>
          <w:szCs w:val="21"/>
          <w:lang w:val="en-US" w:eastAsia="ja-JP"/>
        </w:rPr>
      </w:pPr>
      <w:r>
        <w:rPr>
          <w:rFonts w:eastAsia="黑体"/>
          <w:sz w:val="21"/>
          <w:szCs w:val="21"/>
          <w:lang w:eastAsia="zh-CN"/>
        </w:rPr>
        <w:t>认证覆盖以下各场所/场地及其对应的范围: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36"/>
        <w:gridCol w:w="910"/>
        <w:gridCol w:w="1120"/>
        <w:gridCol w:w="3620"/>
        <w:gridCol w:w="149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4"/>
              <w:spacing w:before="0" w:after="0"/>
              <w:rPr>
                <w:rFonts w:eastAsia="黑体" w:cs="Arial"/>
                <w:sz w:val="21"/>
                <w:szCs w:val="21"/>
                <w:lang w:eastAsia="zh-CN"/>
              </w:rPr>
            </w:pPr>
            <w:r>
              <w:rPr>
                <w:rFonts w:eastAsia="黑体" w:cs="Arial"/>
                <w:sz w:val="21"/>
                <w:szCs w:val="21"/>
                <w:lang w:eastAsia="zh-CN"/>
              </w:rPr>
              <w:t>场所编号</w:t>
            </w:r>
          </w:p>
          <w:p>
            <w:pPr>
              <w:pStyle w:val="24"/>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436"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910"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经营场所的地址</w:t>
            </w:r>
          </w:p>
        </w:tc>
        <w:tc>
          <w:tcPr>
            <w:tcW w:w="1120"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员工人数</w:t>
            </w:r>
          </w:p>
        </w:tc>
        <w:tc>
          <w:tcPr>
            <w:tcW w:w="3620" w:type="dxa"/>
            <w:shd w:val="clear" w:color="auto" w:fill="F3F3F3"/>
            <w:tcMar>
              <w:left w:w="57" w:type="dxa"/>
              <w:right w:w="57" w:type="dxa"/>
            </w:tcMar>
          </w:tcPr>
          <w:p>
            <w:pPr>
              <w:pStyle w:val="24"/>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4"/>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491"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436" w:type="dxa"/>
          </w:tcPr>
          <w:p>
            <w:pPr>
              <w:spacing w:before="40" w:after="40"/>
              <w:rPr>
                <w:rFonts w:hint="eastAsia" w:eastAsia="宋体"/>
                <w:szCs w:val="21"/>
                <w:lang w:val="en-US" w:eastAsia="zh-CN"/>
              </w:rPr>
            </w:pPr>
            <w:r>
              <w:rPr>
                <w:sz w:val="21"/>
                <w:szCs w:val="21"/>
              </w:rPr>
              <w:t>中国石油化工股份有限公司石家庄炼化分公司</w:t>
            </w:r>
            <w:r>
              <w:rPr>
                <w:rFonts w:hint="eastAsia"/>
                <w:sz w:val="21"/>
                <w:szCs w:val="21"/>
                <w:lang w:val="en-US" w:eastAsia="zh-CN"/>
              </w:rPr>
              <w:t>/</w:t>
            </w:r>
            <w:r>
              <w:rPr>
                <w:sz w:val="21"/>
                <w:szCs w:val="21"/>
              </w:rPr>
              <w:t>石家庄石炼路1号</w:t>
            </w:r>
          </w:p>
        </w:tc>
        <w:tc>
          <w:tcPr>
            <w:tcW w:w="910" w:type="dxa"/>
          </w:tcPr>
          <w:p>
            <w:pPr>
              <w:spacing w:before="40" w:after="40"/>
              <w:rPr>
                <w:rFonts w:eastAsia="黑体"/>
                <w:szCs w:val="21"/>
                <w:lang w:val="de-DE" w:eastAsia="ja-JP"/>
              </w:rPr>
            </w:pPr>
            <w:r>
              <w:rPr>
                <w:sz w:val="21"/>
                <w:szCs w:val="21"/>
              </w:rPr>
              <w:t>石家庄石炼路1号</w:t>
            </w:r>
          </w:p>
        </w:tc>
        <w:tc>
          <w:tcPr>
            <w:tcW w:w="1120" w:type="dxa"/>
            <w:vAlign w:val="center"/>
          </w:tcPr>
          <w:p>
            <w:pPr>
              <w:spacing w:before="40" w:after="40"/>
              <w:rPr>
                <w:rFonts w:hint="default" w:eastAsia="黑体"/>
                <w:szCs w:val="21"/>
                <w:lang w:val="en-US" w:eastAsia="zh-CN"/>
              </w:rPr>
            </w:pPr>
            <w:r>
              <w:rPr>
                <w:rFonts w:hint="eastAsia" w:ascii="Times New Roman" w:hAnsi="Times New Roman" w:eastAsia="宋体" w:cs="Times New Roman"/>
                <w:kern w:val="2"/>
                <w:sz w:val="21"/>
                <w:szCs w:val="21"/>
                <w:lang w:val="en-US" w:eastAsia="zh-CN" w:bidi="ar-SA"/>
              </w:rPr>
              <w:t>总人数2554人，能源覆盖</w:t>
            </w:r>
            <w:r>
              <w:rPr>
                <w:rFonts w:hint="eastAsia" w:cs="Times New Roman"/>
                <w:color w:val="auto"/>
                <w:kern w:val="2"/>
                <w:sz w:val="21"/>
                <w:szCs w:val="21"/>
                <w:lang w:val="en-US" w:eastAsia="zh-CN" w:bidi="ar-SA"/>
              </w:rPr>
              <w:t>880</w:t>
            </w:r>
            <w:r>
              <w:rPr>
                <w:rFonts w:hint="eastAsia" w:ascii="Times New Roman" w:hAnsi="Times New Roman" w:eastAsia="宋体" w:cs="Times New Roman"/>
                <w:kern w:val="2"/>
                <w:sz w:val="21"/>
                <w:szCs w:val="21"/>
                <w:lang w:val="en-US" w:eastAsia="zh-CN" w:bidi="ar-SA"/>
              </w:rPr>
              <w:t>人</w:t>
            </w:r>
          </w:p>
        </w:tc>
        <w:tc>
          <w:tcPr>
            <w:tcW w:w="3620" w:type="dxa"/>
            <w:vAlign w:val="center"/>
          </w:tcPr>
          <w:p>
            <w:pPr>
              <w:pStyle w:val="22"/>
              <w:rPr>
                <w:rFonts w:eastAsia="黑体" w:cs="Arial"/>
                <w:sz w:val="21"/>
                <w:szCs w:val="21"/>
                <w:lang w:val="en-US" w:eastAsia="ja-JP"/>
              </w:rPr>
            </w:pPr>
            <w:r>
              <w:rPr>
                <w:rFonts w:hint="eastAsia" w:ascii="Times New Roman" w:hAnsi="Times New Roman" w:eastAsia="宋体" w:cs="Times New Roman"/>
                <w:kern w:val="2"/>
                <w:sz w:val="21"/>
                <w:szCs w:val="21"/>
                <w:lang w:val="en-US" w:eastAsia="zh-CN" w:bidi="ar-SA"/>
              </w:rPr>
              <w:t>车用汽油、普通柴油、车用柴油、3号喷气燃料、聚合级丙烯、工业丙烷、聚丙烯树脂、石油沥青、石油苯、石油甲苯、石油混合二甲苯、商品重油、石油焦、工业用己内酰胺、硫酸铵、聚己内酰胺干切片、工业过氧化氢、工业硫磺、工业硫酸、石脑油的开发和生产所涉及的能源管理活动</w:t>
            </w:r>
          </w:p>
        </w:tc>
        <w:tc>
          <w:tcPr>
            <w:tcW w:w="1491" w:type="dxa"/>
            <w:vAlign w:val="center"/>
          </w:tcPr>
          <w:p>
            <w:pPr>
              <w:spacing w:before="40" w:after="40"/>
              <w:rPr>
                <w:rFonts w:hint="eastAsia"/>
                <w:lang w:val="en-US" w:eastAsia="zh-CN"/>
              </w:rPr>
            </w:pPr>
            <w:r>
              <w:rPr>
                <w:rFonts w:hint="eastAsia"/>
                <w:lang w:val="en-US" w:eastAsia="zh-CN"/>
              </w:rPr>
              <w:t>GB/T23331-2020</w:t>
            </w:r>
          </w:p>
          <w:p>
            <w:pPr>
              <w:pStyle w:val="2"/>
              <w:rPr>
                <w:rFonts w:hint="default"/>
                <w:lang w:val="en-US" w:eastAsia="zh-CN"/>
              </w:rPr>
            </w:pPr>
            <w:r>
              <w:rPr>
                <w:rFonts w:hint="eastAsia" w:eastAsia="黑体"/>
                <w:szCs w:val="21"/>
                <w:lang w:val="en-US" w:eastAsia="zh-CN"/>
              </w:rPr>
              <w:t>RB/T115-2014</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436" w:type="dxa"/>
            <w:vAlign w:val="center"/>
          </w:tcPr>
          <w:p>
            <w:pPr>
              <w:spacing w:before="40" w:after="40"/>
              <w:rPr>
                <w:rFonts w:eastAsia="黑体"/>
                <w:szCs w:val="21"/>
                <w:lang w:eastAsia="ja-JP"/>
              </w:rPr>
            </w:pPr>
          </w:p>
        </w:tc>
        <w:tc>
          <w:tcPr>
            <w:tcW w:w="910" w:type="dxa"/>
            <w:vAlign w:val="center"/>
          </w:tcPr>
          <w:p>
            <w:pPr>
              <w:spacing w:before="40" w:after="40"/>
              <w:rPr>
                <w:rFonts w:eastAsia="黑体"/>
                <w:szCs w:val="21"/>
                <w:lang w:eastAsia="ja-JP"/>
              </w:rPr>
            </w:pPr>
          </w:p>
        </w:tc>
        <w:tc>
          <w:tcPr>
            <w:tcW w:w="1120" w:type="dxa"/>
            <w:vAlign w:val="center"/>
          </w:tcPr>
          <w:p>
            <w:pPr>
              <w:spacing w:before="40" w:after="40"/>
              <w:rPr>
                <w:rFonts w:eastAsia="黑体"/>
                <w:szCs w:val="21"/>
                <w:lang w:eastAsia="ja-JP"/>
              </w:rPr>
            </w:pPr>
          </w:p>
        </w:tc>
        <w:tc>
          <w:tcPr>
            <w:tcW w:w="3620" w:type="dxa"/>
            <w:vAlign w:val="center"/>
          </w:tcPr>
          <w:p>
            <w:pPr>
              <w:spacing w:before="40" w:after="40"/>
              <w:rPr>
                <w:rFonts w:eastAsia="黑体"/>
                <w:szCs w:val="21"/>
                <w:lang w:eastAsia="ja-JP"/>
              </w:rPr>
            </w:pPr>
          </w:p>
        </w:tc>
        <w:tc>
          <w:tcPr>
            <w:tcW w:w="149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436" w:type="dxa"/>
            <w:vAlign w:val="center"/>
          </w:tcPr>
          <w:p>
            <w:pPr>
              <w:spacing w:before="40" w:after="40"/>
              <w:rPr>
                <w:rFonts w:eastAsia="黑体"/>
                <w:szCs w:val="21"/>
                <w:lang w:eastAsia="ja-JP"/>
              </w:rPr>
            </w:pPr>
          </w:p>
        </w:tc>
        <w:tc>
          <w:tcPr>
            <w:tcW w:w="910" w:type="dxa"/>
            <w:vAlign w:val="center"/>
          </w:tcPr>
          <w:p>
            <w:pPr>
              <w:spacing w:before="40" w:after="40"/>
              <w:rPr>
                <w:rFonts w:eastAsia="黑体"/>
                <w:szCs w:val="21"/>
                <w:lang w:eastAsia="ja-JP"/>
              </w:rPr>
            </w:pPr>
          </w:p>
        </w:tc>
        <w:tc>
          <w:tcPr>
            <w:tcW w:w="1120" w:type="dxa"/>
            <w:vAlign w:val="center"/>
          </w:tcPr>
          <w:p>
            <w:pPr>
              <w:spacing w:before="40" w:after="40"/>
              <w:rPr>
                <w:rFonts w:eastAsia="黑体"/>
                <w:szCs w:val="21"/>
                <w:lang w:eastAsia="ja-JP"/>
              </w:rPr>
            </w:pPr>
          </w:p>
        </w:tc>
        <w:tc>
          <w:tcPr>
            <w:tcW w:w="3620" w:type="dxa"/>
            <w:vAlign w:val="center"/>
          </w:tcPr>
          <w:p>
            <w:pPr>
              <w:spacing w:before="40" w:after="40"/>
              <w:rPr>
                <w:rFonts w:eastAsia="黑体"/>
                <w:szCs w:val="21"/>
                <w:lang w:eastAsia="ja-JP"/>
              </w:rPr>
            </w:pPr>
          </w:p>
        </w:tc>
        <w:tc>
          <w:tcPr>
            <w:tcW w:w="149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436" w:type="dxa"/>
            <w:vAlign w:val="center"/>
          </w:tcPr>
          <w:p>
            <w:pPr>
              <w:spacing w:before="40" w:after="40"/>
              <w:rPr>
                <w:rFonts w:eastAsia="黑体"/>
                <w:szCs w:val="21"/>
                <w:lang w:eastAsia="ja-JP"/>
              </w:rPr>
            </w:pPr>
          </w:p>
        </w:tc>
        <w:tc>
          <w:tcPr>
            <w:tcW w:w="910" w:type="dxa"/>
            <w:vAlign w:val="center"/>
          </w:tcPr>
          <w:p>
            <w:pPr>
              <w:spacing w:before="40" w:after="40"/>
              <w:rPr>
                <w:rFonts w:eastAsia="黑体"/>
                <w:szCs w:val="21"/>
                <w:lang w:eastAsia="ja-JP"/>
              </w:rPr>
            </w:pPr>
          </w:p>
        </w:tc>
        <w:tc>
          <w:tcPr>
            <w:tcW w:w="1120" w:type="dxa"/>
            <w:vAlign w:val="center"/>
          </w:tcPr>
          <w:p>
            <w:pPr>
              <w:spacing w:before="40" w:after="40"/>
              <w:rPr>
                <w:rFonts w:eastAsia="黑体"/>
                <w:szCs w:val="21"/>
                <w:lang w:eastAsia="ja-JP"/>
              </w:rPr>
            </w:pPr>
          </w:p>
        </w:tc>
        <w:tc>
          <w:tcPr>
            <w:tcW w:w="3620" w:type="dxa"/>
            <w:vAlign w:val="center"/>
          </w:tcPr>
          <w:p>
            <w:pPr>
              <w:spacing w:before="40" w:after="40"/>
              <w:rPr>
                <w:rFonts w:eastAsia="黑体"/>
                <w:szCs w:val="21"/>
                <w:lang w:eastAsia="ja-JP"/>
              </w:rPr>
            </w:pPr>
          </w:p>
        </w:tc>
        <w:tc>
          <w:tcPr>
            <w:tcW w:w="149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436" w:type="dxa"/>
            <w:vAlign w:val="center"/>
          </w:tcPr>
          <w:p>
            <w:pPr>
              <w:spacing w:before="40" w:after="40"/>
              <w:rPr>
                <w:rFonts w:eastAsia="黑体"/>
                <w:szCs w:val="21"/>
                <w:lang w:eastAsia="ja-JP"/>
              </w:rPr>
            </w:pPr>
          </w:p>
        </w:tc>
        <w:tc>
          <w:tcPr>
            <w:tcW w:w="910" w:type="dxa"/>
            <w:vAlign w:val="center"/>
          </w:tcPr>
          <w:p>
            <w:pPr>
              <w:spacing w:before="40" w:after="40"/>
              <w:rPr>
                <w:rFonts w:eastAsia="黑体"/>
                <w:szCs w:val="21"/>
                <w:lang w:eastAsia="ja-JP"/>
              </w:rPr>
            </w:pPr>
          </w:p>
        </w:tc>
        <w:tc>
          <w:tcPr>
            <w:tcW w:w="1120" w:type="dxa"/>
            <w:vAlign w:val="center"/>
          </w:tcPr>
          <w:p>
            <w:pPr>
              <w:spacing w:before="40" w:after="40"/>
              <w:rPr>
                <w:rFonts w:eastAsia="黑体"/>
                <w:szCs w:val="21"/>
                <w:lang w:eastAsia="ja-JP"/>
              </w:rPr>
            </w:pPr>
          </w:p>
        </w:tc>
        <w:tc>
          <w:tcPr>
            <w:tcW w:w="3620" w:type="dxa"/>
            <w:vAlign w:val="center"/>
          </w:tcPr>
          <w:p>
            <w:pPr>
              <w:spacing w:before="40" w:after="40"/>
              <w:rPr>
                <w:rFonts w:eastAsia="黑体"/>
                <w:szCs w:val="21"/>
                <w:lang w:eastAsia="ja-JP"/>
              </w:rPr>
            </w:pPr>
          </w:p>
        </w:tc>
        <w:tc>
          <w:tcPr>
            <w:tcW w:w="149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1"/>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生产场所是否与认证申请的经营地址一致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1"/>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highlight w:val="none"/>
                <w:u w:val="single"/>
                <w:lang w:val="en-US" w:eastAsia="zh-CN"/>
              </w:rPr>
              <w:t>8</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15-25</w:t>
            </w:r>
            <w:r>
              <w:rPr>
                <w:rFonts w:hint="eastAsia" w:ascii="宋体" w:hAnsi="宋体"/>
                <w:b/>
                <w:color w:val="000000"/>
                <w:szCs w:val="21"/>
                <w:highlight w:val="none"/>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4"/>
              <w:spacing w:before="40" w:after="40"/>
              <w:jc w:val="left"/>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highlight w:val="none"/>
                <w:lang w:val="en-US" w:eastAsia="zh-CN"/>
              </w:rPr>
              <w:t>2021</w:t>
            </w:r>
            <w:r>
              <w:rPr>
                <w:rFonts w:hint="eastAsia" w:ascii="宋体" w:hAnsi="宋体" w:eastAsia="宋体"/>
                <w:color w:val="000000"/>
                <w:sz w:val="21"/>
                <w:szCs w:val="21"/>
                <w:highlight w:val="none"/>
                <w:u w:val="single"/>
                <w:lang w:val="en-US" w:eastAsia="zh-CN"/>
              </w:rPr>
              <w:t>年11月29日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r>
              <w:rPr>
                <w:rFonts w:hint="eastAsia" w:ascii="宋体" w:hAnsi="宋体" w:eastAsia="宋体"/>
                <w:color w:val="0000FF"/>
                <w:sz w:val="21"/>
                <w:szCs w:val="21"/>
                <w:lang w:val="en-US" w:eastAsia="zh-CN"/>
              </w:rPr>
              <w:t>由于疫情原因和企业策划考虑整年度（2022年度）的组织管理评审更为合理，因此策划管理评审于计划2023年1月10日左右进行。</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1"/>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auto"/>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auto"/>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有限额要求</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auto"/>
          </w:tcPr>
          <w:p>
            <w:pPr>
              <w:rPr>
                <w:rFonts w:ascii="宋体"/>
                <w:color w:val="000000"/>
                <w:szCs w:val="21"/>
              </w:rPr>
            </w:pPr>
            <w:r>
              <w:rPr>
                <w:rFonts w:hint="eastAsia" w:ascii="宋体"/>
                <w:color w:val="000000"/>
                <w:szCs w:val="21"/>
              </w:rPr>
              <w:t>是否有节能评估报告，</w:t>
            </w:r>
            <w:r>
              <w:rPr>
                <w:rFonts w:hint="eastAsia" w:ascii="宋体"/>
                <w:color w:val="000000"/>
                <w:szCs w:val="21"/>
              </w:rPr>
              <w:sym w:font="Wingdings 2" w:char="0052"/>
            </w:r>
            <w:r>
              <w:rPr>
                <w:rFonts w:hint="eastAsia" w:ascii="宋体"/>
                <w:color w:val="000000"/>
                <w:szCs w:val="21"/>
              </w:rPr>
              <w:t>是□否</w:t>
            </w:r>
            <w:r>
              <w:rPr>
                <w:rFonts w:hint="eastAsia" w:ascii="宋体"/>
                <w:color w:val="000000"/>
                <w:szCs w:val="21"/>
              </w:rPr>
              <w:sym w:font="Wingdings 2" w:char="00A3"/>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是否有节能评估报告的批复，</w:t>
            </w:r>
            <w:r>
              <w:rPr>
                <w:rFonts w:hint="eastAsia" w:ascii="宋体"/>
                <w:color w:val="000000"/>
                <w:szCs w:val="21"/>
              </w:rPr>
              <w:sym w:font="Wingdings 2" w:char="0052"/>
            </w:r>
            <w:r>
              <w:rPr>
                <w:rFonts w:hint="eastAsia" w:ascii="宋体"/>
                <w:color w:val="000000"/>
                <w:szCs w:val="21"/>
              </w:rPr>
              <w:t>是□否</w:t>
            </w:r>
            <w:r>
              <w:rPr>
                <w:rFonts w:hint="eastAsia" w:ascii="宋体"/>
                <w:color w:val="000000"/>
                <w:szCs w:val="21"/>
              </w:rPr>
              <w:sym w:font="Wingdings 2" w:char="00A3"/>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52"/>
            </w:r>
            <w:r>
              <w:rPr>
                <w:rFonts w:hint="eastAsia" w:ascii="宋体"/>
                <w:color w:val="000000"/>
                <w:szCs w:val="21"/>
              </w:rPr>
              <w:t>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auto"/>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auto"/>
          </w:tcPr>
          <w:p>
            <w:pPr>
              <w:rPr>
                <w:rFonts w:ascii="宋体"/>
                <w:color w:val="000000"/>
                <w:spacing w:val="-10"/>
                <w:szCs w:val="21"/>
              </w:rPr>
            </w:pPr>
            <w:r>
              <w:rPr>
                <w:rFonts w:hint="eastAsia" w:ascii="宋体"/>
                <w:color w:val="000000"/>
                <w:spacing w:val="-10"/>
                <w:szCs w:val="21"/>
              </w:rPr>
              <w:t>能源管理体系重点关注</w:t>
            </w:r>
          </w:p>
        </w:tc>
        <w:tc>
          <w:tcPr>
            <w:tcW w:w="8691" w:type="dxa"/>
            <w:gridSpan w:val="3"/>
            <w:shd w:val="clear" w:color="auto" w:fill="auto"/>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2" w:name="二阶段审核日期"/>
            <w:r>
              <w:rPr>
                <w:rFonts w:hint="eastAsia" w:ascii="宋体"/>
                <w:b/>
                <w:color w:val="000000"/>
                <w:szCs w:val="21"/>
              </w:rPr>
              <w:t>2022-12-</w:t>
            </w:r>
            <w:bookmarkEnd w:id="32"/>
            <w:r>
              <w:rPr>
                <w:rFonts w:hint="eastAsia" w:ascii="宋体"/>
                <w:b/>
                <w:color w:val="000000"/>
                <w:szCs w:val="21"/>
                <w:lang w:val="en-US" w:eastAsia="zh-CN"/>
              </w:rPr>
              <w:t>29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1"/>
        <w:tblW w:w="95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1"/>
        <w:gridCol w:w="87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widowControl/>
              <w:jc w:val="left"/>
              <w:rPr>
                <w:rFonts w:ascii="宋体"/>
                <w:b/>
                <w:color w:val="000000"/>
                <w:szCs w:val="21"/>
              </w:rPr>
            </w:pPr>
            <w:r>
              <w:rPr>
                <w:rFonts w:hint="eastAsia" w:ascii="宋体" w:hAnsi="宋体"/>
                <w:b/>
                <w:color w:val="000000"/>
                <w:szCs w:val="21"/>
              </w:rPr>
              <w:t>评价项目</w:t>
            </w:r>
          </w:p>
        </w:tc>
        <w:tc>
          <w:tcPr>
            <w:tcW w:w="870" w:type="dxa"/>
          </w:tcPr>
          <w:p>
            <w:pPr>
              <w:widowControl/>
              <w:jc w:val="left"/>
              <w:rPr>
                <w:rFonts w:ascii="宋体"/>
                <w:b/>
                <w:color w:val="000000"/>
                <w:szCs w:val="21"/>
              </w:rPr>
            </w:pPr>
          </w:p>
        </w:tc>
        <w:tc>
          <w:tcPr>
            <w:tcW w:w="86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1"/>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1"/>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bookmarkStart w:id="33" w:name="_GoBack"/>
            <w:bookmarkEnd w:id="33"/>
            <w:r>
              <w:rPr>
                <w:rFonts w:hint="eastAsia" w:ascii="宋体" w:hAnsi="宋体"/>
                <w:b/>
                <w:color w:val="000000"/>
                <w:spacing w:val="-10"/>
                <w:szCs w:val="21"/>
                <w:highlight w:val="none"/>
                <w:lang w:val="de-DE"/>
              </w:rPr>
              <w:sym w:font="Wingdings 2" w:char="0052"/>
            </w:r>
            <w:r>
              <w:rPr>
                <w:rFonts w:hint="eastAsia" w:ascii="宋体" w:hAnsi="宋体"/>
                <w:b/>
                <w:color w:val="000000"/>
                <w:spacing w:val="-10"/>
                <w:szCs w:val="21"/>
                <w:highlight w:val="none"/>
              </w:rPr>
              <w:t>审核</w:t>
            </w:r>
            <w:r>
              <w:rPr>
                <w:rFonts w:hint="eastAsia" w:ascii="宋体" w:hAnsi="宋体"/>
                <w:b/>
                <w:color w:val="000000"/>
                <w:szCs w:val="21"/>
                <w:highlight w:val="none"/>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highlight w:val="none"/>
              </w:rPr>
              <w:t>EnMS</w:t>
            </w:r>
          </w:p>
        </w:tc>
        <w:tc>
          <w:tcPr>
            <w:tcW w:w="5841" w:type="dxa"/>
            <w:vAlign w:val="center"/>
          </w:tcPr>
          <w:p>
            <w:pPr>
              <w:pStyle w:val="2"/>
            </w:pPr>
            <w:r>
              <w:rPr>
                <w:rFonts w:hint="eastAsia" w:ascii="Times New Roman" w:hAnsi="Times New Roman" w:eastAsia="宋体" w:cs="Times New Roman"/>
                <w:kern w:val="2"/>
                <w:sz w:val="21"/>
                <w:szCs w:val="24"/>
                <w:lang w:val="en-US" w:eastAsia="zh-CN" w:bidi="ar-SA"/>
              </w:rPr>
              <w:t>车用汽油、车用柴油、3号喷气燃料、聚合级丙烯、道路石油沥青、石油苯、石油甲苯、石油混合二甲苯、石油焦、工业用己内酰胺、肥料级硫酸铵、聚己内酰胺干切片、工业硫磺（液体）、石脑油、液化石油气（商品丙丁烷混合物）、工业纯氢、燃料油、戊烷发泡剂、工业用碳十粗芳烃、异辛烷组分生产、聚丙烯树脂的研发和生产所涉及的能源管理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drawing>
          <wp:anchor distT="0" distB="0" distL="114300" distR="114300" simplePos="0" relativeHeight="251680768" behindDoc="0" locked="0" layoutInCell="1" allowOverlap="1">
            <wp:simplePos x="0" y="0"/>
            <wp:positionH relativeFrom="column">
              <wp:posOffset>1743075</wp:posOffset>
            </wp:positionH>
            <wp:positionV relativeFrom="paragraph">
              <wp:posOffset>342900</wp:posOffset>
            </wp:positionV>
            <wp:extent cx="673100" cy="274955"/>
            <wp:effectExtent l="0" t="0" r="0" b="3810"/>
            <wp:wrapSquare wrapText="bothSides"/>
            <wp:docPr id="14"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李丽英电子签"/>
                    <pic:cNvPicPr>
                      <a:picLocks noChangeAspect="1"/>
                    </pic:cNvPicPr>
                  </pic:nvPicPr>
                  <pic:blipFill>
                    <a:blip r:embed="rId8"/>
                    <a:stretch>
                      <a:fillRect/>
                    </a:stretch>
                  </pic:blipFill>
                  <pic:spPr>
                    <a:xfrm>
                      <a:off x="0" y="0"/>
                      <a:ext cx="673100" cy="27495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default" w:eastAsiaTheme="minorEastAsia"/>
          <w:lang w:val="en-US" w:eastAsia="zh-CN"/>
        </w:rPr>
        <w:drawing>
          <wp:anchor distT="0" distB="0" distL="114300" distR="114300" simplePos="0" relativeHeight="251681792" behindDoc="0" locked="0" layoutInCell="1" allowOverlap="1">
            <wp:simplePos x="0" y="0"/>
            <wp:positionH relativeFrom="column">
              <wp:posOffset>4530090</wp:posOffset>
            </wp:positionH>
            <wp:positionV relativeFrom="paragraph">
              <wp:posOffset>-101600</wp:posOffset>
            </wp:positionV>
            <wp:extent cx="527685" cy="299085"/>
            <wp:effectExtent l="0" t="0" r="5715" b="5715"/>
            <wp:wrapSquare wrapText="bothSides"/>
            <wp:docPr id="7" name="图片 7" descr="11a046c382d8b81b1bfeb75b5211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a046c382d8b81b1bfeb75b52112d8"/>
                    <pic:cNvPicPr>
                      <a:picLocks noChangeAspect="1"/>
                    </pic:cNvPicPr>
                  </pic:nvPicPr>
                  <pic:blipFill>
                    <a:blip r:embed="rId9"/>
                    <a:stretch>
                      <a:fillRect/>
                    </a:stretch>
                  </pic:blipFill>
                  <pic:spPr>
                    <a:xfrm>
                      <a:off x="0" y="0"/>
                      <a:ext cx="527685" cy="299085"/>
                    </a:xfrm>
                    <a:prstGeom prst="rect">
                      <a:avLst/>
                    </a:prstGeom>
                  </pic:spPr>
                </pic:pic>
              </a:graphicData>
            </a:graphic>
          </wp:anchor>
        </w:drawing>
      </w:r>
      <w:r>
        <w:rPr>
          <w:rFonts w:hint="default" w:eastAsiaTheme="minorEastAsia"/>
          <w:lang w:val="en-US" w:eastAsia="zh-CN"/>
        </w:rPr>
        <w:drawing>
          <wp:anchor distT="0" distB="0" distL="114300" distR="114300" simplePos="0" relativeHeight="251680768" behindDoc="0" locked="0" layoutInCell="1" allowOverlap="1">
            <wp:simplePos x="0" y="0"/>
            <wp:positionH relativeFrom="column">
              <wp:posOffset>3869690</wp:posOffset>
            </wp:positionH>
            <wp:positionV relativeFrom="paragraph">
              <wp:posOffset>-152400</wp:posOffset>
            </wp:positionV>
            <wp:extent cx="539115" cy="353695"/>
            <wp:effectExtent l="0" t="0" r="6985" b="1905"/>
            <wp:wrapSquare wrapText="bothSides"/>
            <wp:docPr id="6" name="图片 6"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611b729e1be843596d3adf8c2569b2"/>
                    <pic:cNvPicPr>
                      <a:picLocks noChangeAspect="1"/>
                    </pic:cNvPicPr>
                  </pic:nvPicPr>
                  <pic:blipFill>
                    <a:blip r:embed="rId10"/>
                    <a:stretch>
                      <a:fillRect/>
                    </a:stretch>
                  </pic:blipFill>
                  <pic:spPr>
                    <a:xfrm>
                      <a:off x="0" y="0"/>
                      <a:ext cx="539115" cy="353695"/>
                    </a:xfrm>
                    <a:prstGeom prst="rect">
                      <a:avLst/>
                    </a:prstGeom>
                  </pic:spPr>
                </pic:pic>
              </a:graphicData>
            </a:graphic>
          </wp:anchor>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2022.12.26</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hint="eastAsia" w:eastAsia="隶书"/>
          <w:color w:val="000000"/>
          <w:szCs w:val="21"/>
        </w:rPr>
      </w:pPr>
      <w:r>
        <w:drawing>
          <wp:anchor distT="0" distB="0" distL="114300" distR="114300" simplePos="0" relativeHeight="251682816" behindDoc="0" locked="0" layoutInCell="1" allowOverlap="1">
            <wp:simplePos x="0" y="0"/>
            <wp:positionH relativeFrom="column">
              <wp:posOffset>467360</wp:posOffset>
            </wp:positionH>
            <wp:positionV relativeFrom="paragraph">
              <wp:posOffset>-7620</wp:posOffset>
            </wp:positionV>
            <wp:extent cx="3502025" cy="4827905"/>
            <wp:effectExtent l="0" t="0" r="3175" b="1079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3502025" cy="4827905"/>
                    </a:xfrm>
                    <a:prstGeom prst="rect">
                      <a:avLst/>
                    </a:prstGeom>
                    <a:noFill/>
                    <a:ln>
                      <a:noFill/>
                    </a:ln>
                  </pic:spPr>
                </pic:pic>
              </a:graphicData>
            </a:graphic>
          </wp:anchor>
        </w:drawing>
      </w: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hint="eastAsia" w:eastAsia="隶书" w:cs="Times New Roman"/>
          <w:color w:val="000000"/>
          <w:sz w:val="21"/>
          <w:szCs w:val="21"/>
        </w:rPr>
      </w:pPr>
      <w:r>
        <w:rPr>
          <w:rFonts w:hint="eastAsia" w:eastAsia="隶书"/>
          <w:color w:val="000000"/>
          <w:sz w:val="21"/>
          <w:szCs w:val="21"/>
        </w:rPr>
        <w:t>受审核方：</w:t>
      </w:r>
      <w:r>
        <w:rPr>
          <w:rFonts w:hint="eastAsia" w:eastAsia="隶书" w:cs="Times New Roman"/>
          <w:color w:val="000000"/>
          <w:sz w:val="21"/>
          <w:szCs w:val="21"/>
        </w:rPr>
        <w:t>四川欧宝路管业有限责任公司</w:t>
      </w:r>
    </w:p>
    <w:tbl>
      <w:tblPr>
        <w:tblStyle w:val="11"/>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Calibri" w:hAnsi="Calibri" w:eastAsia="宋体" w:cs="Times New Roman"/>
                <w:color w:val="000000"/>
                <w:kern w:val="2"/>
                <w:sz w:val="21"/>
                <w:szCs w:val="21"/>
                <w:lang w:val="en-US" w:eastAsia="zh-CN" w:bidi="ar-SA"/>
              </w:rPr>
            </w:pPr>
            <w:r>
              <w:rPr>
                <w:rFonts w:hint="eastAsia" w:ascii="Calibri" w:hAnsi="Calibri" w:eastAsia="宋体" w:cs="Times New Roman"/>
                <w:color w:val="000000"/>
                <w:kern w:val="2"/>
                <w:sz w:val="21"/>
                <w:szCs w:val="21"/>
                <w:lang w:val="en-US" w:eastAsia="zh-CN" w:bidi="ar-SA"/>
              </w:rPr>
              <w:t>法律法规清单：</w:t>
            </w:r>
          </w:p>
          <w:p>
            <w:pPr>
              <w:pStyle w:val="10"/>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Calibri" w:hAnsi="Calibri" w:eastAsia="宋体" w:cs="Times New Roman"/>
                <w:color w:val="000000"/>
                <w:kern w:val="2"/>
                <w:sz w:val="21"/>
                <w:szCs w:val="21"/>
                <w:lang w:val="en-US" w:eastAsia="zh-CN" w:bidi="ar-SA"/>
              </w:rPr>
            </w:pPr>
            <w:r>
              <w:rPr>
                <w:rFonts w:hint="eastAsia" w:ascii="Calibri" w:hAnsi="Calibri" w:eastAsia="宋体" w:cs="Times New Roman"/>
                <w:color w:val="000000"/>
                <w:kern w:val="2"/>
                <w:sz w:val="21"/>
                <w:szCs w:val="21"/>
                <w:lang w:val="en-US" w:eastAsia="zh-CN" w:bidi="ar-SA"/>
              </w:rPr>
              <w:t>未更新、固定资产投资项目节能评估和审查暂行办法、产业结构调整指导目录(2013年）；</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jc w:val="left"/>
              <w:rPr>
                <w:rFonts w:hint="default"/>
                <w:color w:val="000000"/>
                <w:sz w:val="21"/>
                <w:szCs w:val="21"/>
                <w:highlight w:val="yellow"/>
                <w:lang w:val="en-US" w:eastAsia="zh-CN"/>
              </w:rPr>
            </w:pPr>
            <w:r>
              <w:rPr>
                <w:rFonts w:hint="eastAsia" w:ascii="Calibri" w:hAnsi="Calibri" w:eastAsia="宋体" w:cs="Times New Roman"/>
                <w:color w:val="000000"/>
                <w:kern w:val="2"/>
                <w:sz w:val="21"/>
                <w:szCs w:val="21"/>
                <w:lang w:val="en-US" w:eastAsia="zh-CN" w:bidi="ar-SA"/>
              </w:rPr>
              <w:t>2）未识别RB/T 115-2014能源管理体系　石油化工企业认证要求、GB</w:t>
            </w:r>
            <w:r>
              <w:rPr>
                <w:rFonts w:hint="eastAsia" w:ascii="Calibri" w:hAnsi="Calibri" w:cs="Times New Roman"/>
                <w:color w:val="000000"/>
                <w:kern w:val="2"/>
                <w:sz w:val="21"/>
                <w:szCs w:val="21"/>
                <w:lang w:val="en-US" w:eastAsia="zh-CN" w:bidi="ar-SA"/>
              </w:rPr>
              <w:t>/</w:t>
            </w:r>
            <w:r>
              <w:rPr>
                <w:rFonts w:hint="eastAsia" w:ascii="Calibri" w:hAnsi="Calibri" w:eastAsia="宋体" w:cs="Times New Roman"/>
                <w:color w:val="000000"/>
                <w:kern w:val="2"/>
                <w:sz w:val="21"/>
                <w:szCs w:val="21"/>
                <w:lang w:val="en-US" w:eastAsia="zh-CN" w:bidi="ar-SA"/>
              </w:rPr>
              <w:t>T 36713-2018能源管理体系 能源基准及能源绩效参数和GB29141-2012工业硫酸单位产品能源消耗限额、国务院印发“十四五”节能减排综合工作方案</w:t>
            </w:r>
            <w:r>
              <w:rPr>
                <w:rFonts w:hint="eastAsia" w:ascii="Calibri" w:hAnsi="Calibri" w:cs="Times New Roman"/>
                <w:color w:val="000000"/>
                <w:kern w:val="2"/>
                <w:sz w:val="21"/>
                <w:szCs w:val="21"/>
                <w:lang w:val="en-US" w:eastAsia="zh-CN" w:bidi="ar-SA"/>
              </w:rPr>
              <w:t>等</w:t>
            </w:r>
          </w:p>
        </w:tc>
        <w:tc>
          <w:tcPr>
            <w:tcW w:w="922" w:type="dxa"/>
            <w:vAlign w:val="center"/>
          </w:tcPr>
          <w:p>
            <w:pPr>
              <w:pStyle w:val="8"/>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En</w:t>
            </w:r>
          </w:p>
        </w:tc>
        <w:tc>
          <w:tcPr>
            <w:tcW w:w="1133"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4.2</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highlight w:val="yellow"/>
                <w:lang w:val="en-US" w:eastAsia="zh-CN"/>
              </w:rPr>
            </w:pPr>
            <w:r>
              <w:rPr>
                <w:rFonts w:hint="eastAsia" w:ascii="Calibri" w:hAnsi="Calibri" w:eastAsia="宋体" w:cs="Times New Roman"/>
                <w:color w:val="000000"/>
                <w:kern w:val="2"/>
                <w:sz w:val="21"/>
                <w:szCs w:val="21"/>
                <w:lang w:val="en-US" w:eastAsia="zh-CN" w:bidi="ar-SA"/>
              </w:rPr>
              <w:t>未提供时间间隔不超过12个月的管理评审资料</w:t>
            </w:r>
          </w:p>
        </w:tc>
        <w:tc>
          <w:tcPr>
            <w:tcW w:w="922" w:type="dxa"/>
            <w:vAlign w:val="center"/>
          </w:tcPr>
          <w:p>
            <w:pPr>
              <w:pStyle w:val="8"/>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En</w:t>
            </w:r>
          </w:p>
        </w:tc>
        <w:tc>
          <w:tcPr>
            <w:tcW w:w="1133" w:type="dxa"/>
            <w:vAlign w:val="center"/>
          </w:tcPr>
          <w:p>
            <w:pPr>
              <w:pStyle w:val="8"/>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9.3</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48" w:type="dxa"/>
            <w:vAlign w:val="center"/>
          </w:tcPr>
          <w:p>
            <w:pPr>
              <w:pStyle w:val="8"/>
              <w:pBdr>
                <w:bottom w:val="none" w:color="auto" w:sz="0" w:space="0"/>
              </w:pBdr>
              <w:ind w:right="600"/>
              <w:jc w:val="both"/>
              <w:rPr>
                <w:rFonts w:hint="default" w:ascii="宋体" w:eastAsia="宋体"/>
                <w:color w:val="000000"/>
                <w:sz w:val="21"/>
                <w:szCs w:val="21"/>
                <w:lang w:val="en-US" w:eastAsia="zh-CN"/>
              </w:rPr>
            </w:pPr>
            <w:r>
              <w:rPr>
                <w:rFonts w:hint="eastAsia" w:ascii="宋体"/>
                <w:color w:val="000000"/>
                <w:sz w:val="21"/>
                <w:szCs w:val="21"/>
                <w:lang w:val="en-US" w:eastAsia="zh-CN"/>
              </w:rPr>
              <w:t>3</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p>
        </w:tc>
        <w:tc>
          <w:tcPr>
            <w:tcW w:w="922"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1133"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tabs>
                <w:tab w:val="center" w:pos="5737"/>
                <w:tab w:val="clear" w:pos="4153"/>
              </w:tabs>
              <w:jc w:val="both"/>
              <w:rPr>
                <w:rFonts w:hint="eastAsia"/>
                <w:color w:val="000000"/>
                <w:sz w:val="21"/>
                <w:szCs w:val="21"/>
                <w:lang w:val="en-US" w:eastAsia="zh-CN"/>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114300" distR="114300" simplePos="0" relativeHeight="251671552" behindDoc="0" locked="0" layoutInCell="1" allowOverlap="1">
                  <wp:simplePos x="0" y="0"/>
                  <wp:positionH relativeFrom="column">
                    <wp:posOffset>1014730</wp:posOffset>
                  </wp:positionH>
                  <wp:positionV relativeFrom="paragraph">
                    <wp:posOffset>82550</wp:posOffset>
                  </wp:positionV>
                  <wp:extent cx="673100" cy="274955"/>
                  <wp:effectExtent l="0" t="0" r="0" b="3810"/>
                  <wp:wrapSquare wrapText="bothSides"/>
                  <wp:docPr id="5"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李丽英电子签"/>
                          <pic:cNvPicPr>
                            <a:picLocks noChangeAspect="1"/>
                          </pic:cNvPicPr>
                        </pic:nvPicPr>
                        <pic:blipFill>
                          <a:blip r:embed="rId8"/>
                          <a:stretch>
                            <a:fillRect/>
                          </a:stretch>
                        </pic:blipFill>
                        <pic:spPr>
                          <a:xfrm>
                            <a:off x="0" y="0"/>
                            <a:ext cx="673100" cy="27495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2022年12</w:t>
            </w:r>
            <w:r>
              <w:rPr>
                <w:rFonts w:hint="eastAsia"/>
                <w:b/>
                <w:color w:val="000000"/>
                <w:szCs w:val="21"/>
              </w:rPr>
              <w:t>月</w:t>
            </w:r>
            <w:r>
              <w:rPr>
                <w:rFonts w:hint="eastAsia"/>
                <w:b/>
                <w:color w:val="000000"/>
                <w:szCs w:val="21"/>
                <w:lang w:val="en-US" w:eastAsia="zh-CN"/>
              </w:rPr>
              <w:t>26</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26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hint="eastAsia" w:ascii="宋体" w:hAns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rFonts w:hint="eastAsia" w:ascii="宋体" w:hAnsi="宋体"/>
                <w:b/>
                <w:bCs/>
                <w:color w:val="000000"/>
                <w:spacing w:val="-8"/>
                <w:szCs w:val="21"/>
              </w:rPr>
            </w:pP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drawing>
                <wp:anchor distT="0" distB="0" distL="114300" distR="114300" simplePos="0" relativeHeight="251679744" behindDoc="0" locked="0" layoutInCell="1" allowOverlap="1">
                  <wp:simplePos x="0" y="0"/>
                  <wp:positionH relativeFrom="column">
                    <wp:posOffset>595630</wp:posOffset>
                  </wp:positionH>
                  <wp:positionV relativeFrom="paragraph">
                    <wp:posOffset>88900</wp:posOffset>
                  </wp:positionV>
                  <wp:extent cx="673100" cy="274955"/>
                  <wp:effectExtent l="0" t="0" r="0" b="3810"/>
                  <wp:wrapSquare wrapText="bothSides"/>
                  <wp:docPr id="8"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李丽英电子签"/>
                          <pic:cNvPicPr>
                            <a:picLocks noChangeAspect="1"/>
                          </pic:cNvPicPr>
                        </pic:nvPicPr>
                        <pic:blipFill>
                          <a:blip r:embed="rId8"/>
                          <a:stretch>
                            <a:fillRect/>
                          </a:stretch>
                        </pic:blipFill>
                        <pic:spPr>
                          <a:xfrm>
                            <a:off x="0" y="0"/>
                            <a:ext cx="673100" cy="27495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26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single" w:color="auto" w:sz="4" w:space="1"/>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D731A473"/>
    <w:multiLevelType w:val="singleLevel"/>
    <w:tmpl w:val="D731A473"/>
    <w:lvl w:ilvl="0" w:tentative="0">
      <w:start w:val="1"/>
      <w:numFmt w:val="decimal"/>
      <w:suff w:val="nothing"/>
      <w:lvlText w:val="%1）"/>
      <w:lvlJc w:val="left"/>
    </w:lvl>
  </w:abstractNum>
  <w:abstractNum w:abstractNumId="2">
    <w:nsid w:val="0654C859"/>
    <w:multiLevelType w:val="singleLevel"/>
    <w:tmpl w:val="0654C859"/>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3">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5C50BFB"/>
    <w:rsid w:val="141A3F0A"/>
    <w:rsid w:val="1F8D3887"/>
    <w:rsid w:val="290818AA"/>
    <w:rsid w:val="2CDC56D3"/>
    <w:rsid w:val="2F11674F"/>
    <w:rsid w:val="3E7B062B"/>
    <w:rsid w:val="403D2DBE"/>
    <w:rsid w:val="48C60BF2"/>
    <w:rsid w:val="51D574CD"/>
    <w:rsid w:val="776410FE"/>
    <w:rsid w:val="7CE52F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semiHidden/>
    <w:unhideWhenUsed/>
    <w:qFormat/>
    <w:uiPriority w:val="99"/>
    <w:pPr>
      <w:numPr>
        <w:ilvl w:val="0"/>
        <w:numId w:val="2"/>
      </w:numPr>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4"/>
    <w:semiHidden/>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7"/>
    <w:qFormat/>
    <w:uiPriority w:val="99"/>
    <w:pPr>
      <w:spacing w:before="240" w:after="60" w:line="312" w:lineRule="auto"/>
      <w:jc w:val="center"/>
      <w:outlineLvl w:val="1"/>
    </w:pPr>
    <w:rPr>
      <w:rFonts w:ascii="Cambria" w:hAnsi="Cambria"/>
      <w:b/>
      <w:bCs/>
      <w:kern w:val="28"/>
      <w:sz w:val="32"/>
      <w:szCs w:val="32"/>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link w:val="6"/>
    <w:semiHidden/>
    <w:qFormat/>
    <w:locked/>
    <w:uiPriority w:val="99"/>
    <w:rPr>
      <w:rFonts w:ascii="Times New Roman" w:hAnsi="Times New Roman" w:eastAsia="宋体" w:cs="Times New Roman"/>
      <w:sz w:val="18"/>
      <w:szCs w:val="18"/>
    </w:rPr>
  </w:style>
  <w:style w:type="character" w:customStyle="1" w:styleId="15">
    <w:name w:val="页脚 Char"/>
    <w:link w:val="7"/>
    <w:qFormat/>
    <w:locked/>
    <w:uiPriority w:val="99"/>
    <w:rPr>
      <w:rFonts w:ascii="Times New Roman" w:hAnsi="Times New Roman" w:eastAsia="宋体" w:cs="Times New Roman"/>
      <w:sz w:val="18"/>
      <w:szCs w:val="18"/>
    </w:rPr>
  </w:style>
  <w:style w:type="character" w:customStyle="1" w:styleId="16">
    <w:name w:val="页眉 Char"/>
    <w:link w:val="8"/>
    <w:qFormat/>
    <w:locked/>
    <w:uiPriority w:val="99"/>
    <w:rPr>
      <w:rFonts w:ascii="Calibri" w:hAnsi="Calibri" w:eastAsia="宋体" w:cs="Times New Roman"/>
      <w:sz w:val="18"/>
      <w:szCs w:val="18"/>
    </w:rPr>
  </w:style>
  <w:style w:type="character" w:customStyle="1" w:styleId="17">
    <w:name w:val="副标题 Char"/>
    <w:link w:val="9"/>
    <w:qFormat/>
    <w:locked/>
    <w:uiPriority w:val="99"/>
    <w:rPr>
      <w:rFonts w:ascii="Cambria" w:hAnsi="Cambria" w:eastAsia="宋体" w:cs="Times New Roman"/>
      <w:b/>
      <w:bCs/>
      <w:kern w:val="28"/>
      <w:sz w:val="32"/>
      <w:szCs w:val="32"/>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11pt AS0"/>
    <w:basedOn w:val="1"/>
    <w:qFormat/>
    <w:uiPriority w:val="0"/>
    <w:pPr>
      <w:spacing w:before="60"/>
    </w:pPr>
    <w:rPr>
      <w:sz w:val="22"/>
    </w:rPr>
  </w:style>
  <w:style w:type="paragraph" w:customStyle="1" w:styleId="20">
    <w:name w:val="Body 10pt De Left AS0"/>
    <w:basedOn w:val="1"/>
    <w:qFormat/>
    <w:uiPriority w:val="0"/>
  </w:style>
  <w:style w:type="paragraph" w:customStyle="1" w:styleId="21">
    <w:name w:val="Header 10pt De PS0"/>
    <w:basedOn w:val="1"/>
    <w:qFormat/>
    <w:uiPriority w:val="0"/>
    <w:pPr>
      <w:spacing w:before="40" w:after="40"/>
    </w:pPr>
    <w:rPr>
      <w:rFonts w:eastAsia="Times New Roman"/>
      <w:b/>
      <w:sz w:val="20"/>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10</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2023-01-01T04:50:29Z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