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214"/>
        <w:gridCol w:w="10854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13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85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行政部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eastAsia="zh-CN"/>
              </w:rPr>
              <w:t>席雨婷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bookmarkStart w:id="0" w:name="管理者代表"/>
            <w:r>
              <w:rPr>
                <w:rFonts w:hint="eastAsia"/>
                <w:sz w:val="24"/>
                <w:szCs w:val="24"/>
              </w:rPr>
              <w:t>熊少朋</w:t>
            </w:r>
            <w:bookmarkEnd w:id="0"/>
          </w:p>
        </w:tc>
        <w:tc>
          <w:tcPr>
            <w:tcW w:w="92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13" w:type="dxa"/>
            <w:vMerge w:val="continue"/>
            <w:vAlign w:val="center"/>
          </w:tcPr>
          <w:p/>
        </w:tc>
        <w:tc>
          <w:tcPr>
            <w:tcW w:w="1214" w:type="dxa"/>
            <w:vMerge w:val="continue"/>
            <w:vAlign w:val="center"/>
          </w:tcPr>
          <w:p/>
        </w:tc>
        <w:tc>
          <w:tcPr>
            <w:tcW w:w="1085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2022年12月2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</w:t>
            </w:r>
            <w:bookmarkEnd w:id="2"/>
          </w:p>
        </w:tc>
        <w:tc>
          <w:tcPr>
            <w:tcW w:w="92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13" w:type="dxa"/>
            <w:vMerge w:val="continue"/>
            <w:vAlign w:val="center"/>
          </w:tcPr>
          <w:p/>
        </w:tc>
        <w:tc>
          <w:tcPr>
            <w:tcW w:w="1214" w:type="dxa"/>
            <w:vMerge w:val="continue"/>
            <w:vAlign w:val="center"/>
          </w:tcPr>
          <w:p/>
        </w:tc>
        <w:tc>
          <w:tcPr>
            <w:tcW w:w="1085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05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7.1.2人员、7.1.3基础设施、7.1.4过程运行环境、7.1.6组织知识、7.2能力、7.3意识、7.5.1形成文件的信息总则、7.5.2形成文件的信息的创建和更新、7.5.3形成文件的信息的控制、9.1.1监视、测量、分析和评价总则、9.1.3分析与评价、9.2内部审核、10.2不合格和纠正措施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E/O:5.3组织的岗位、职责和权限、6.2环境/职业健康安全目标、6.1.2环境因素/危险源的辨识与评价、6.1.4措施的策划、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6.1.3合规义务、9.1.2合规性评价、</w:t>
            </w:r>
            <w:r>
              <w:rPr>
                <w:rFonts w:hint="eastAsia" w:ascii="宋体" w:hAnsi="宋体" w:cs="Arial"/>
                <w:sz w:val="21"/>
                <w:szCs w:val="21"/>
              </w:rPr>
              <w:t>7.2能力、7.3意识、7.5形成文件的信息、8.1运行策划和控制、8.2应急准备和响应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9.1.1监视、测量、分析和评价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9.2内部审核、10.2不符合/事件和纠正措施</w:t>
            </w:r>
          </w:p>
        </w:tc>
        <w:tc>
          <w:tcPr>
            <w:tcW w:w="92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13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组织的岗位、职责和权限</w:t>
            </w:r>
          </w:p>
        </w:tc>
        <w:tc>
          <w:tcPr>
            <w:tcW w:w="1214" w:type="dxa"/>
            <w:vAlign w:val="top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QEO</w:t>
            </w:r>
            <w:r>
              <w:rPr>
                <w:rFonts w:hint="eastAsia"/>
                <w:szCs w:val="21"/>
                <w:lang w:val="en-US" w:eastAsia="zh-CN"/>
              </w:rPr>
              <w:t>:</w:t>
            </w:r>
            <w:r>
              <w:rPr>
                <w:szCs w:val="21"/>
              </w:rPr>
              <w:t>5.3</w:t>
            </w:r>
          </w:p>
        </w:tc>
        <w:tc>
          <w:tcPr>
            <w:tcW w:w="108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hAnsi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行政部现有</w:t>
            </w:r>
            <w:r>
              <w:rPr>
                <w:rFonts w:hint="eastAsia" w:hAnsi="宋体"/>
                <w:szCs w:val="21"/>
                <w:lang w:val="en-US" w:eastAsia="zh-CN"/>
              </w:rPr>
              <w:t>2</w:t>
            </w:r>
            <w:r>
              <w:rPr>
                <w:rFonts w:hint="eastAsia" w:hAnsi="宋体"/>
                <w:szCs w:val="21"/>
              </w:rPr>
              <w:t>人</w:t>
            </w:r>
            <w:r>
              <w:rPr>
                <w:rFonts w:hint="eastAsia" w:hAnsi="宋体"/>
                <w:szCs w:val="21"/>
                <w:lang w:eastAsia="zh-CN"/>
              </w:rPr>
              <w:t>，主任</w:t>
            </w:r>
            <w:r>
              <w:rPr>
                <w:rFonts w:hint="eastAsia" w:hAnsi="宋体"/>
                <w:szCs w:val="21"/>
                <w:lang w:val="en-US" w:eastAsia="zh-CN"/>
              </w:rPr>
              <w:t>1人，内勤1人</w:t>
            </w:r>
            <w:r>
              <w:rPr>
                <w:rFonts w:hint="eastAsia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主要负责：</w:t>
            </w:r>
            <w:r>
              <w:rPr>
                <w:rFonts w:hint="eastAsia" w:hAnsi="宋体"/>
                <w:szCs w:val="21"/>
                <w:lang w:eastAsia="zh-CN"/>
              </w:rPr>
              <w:t>行政管理、</w:t>
            </w:r>
            <w:r>
              <w:rPr>
                <w:rFonts w:hint="eastAsia" w:hAnsi="宋体"/>
                <w:szCs w:val="21"/>
              </w:rPr>
              <w:t>人力资源管理</w:t>
            </w:r>
            <w:r>
              <w:rPr>
                <w:rFonts w:hint="eastAsia" w:hAnsi="宋体"/>
                <w:szCs w:val="21"/>
                <w:lang w:eastAsia="zh-CN"/>
              </w:rPr>
              <w:t>，</w:t>
            </w:r>
            <w:r>
              <w:rPr>
                <w:rFonts w:hint="eastAsia" w:hAnsi="宋体"/>
                <w:szCs w:val="21"/>
              </w:rPr>
              <w:t>后勤事务管理；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环境因素和危险源进行识别和控制；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体系运行检查、内审</w:t>
            </w:r>
            <w:r>
              <w:rPr>
                <w:rFonts w:hint="eastAsia" w:hAnsi="宋体"/>
                <w:szCs w:val="21"/>
                <w:lang w:eastAsia="zh-CN"/>
              </w:rPr>
              <w:t>，</w:t>
            </w:r>
            <w:r>
              <w:rPr>
                <w:rFonts w:hint="eastAsia" w:hAnsi="宋体"/>
                <w:szCs w:val="21"/>
              </w:rPr>
              <w:t>进行法律法规收集及合规性评价；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</w:rPr>
              <w:t>应急准备和相应控制，不符合纠正与预防，事故事件调查处理等。</w:t>
            </w:r>
          </w:p>
        </w:tc>
        <w:tc>
          <w:tcPr>
            <w:tcW w:w="928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13" w:type="dxa"/>
            <w:vAlign w:val="top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目标和</w:t>
            </w:r>
            <w:r>
              <w:rPr>
                <w:rFonts w:hint="eastAsia" w:hAnsi="宋体"/>
                <w:szCs w:val="21"/>
                <w:lang w:eastAsia="zh-CN"/>
              </w:rPr>
              <w:t>措施</w:t>
            </w:r>
          </w:p>
        </w:tc>
        <w:tc>
          <w:tcPr>
            <w:tcW w:w="1214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QEO</w:t>
            </w:r>
            <w:r>
              <w:rPr>
                <w:rFonts w:hint="eastAsia"/>
                <w:szCs w:val="21"/>
                <w:lang w:val="en-US" w:eastAsia="zh-CN"/>
              </w:rPr>
              <w:t>:</w:t>
            </w:r>
            <w:r>
              <w:rPr>
                <w:szCs w:val="21"/>
              </w:rPr>
              <w:t>6.2</w:t>
            </w:r>
          </w:p>
        </w:tc>
        <w:tc>
          <w:tcPr>
            <w:tcW w:w="108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查见“目标分解考核表”，显示对各部门进行了目标分解，并制定实施措施，行政部目标：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文件受控率达100%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培训合格率达100%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火灾事故为0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固废分类处置率100%；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保留“</w:t>
            </w:r>
            <w:r>
              <w:rPr>
                <w:rFonts w:hint="default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目标分解考核表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”，</w:t>
            </w:r>
            <w:r>
              <w:rPr>
                <w:rFonts w:hint="default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2022年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7-9月</w:t>
            </w:r>
            <w:r>
              <w:rPr>
                <w:rFonts w:hint="default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目标均已完成。</w:t>
            </w:r>
          </w:p>
        </w:tc>
        <w:tc>
          <w:tcPr>
            <w:tcW w:w="928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13" w:type="dxa"/>
            <w:vAlign w:val="top"/>
          </w:tcPr>
          <w:p>
            <w:pPr>
              <w:spacing w:line="360" w:lineRule="auto"/>
              <w:jc w:val="both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环境因素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危险源</w:t>
            </w:r>
          </w:p>
          <w:p>
            <w:pPr>
              <w:spacing w:line="360" w:lineRule="auto"/>
              <w:jc w:val="both"/>
              <w:rPr>
                <w:rFonts w:hint="eastAsia" w:hAnsi="宋体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</w:rPr>
              <w:t>措施的策划</w:t>
            </w:r>
          </w:p>
        </w:tc>
        <w:tc>
          <w:tcPr>
            <w:tcW w:w="1214" w:type="dxa"/>
            <w:vAlign w:val="top"/>
          </w:tcPr>
          <w:p>
            <w:pPr>
              <w:spacing w:line="360" w:lineRule="auto"/>
              <w:jc w:val="both"/>
              <w:rPr>
                <w:szCs w:val="21"/>
              </w:rPr>
            </w:pPr>
            <w:r>
              <w:rPr>
                <w:bCs/>
                <w:szCs w:val="21"/>
              </w:rPr>
              <w:t>EO</w:t>
            </w:r>
            <w:r>
              <w:rPr>
                <w:rFonts w:hAnsi="宋体"/>
                <w:bCs/>
                <w:szCs w:val="21"/>
              </w:rPr>
              <w:t>：</w:t>
            </w:r>
            <w:r>
              <w:rPr>
                <w:szCs w:val="21"/>
              </w:rPr>
              <w:t>6.1.2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6.1.4</w:t>
            </w:r>
          </w:p>
        </w:tc>
        <w:tc>
          <w:tcPr>
            <w:tcW w:w="108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提供了环境因素和危险源识别评价与控制程序。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查“环境因素辨识和评价登记表”，识别考虑了正常、异常、紧急，过去、现在、未来三种时态。涉及行政部的环境因素有生活垃圾的处置不当污染环境、办公场所吸烟污染环境、复印机打印机废墨盒处置污染环境、火灾发生后废弃物污染大气、水土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采取多因子评价法进行了评价，查到“重要环境因素清单”，评价出固体废弃物排放、潜在火灾等2项重要环境因素。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经评价行政部的重要环境因素为：固废、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潜在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火灾。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主要控制措施：办公危废交耗材公司，生活垃圾由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环卫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部门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处理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，加强日常培训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日常检查，配备消防器材等措施。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查“危险源辨识、风险评价、风险控制一览表”，识别了办公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活动和路途中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的危险源。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涉及行政部的危险源有插座质量差漏电造成的触电，烟头未及时熄灭或直接扔到纸篓中造成火灾，接线板负荷过重造成的火灾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或触电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采取D=LEC进行评价，查到“重大危险源清单”，评价出重大危险源2个，包括：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潜在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火灾、触电。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经评价行政部的重大危险源：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潜在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火灾、触电。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主要控制措施：执行管理方案、配备消防器材、日常检查、培训教育等运行控制措施等。</w:t>
            </w:r>
          </w:p>
        </w:tc>
        <w:tc>
          <w:tcPr>
            <w:tcW w:w="928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13" w:type="dxa"/>
            <w:vAlign w:val="top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运行策划和控制</w:t>
            </w:r>
          </w:p>
        </w:tc>
        <w:tc>
          <w:tcPr>
            <w:tcW w:w="1214" w:type="dxa"/>
            <w:vAlign w:val="top"/>
          </w:tcPr>
          <w:p>
            <w:pPr>
              <w:spacing w:line="360" w:lineRule="auto"/>
              <w:jc w:val="both"/>
              <w:rPr>
                <w:szCs w:val="21"/>
              </w:rPr>
            </w:pPr>
            <w:r>
              <w:rPr>
                <w:bCs/>
                <w:szCs w:val="21"/>
              </w:rPr>
              <w:t>EO</w:t>
            </w:r>
            <w:r>
              <w:rPr>
                <w:szCs w:val="21"/>
              </w:rPr>
              <w:t>8.1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制定并实施了运行控制程序、废弃物控制程序、噪声控制程序、消防控制程序、资源能源控制程序、安全防火规程、劳动防护用品控制程序、办公用品管理规定、节约用水管理规定、垃圾管理规定、应急预案等环境与职业健康安全控制程序和管理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highlight w:val="none"/>
                <w:lang w:eastAsia="zh-CN"/>
              </w:rPr>
              <w:t>查见劳动合同，抽见：</w:t>
            </w:r>
            <w:r>
              <w:rPr>
                <w:rFonts w:hint="eastAsia" w:ascii="宋体" w:hAnsi="宋体" w:cs="Arial"/>
                <w:spacing w:val="-6"/>
                <w:szCs w:val="21"/>
                <w:highlight w:val="none"/>
                <w:lang w:eastAsia="zh-CN"/>
              </w:rPr>
              <w:t>席</w:t>
            </w:r>
            <w:r>
              <w:rPr>
                <w:rFonts w:hint="eastAsia" w:ascii="宋体" w:hAnsi="宋体" w:eastAsia="宋体" w:cs="Arial"/>
                <w:spacing w:val="-6"/>
                <w:szCs w:val="21"/>
                <w:highlight w:val="none"/>
                <w:lang w:val="en-US" w:eastAsia="zh-CN"/>
              </w:rPr>
              <w:t>XX、</w:t>
            </w:r>
            <w:r>
              <w:rPr>
                <w:rFonts w:hint="eastAsia" w:ascii="宋体" w:hAnsi="宋体" w:cs="Arial"/>
                <w:spacing w:val="-6"/>
                <w:szCs w:val="21"/>
                <w:highlight w:val="none"/>
                <w:lang w:val="en-US" w:eastAsia="zh-CN"/>
              </w:rPr>
              <w:t>胡</w:t>
            </w:r>
            <w:r>
              <w:rPr>
                <w:rFonts w:hint="eastAsia" w:ascii="宋体" w:hAnsi="宋体" w:eastAsia="宋体" w:cs="Arial"/>
                <w:spacing w:val="-6"/>
                <w:szCs w:val="21"/>
                <w:highlight w:val="none"/>
                <w:lang w:val="en-US" w:eastAsia="zh-CN"/>
              </w:rPr>
              <w:t>XX，基本符合</w:t>
            </w:r>
            <w:r>
              <w:rPr>
                <w:rFonts w:hint="eastAsia" w:ascii="宋体" w:hAnsi="宋体" w:eastAsia="宋体" w:cs="Arial"/>
                <w:spacing w:val="-6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行政部定期组织环保和安全知识培训，员工具备了基本的环保和职业健康安全防护意识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办公环境安静，无明显噪声和废气；生活废水经市政管网排放。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按公司要求人走关灯，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张贴标识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要求人走后电源切断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节约用水用电、纸张双面使用、禁止吸烟、无乱拉乱接电线、无超额电器使用，经常对电路、电源进行检查，没有露电现象发生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行政部垃圾主要包含可回收垃圾、硒鼓、废纸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配置了垃圾箱，行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物业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统一处理。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对可回收的固体废弃物，统一回收再利用或由物资回收公司处理。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办公用墨盒硒鼓等危废以旧换新。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现场巡视办公区域配备了灭火器，状况正常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未设置安全通道的指示标识，督促现场整改；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不定期开展交通安全教育培训；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部门运行控制基本符合要求。</w:t>
            </w:r>
          </w:p>
        </w:tc>
        <w:tc>
          <w:tcPr>
            <w:tcW w:w="928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13" w:type="dxa"/>
            <w:vAlign w:val="top"/>
          </w:tcPr>
          <w:p>
            <w:pP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基础设施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运行环境</w:t>
            </w:r>
          </w:p>
        </w:tc>
        <w:tc>
          <w:tcPr>
            <w:tcW w:w="1214" w:type="dxa"/>
            <w:vAlign w:val="top"/>
          </w:tcPr>
          <w:p>
            <w:pP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Q:7.1.3</w:t>
            </w:r>
          </w:p>
          <w:p>
            <w:pPr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7.1.4</w:t>
            </w:r>
          </w:p>
        </w:tc>
        <w:tc>
          <w:tcPr>
            <w:tcW w:w="1085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查见“设备台帐”，登记有电脑、打印机等，另见各类办公家具若干；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介绍说，公司人员较稳定，电脑没有新增购置，也没有报废；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介绍说，设备维护主要是电脑杀毒、升级和备份；介绍说，杀毒和升级由员工自主完成；记录由电脑自动生成。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介绍说，电脑出现故障时，由电脑供应商提供售后服务，一般报修通过电话进行，故障排除后通过试运行进行验收。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未保留报修和验收记录，交流，基本符合。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现场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观察，办公面积约55平方米，分区设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置，配置的办公桌符合人机工程要求，干净整洁，照明、通风良好；配置有空调，温度适宜；按要求设置有安全消防设施；有少量绿植；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员工关系和谐，墙面张贴有文化宣传活动的资料，与销售人员交流时，情绪愉快。</w:t>
            </w:r>
          </w:p>
        </w:tc>
        <w:tc>
          <w:tcPr>
            <w:tcW w:w="92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13" w:type="dxa"/>
            <w:vAlign w:val="top"/>
          </w:tcPr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监视和测量资源</w:t>
            </w:r>
          </w:p>
        </w:tc>
        <w:tc>
          <w:tcPr>
            <w:tcW w:w="1214" w:type="dxa"/>
            <w:vAlign w:val="top"/>
          </w:tcPr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Q:7.1.5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本公司的监视测量装置主要是顾客满意度调查表等，正常使用，无需校准和检测。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13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组织知识</w:t>
            </w:r>
          </w:p>
        </w:tc>
        <w:tc>
          <w:tcPr>
            <w:tcW w:w="1214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 xml:space="preserve">Q:7.1.6 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企业确定运行过程所需要的知识，包括内部知识、外部知识。经组织识别，组织内外部知识包括：外部知识、专业知识、管理经验、教训等。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从内部来源获取的有：研发人员以往多年的工作经验（员工过去所有的）根据顾客要求设计出满足顾客需求的系统网络技术及软件等；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外部来源获取有：标杆对比、行业会议、客户技术要求、各培训老师传授的体系知识及所实施的内审员的培训；顾客方提供的资料等。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企业知识在部门管理基本符合标准要求。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13" w:type="dxa"/>
            <w:vAlign w:val="top"/>
          </w:tcPr>
          <w:p>
            <w:pPr>
              <w:spacing w:line="360" w:lineRule="auto"/>
              <w:jc w:val="both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资源</w:t>
            </w:r>
          </w:p>
          <w:p>
            <w:pPr>
              <w:spacing w:line="360" w:lineRule="auto"/>
              <w:jc w:val="both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能力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意识</w:t>
            </w:r>
          </w:p>
        </w:tc>
        <w:tc>
          <w:tcPr>
            <w:tcW w:w="1214" w:type="dxa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Q7.1.2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EO7.1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QEO7.2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7.3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编制执行《人力资源控制程序》等，规定了人力资源配备、培训计划与实施，考核与认可等予以规定。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公司现有人员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人，配置了适宜的人员：如管理人员、销售人员等；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抽见岗位人员任职要求与评价表，对人员能力的要求进行了策划和评价；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行政部对各岗位人员进行能力考核，根据结果采取措施，通常是采取培训方式。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查见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“202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年度培训计划”，培训内容涉及：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标准、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管理手册、程序文件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管理体系内审员培训等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11项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抽见：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培训记录及培训效果评价表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标准知识、概念培训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2022.7.17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管理手册、程序文件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2022.8.4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管理体系内审员培训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2022.8.9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经口头问答的方式考核合格。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介绍说，公司销售人员没有特别的资质要求；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Cs w:val="21"/>
              </w:rPr>
              <w:t>查公司用于安全和环保方面的费用约为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Cs w:val="21"/>
                <w:lang w:val="en-US" w:eastAsia="zh-CN"/>
              </w:rPr>
              <w:t>3.1</w:t>
            </w:r>
            <w:r>
              <w:rPr>
                <w:rFonts w:hint="eastAsia" w:ascii="宋体" w:hAnsi="宋体" w:cs="Arial"/>
                <w:color w:val="auto"/>
                <w:spacing w:val="-6"/>
                <w:szCs w:val="21"/>
                <w:lang w:eastAsia="zh-CN"/>
              </w:rPr>
              <w:t>万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Cs w:val="21"/>
              </w:rPr>
              <w:t>元，能保证质量、环境、职业健康安全工作的开展，确保资金及时投入。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询问员工能明确自身职责及各岗位要求，自身工作影响，人身安全意识等；能回答公司的方针及部门目标，并且能够意识到自己岗位对整个流程的重要性和偏离的后果。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企业已对资源的管理、控制进行了策划，并已实施控制。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13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形成文件的信息</w:t>
            </w:r>
          </w:p>
        </w:tc>
        <w:tc>
          <w:tcPr>
            <w:tcW w:w="1214" w:type="dxa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QEO7.5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编制了《文件控制程序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组织策划的体系文件主要包括：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管理手册——A/0，实施日期：2022年07月02日；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程序文件——A/0，实施日期：2022年07月02日；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查看到目标、方针、管理制度、文件清单，包括相关运行记录等。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编制有目标、指标与管理方案一览表，方针目标发布经过总经理批准、评审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公司体系文件运行良好，能够满足经营需要。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公司文件经过验证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手册和程序文件基本符合标准要求。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文件发放情况：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提供了《文件发放、回收登记表》，所有文件均由行政部发放，录有管理手册、程序、作业文件及标准、法律法规等外来文件。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外来文件管理：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公司对外来文件及法律法规进行了收集、识别、控制。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保留有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《外来文件清单》，外来文件管理符合要求。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现场查看组织行政部文件管理情况，通过纸张、电子版形式文件化，文件名称、编号、内容等字迹清晰，标识易于识别、检索、可追溯，纸质文件存放在文件柜中，防水防潮，储存环境适宜。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现场察看记录存放处：各类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公司文件化信息控制基本有效。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13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pacing w:val="-6"/>
                <w:szCs w:val="21"/>
              </w:rPr>
              <w:t>监视、测量、分析和评价</w:t>
            </w:r>
          </w:p>
        </w:tc>
        <w:tc>
          <w:tcPr>
            <w:tcW w:w="1214" w:type="dxa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QEO9.1.1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Q9.1.3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公司规定了管理体系相关信息的收集、汇总、分析、处理、传递的要求。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公司组织各部门策划和实施必要的监视和测量活动，确保产品、体系和过程的符合性，以持续改进质量管理体系的有效性。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公司的过程和体系的监视和测量主要是通过内审、管理评审、目标考核以及日常工作监督、研发过程评审、顾客满意度测量等方式完成。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保留“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目标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分解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考核表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，检查考核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目标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已完成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highlight w:val="none"/>
              </w:rPr>
              <w:t>查到《环境、安全检查记录》，检查项目内容涉及：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highlight w:val="none"/>
              </w:rPr>
              <w:t>办公/生活区域卫生是否清理干净，办公区域是否安全用电；消防设施是否完好；消防通道是否畅通等。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highlight w:val="none"/>
              </w:rPr>
              <w:t>抽查202</w:t>
            </w:r>
            <w:r>
              <w:rPr>
                <w:rFonts w:hint="eastAsia" w:ascii="宋体" w:hAnsi="宋体" w:eastAsia="宋体" w:cs="Arial"/>
                <w:spacing w:val="-6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spacing w:val="-6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Arial"/>
                <w:spacing w:val="-6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Arial"/>
                <w:spacing w:val="-6"/>
                <w:szCs w:val="21"/>
                <w:highlight w:val="none"/>
                <w:lang w:val="en-US" w:eastAsia="zh-CN"/>
              </w:rPr>
              <w:t>-9</w:t>
            </w:r>
            <w:r>
              <w:rPr>
                <w:rFonts w:hint="eastAsia" w:ascii="宋体" w:hAnsi="宋体" w:eastAsia="宋体" w:cs="Arial"/>
                <w:spacing w:val="-6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Arial"/>
                <w:spacing w:val="-6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spacing w:val="-6"/>
                <w:szCs w:val="21"/>
                <w:highlight w:val="none"/>
              </w:rPr>
              <w:t>检查结果均正常。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对顾客满意进行了统计分析。</w:t>
            </w:r>
            <w:bookmarkStart w:id="3" w:name="_GoBack"/>
            <w:bookmarkEnd w:id="3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default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介绍说，本公司没有涉及职业病危害的工作岗位，保留员工的健康体检表。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未有上级主管部门的监督检查。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公司能遵守相关的法律法规，没有违反环境、职业健康安全法律法规现象，近期没有发生环境与职业健康安全的事故。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13" w:type="dxa"/>
            <w:vAlign w:val="top"/>
          </w:tcPr>
          <w:p>
            <w:pPr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合规义务</w:t>
            </w:r>
          </w:p>
          <w:p>
            <w:pPr>
              <w:jc w:val="both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合规性评价</w:t>
            </w:r>
          </w:p>
        </w:tc>
        <w:tc>
          <w:tcPr>
            <w:tcW w:w="1214" w:type="dxa"/>
            <w:vAlign w:val="top"/>
          </w:tcPr>
          <w:p>
            <w:pPr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EO:6.1.3</w:t>
            </w:r>
          </w:p>
          <w:p>
            <w:pPr>
              <w:jc w:val="both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9.1.2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ind w:firstLine="396" w:firstLineChars="200"/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查见“环境和职业健康安全法律法规控制程序”，有效文件；</w:t>
            </w:r>
          </w:p>
          <w:p>
            <w:pPr>
              <w:spacing w:line="360" w:lineRule="auto"/>
              <w:ind w:firstLine="396" w:firstLineChars="200"/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：适用法律法规清单及合规性评价记录，收集了环境保护和职业健康安全相关的法律法规以及条例、标准等142个，包含了：中华人民共和国环境保护法、中华人民共和国环境噪声污染防治法、中华人民共和国大气污染防治法、中华人民共和国水污染防治法、中华人民共和国职业病防治法、中华人民共和国消防法、中华人民共和国安全生产法等；</w:t>
            </w:r>
          </w:p>
          <w:p>
            <w:pPr>
              <w:spacing w:line="360" w:lineRule="auto"/>
              <w:ind w:firstLine="396" w:firstLineChars="200"/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“合规性评价报告”，2022年8月23日，公司进行了合规性评价，明确了评价范围和依据，评价结论：公司没有违反国家法律、法规及相关标准，能严格遵守国家有关环境和职业健康安全管理方面的相关规定，密切关注法律法规的变化，并适时调整，严格按体系标准执行。</w:t>
            </w:r>
          </w:p>
          <w:p>
            <w:pPr>
              <w:spacing w:line="360" w:lineRule="auto"/>
              <w:ind w:firstLine="396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保留了合规性评价记录。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13" w:type="dxa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应急准备和响应</w:t>
            </w:r>
          </w:p>
        </w:tc>
        <w:tc>
          <w:tcPr>
            <w:tcW w:w="1214" w:type="dxa"/>
            <w:vAlign w:val="top"/>
          </w:tcPr>
          <w:p>
            <w:pPr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EO：8.2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编制了《应急准备和响应控制程序》，提供了火灾应急预案、触电事故应急预案。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应急设施配置：在办公场所内配备了灭火器等消防设施，均在有效期内，状态良好。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2022年9月3日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进行了消防演练，保留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《消防安全应急预案》演练记录，参加人员办公人员；记录演练过程、急救措施等内容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，进行了预案适宜性充分性评审、演练效果评审；并对演练进行了总结，未提出需要改进的地方；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自体系运行以来尚未发生紧急情况。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13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内部审核</w:t>
            </w:r>
          </w:p>
        </w:tc>
        <w:tc>
          <w:tcPr>
            <w:tcW w:w="1214" w:type="dxa"/>
            <w:vAlign w:val="top"/>
          </w:tcPr>
          <w:p>
            <w:pPr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QEO：9.2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2022年11月2-3日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进行了内审，保留有内审计划、报告、不符合项报告、检查表、签到表等；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本次内审发现1个不符合项，分析了原因并采取了纠正措施，进行了整改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和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验证，纠正措施实施有效。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内部审核结论：公司三体系运行基本良好，运行达到一定的效果，基本符合GB/T19001-2016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GB/T24001-2016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GB/T45001-2020标准的要求，但仍存在不足，各部门应举一反三，对类似问题予以整改。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13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不合格和纠正措施</w:t>
            </w:r>
          </w:p>
        </w:tc>
        <w:tc>
          <w:tcPr>
            <w:tcW w:w="1214" w:type="dxa"/>
            <w:vAlign w:val="top"/>
          </w:tcPr>
          <w:p>
            <w:pPr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QEO：10.2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 xml:space="preserve">保持实施《不符合、纠正和预防措施控制程序》、《事故调查处理控制程序》，对纠正预防措施识别、评审、验证，事故事件报告、调查、处理等作了规定，其内容符合组织实际及标准要求。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企业不合格和纠正措施的管理符合标准规定要求。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28CA0FBD"/>
    <w:rsid w:val="5D7B7514"/>
    <w:rsid w:val="79E448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4589</Words>
  <Characters>4926</Characters>
  <Lines>1</Lines>
  <Paragraphs>1</Paragraphs>
  <TotalTime>9</TotalTime>
  <ScaleCrop>false</ScaleCrop>
  <LinksUpToDate>false</LinksUpToDate>
  <CharactersWithSpaces>4971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2022-12-22T01:16:25Z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7CF350DD97EB4F3E83895DA85C123A8B</vt:lpwstr>
  </property>
  <property fmtid="{D5CDD505-2E9C-101B-9397-08002B2CF9AE}" pid="3" name="KSOProductBuildVer">
    <vt:lpwstr>2052-11.1.0.12980</vt:lpwstr>
  </property>
</Properties>
</file>