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148"/>
        <w:gridCol w:w="1068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4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89" w:type="dxa"/>
            <w:vAlign w:val="center"/>
          </w:tcPr>
          <w:p>
            <w:pPr>
              <w:rPr>
                <w:sz w:val="24"/>
                <w:szCs w:val="24"/>
              </w:rPr>
            </w:pPr>
            <w:r>
              <w:rPr>
                <w:rFonts w:hint="eastAsia"/>
                <w:sz w:val="24"/>
                <w:szCs w:val="24"/>
              </w:rPr>
              <w:t>受审核部门：</w:t>
            </w:r>
            <w:bookmarkStart w:id="0" w:name="组织名称"/>
            <w:r>
              <w:rPr>
                <w:rFonts w:hint="eastAsia"/>
                <w:sz w:val="24"/>
                <w:szCs w:val="24"/>
              </w:rPr>
              <w:t>江西鼎帅智能科技有限公司</w:t>
            </w:r>
            <w:bookmarkEnd w:id="0"/>
            <w:r>
              <w:rPr>
                <w:rFonts w:hint="eastAsia"/>
                <w:sz w:val="24"/>
                <w:szCs w:val="24"/>
                <w:lang w:val="en-US" w:eastAsia="zh-CN"/>
              </w:rPr>
              <w:t xml:space="preserve">      </w:t>
            </w:r>
            <w:r>
              <w:rPr>
                <w:rFonts w:hint="eastAsia"/>
                <w:sz w:val="24"/>
                <w:szCs w:val="24"/>
              </w:rPr>
              <w:t>主管领导：</w:t>
            </w:r>
            <w:bookmarkStart w:id="1" w:name="管理者代表"/>
            <w:r>
              <w:rPr>
                <w:rFonts w:hint="eastAsia"/>
                <w:sz w:val="24"/>
                <w:szCs w:val="24"/>
              </w:rPr>
              <w:t>熊少朋</w:t>
            </w:r>
            <w:bookmarkEnd w:id="1"/>
            <w:r>
              <w:rPr>
                <w:rFonts w:hint="eastAsia"/>
                <w:sz w:val="24"/>
                <w:szCs w:val="24"/>
                <w:lang w:val="en-US" w:eastAsia="zh-CN"/>
              </w:rPr>
              <w:t xml:space="preserve">   胡荣英      </w:t>
            </w:r>
            <w:r>
              <w:rPr>
                <w:rFonts w:hint="eastAsia"/>
                <w:sz w:val="24"/>
                <w:szCs w:val="24"/>
              </w:rPr>
              <w:t>陪同人员：</w:t>
            </w:r>
          </w:p>
        </w:tc>
        <w:tc>
          <w:tcPr>
            <w:tcW w:w="9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Merge w:val="continue"/>
            <w:vAlign w:val="center"/>
          </w:tcPr>
          <w:p/>
        </w:tc>
        <w:tc>
          <w:tcPr>
            <w:tcW w:w="1148" w:type="dxa"/>
            <w:vMerge w:val="continue"/>
            <w:vAlign w:val="center"/>
          </w:tcPr>
          <w:p/>
        </w:tc>
        <w:tc>
          <w:tcPr>
            <w:tcW w:w="10689" w:type="dxa"/>
            <w:vAlign w:val="center"/>
          </w:tcPr>
          <w:p>
            <w:pPr>
              <w:spacing w:before="120"/>
            </w:pPr>
            <w:r>
              <w:rPr>
                <w:rFonts w:hint="eastAsia"/>
                <w:sz w:val="24"/>
                <w:szCs w:val="24"/>
              </w:rPr>
              <w:t>审核员：</w:t>
            </w:r>
            <w:bookmarkStart w:id="2" w:name="审核组成员不含组长"/>
            <w:bookmarkEnd w:id="2"/>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3" w:name="审核日期"/>
            <w:r>
              <w:rPr>
                <w:rFonts w:hint="eastAsia"/>
                <w:sz w:val="24"/>
                <w:szCs w:val="24"/>
              </w:rPr>
              <w:t>2022年12月20日</w:t>
            </w:r>
            <w:bookmarkEnd w:id="3"/>
          </w:p>
        </w:tc>
        <w:tc>
          <w:tcPr>
            <w:tcW w:w="9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Merge w:val="continue"/>
            <w:vAlign w:val="center"/>
          </w:tcPr>
          <w:p/>
        </w:tc>
        <w:tc>
          <w:tcPr>
            <w:tcW w:w="1148" w:type="dxa"/>
            <w:vMerge w:val="continue"/>
            <w:vAlign w:val="center"/>
          </w:tcPr>
          <w:p/>
        </w:tc>
        <w:tc>
          <w:tcPr>
            <w:tcW w:w="10689"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ascii="宋体" w:hAnsi="宋体" w:cs="Arial"/>
                <w:sz w:val="21"/>
                <w:szCs w:val="21"/>
              </w:rPr>
            </w:pPr>
            <w:r>
              <w:rPr>
                <w:rFonts w:hint="eastAsia" w:ascii="宋体" w:hAnsi="宋体" w:cs="Arial"/>
                <w:sz w:val="21"/>
                <w:szCs w:val="21"/>
              </w:rPr>
              <w:t>QEO</w:t>
            </w:r>
            <w:r>
              <w:rPr>
                <w:rFonts w:hint="eastAsia" w:ascii="宋体" w:hAnsi="宋体" w:cs="Arial"/>
                <w:sz w:val="21"/>
                <w:szCs w:val="21"/>
                <w:lang w:eastAsia="zh-CN"/>
              </w:rPr>
              <w:t>：</w:t>
            </w:r>
            <w:r>
              <w:rPr>
                <w:rFonts w:hint="eastAsia" w:ascii="宋体" w:hAnsi="宋体" w:cs="Arial"/>
                <w:sz w:val="21"/>
                <w:szCs w:val="21"/>
              </w:rPr>
              <w:t>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7.1资源、7.4沟通/信息交流、9.3管理评审、10.1改进、10.3持续改进</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hint="eastAsia" w:ascii="宋体" w:hAnsi="宋体" w:cs="Arial"/>
                <w:sz w:val="21"/>
                <w:szCs w:val="21"/>
                <w:lang w:val="en-US" w:eastAsia="zh-CN"/>
              </w:rPr>
            </w:pPr>
            <w:r>
              <w:rPr>
                <w:rFonts w:hint="eastAsia" w:ascii="宋体" w:hAnsi="宋体" w:cs="Arial"/>
                <w:sz w:val="21"/>
                <w:szCs w:val="21"/>
              </w:rPr>
              <w:t>Q6.3变更的策划、</w:t>
            </w:r>
            <w:r>
              <w:rPr>
                <w:rFonts w:hint="eastAsia" w:ascii="宋体" w:hAnsi="宋体" w:cs="Arial"/>
                <w:sz w:val="21"/>
                <w:szCs w:val="21"/>
                <w:lang w:val="en-US" w:eastAsia="zh-CN"/>
              </w:rPr>
              <w:t>8.3删减确认；</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hint="eastAsia" w:ascii="宋体" w:hAnsi="宋体" w:eastAsia="宋体" w:cs="Arial"/>
                <w:sz w:val="21"/>
                <w:szCs w:val="21"/>
                <w:lang w:eastAsia="zh-CN"/>
              </w:rPr>
            </w:pPr>
            <w:r>
              <w:rPr>
                <w:rFonts w:hint="eastAsia" w:ascii="宋体" w:hAnsi="宋体" w:cs="Arial"/>
                <w:sz w:val="21"/>
                <w:szCs w:val="21"/>
              </w:rPr>
              <w:t>O5.4协商与参与</w:t>
            </w:r>
            <w:r>
              <w:rPr>
                <w:rFonts w:hint="eastAsia" w:ascii="宋体" w:hAnsi="宋体" w:cs="Arial"/>
                <w:sz w:val="21"/>
                <w:szCs w:val="21"/>
                <w:lang w:eastAsia="zh-CN"/>
              </w:rPr>
              <w:t>；</w:t>
            </w:r>
          </w:p>
          <w:p>
            <w:pPr>
              <w:rPr>
                <w:rFonts w:hint="eastAsia"/>
                <w:sz w:val="24"/>
                <w:szCs w:val="24"/>
              </w:rPr>
            </w:pPr>
            <w:r>
              <w:rPr>
                <w:rFonts w:hint="eastAsia" w:ascii="宋体" w:hAnsi="宋体" w:cs="Arial"/>
                <w:sz w:val="21"/>
                <w:szCs w:val="21"/>
                <w:lang w:val="en-US" w:eastAsia="zh-CN"/>
              </w:rPr>
              <w:t>国家/地方监督抽查情况；顾客满意、相关方投诉及处理情况，一阶段审核问题验证，验证企业相关资质的有效性</w:t>
            </w:r>
          </w:p>
        </w:tc>
        <w:tc>
          <w:tcPr>
            <w:tcW w:w="9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rPr>
              <w:t>4.1</w:t>
            </w:r>
          </w:p>
        </w:tc>
        <w:tc>
          <w:tcPr>
            <w:tcW w:w="10689" w:type="dxa"/>
            <w:vAlign w:val="top"/>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江西鼎帅智能科技有限公司成立于2022年01月11日，注册资金666万元；经营面积约550平方米。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注册地址：江西省宜春市樟树市观上镇上胡村123号（自主承诺）；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经营地址：江西省宜春市樟树市四特大道305号；</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营业执照：91360982MA7GTPAH3J</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许可项目：建筑智能化系统设计，建设工程设计，建设工程施工（依法须经批准的项目，经相关部门批准后方可开展经营活动）一般项目：物联网设备制造，物联网技术研发，人工智能行业应用系统集成服务，计算机系统服务，智慧馆（库）一体化综合管理系统工程设计、施工、服务，安全防范工程设计、施工、服务，智能密集架、智能书架、智能环控控制系统安装、施工、销售及售后服务，金属制品销售，日用木制品销售，安防设备销售，消防器材销售，电子产品销售，安全技术防范系统设计施工服务，家具安装和维修服务，信息系统集成服务，智能控制系统集成，智能机器人的研发，货物进出口，进出口代理（除许可业务外，可自主依法经营法律法规非禁止或限制的项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经营范围覆盖了体系认证范围.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公司人员共11人，建立有员工花名册；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主要设备有：电脑、打印机等。</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监测装置有：调查表等；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公司组织机构设置为：管理层、行政部、销售部、采购部；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外部因素有-经济景气系数影响，信息化和智能化成为趋势；软件开发人才受市场影响大幅增加；新技术的运用更加成熟；</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内部因素有-公司持续建立和运行管理体系，有良好的管理基础；人员较为稳定，技术力量有保障；软件研发投资</w:t>
            </w:r>
            <w:r>
              <w:rPr>
                <w:rFonts w:hint="eastAsia" w:cs="Times New Roman"/>
                <w:szCs w:val="22"/>
                <w:highlight w:val="none"/>
                <w:lang w:val="en-US" w:eastAsia="zh-CN"/>
              </w:rPr>
              <w:t>大、</w:t>
            </w:r>
            <w:r>
              <w:rPr>
                <w:rFonts w:hint="eastAsia" w:ascii="Times New Roman" w:hAnsi="Times New Roman" w:eastAsia="宋体" w:cs="Times New Roman"/>
                <w:szCs w:val="22"/>
                <w:highlight w:val="none"/>
                <w:lang w:val="en-US" w:eastAsia="zh-CN"/>
              </w:rPr>
              <w:t>研发成本高；</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这些因素包括了需要考虑的正面和负面因素或条件。</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公司每年根据由公司销售人员从市场、客户、网络等搜集到的信息并结合公司自身业务运作情况进行分析，通过分析对这些内部和外部因素的相关信息进行监视和评审以确保其充分和适宜。</w:t>
            </w:r>
          </w:p>
        </w:tc>
        <w:tc>
          <w:tcPr>
            <w:tcW w:w="90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689"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验证方法：顾客满意程度调查、供方调查评定、客户投诉等。</w:t>
            </w:r>
          </w:p>
        </w:tc>
        <w:tc>
          <w:tcPr>
            <w:tcW w:w="90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148"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689"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基于对4.1和4.2的考虑，分析了公司存在的风险和机遇：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机遇：随着时代的发展和国家政策的出台，信息化和智能化代表着发展方向，公司的业务市场发展将随着时代的发展变得越来越大。</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风险：时代的快速发展，导致市场竞争越来越激烈。</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公司高层对公司内外部风险和机遇进行了分析；策划了风险和机遇应对措施。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编制有《风险和机遇的应对控制程序》，对组织内外的风险和机遇进行了策划。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公司策划了业务流程：</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产品要求信息获取----产品要求评审-----签订合同----采购 ----检验----销售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关键过程：销售；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需要确认的过程：销售；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cs="Times New Roman"/>
                <w:szCs w:val="22"/>
                <w:highlight w:val="none"/>
                <w:lang w:val="en-US" w:eastAsia="zh-CN"/>
              </w:rPr>
              <w:t>经确认，公司无外包过程。</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基于业务流程，公司分析了重要环境因素和不可接受风险，并策划了控制措施：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重要环境因素：潜在火灾，固废；</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制定目标、指标，编制运行控制文件，运行控制；一旦发生按相关应急预案执行。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固（危）废——</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一般固废集中收集外售；（办公）危废以旧换新由供应商带回；</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潜在火灾——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定期检查用电安全，电工持证上岗；配置消防器材、做好火灾预防措施；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不可接受风险有：触电、潜在火灾等；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制定目标、指标，编制运行控制文件，运行控制；设置警示标志标识；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火灾，触电——</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设备、电路定期检修、检查，人员持证上岗；配置消防器材、做好火灾预防措施。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为应对上述风险和机遇，公司依据GB/T19001-2016、GB/T24001-2016、GB/T45001-2020标准的要求并结合本公司的具体情况，采取PDCA的过程方法，建立、实施、保持并持续改进质量、环境、职业健康安全管理体系。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管理手册——A/0，实施日期：2022年07月02日；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程序文件——A/0，实施日期：2022年07月02日；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包括：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25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管理文件——编制有：</w:t>
            </w:r>
            <w:r>
              <w:rPr>
                <w:rFonts w:hint="eastAsia" w:ascii="Times New Roman" w:hAnsi="Times New Roman" w:eastAsia="宋体" w:cs="Times New Roman"/>
                <w:szCs w:val="22"/>
                <w:highlight w:val="yellow"/>
                <w:lang w:val="en-US" w:eastAsia="zh-CN"/>
              </w:rPr>
              <w:t>销售服务规范、销售人员礼仪规范制度等作业文件；</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有外来文件清单，收集相关标准和法律法规：中华人民共和国民法典、中华人民共和国循环经济促进法、中华人民共和国消防法、中华人民共和国消费者权益保护法、中华人民共和国招标投标法、金属家具通用技术条件GB/T 3325-2017、档案密集架智能管理系统技术要求DA/T 65-2017等；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建立环境、职业健康安全法律法规和其他要求清单，共142个。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管理手册中确定的认证范围：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Q：智能控制系统（RFID智能档案管理系统、RFID智能图书管理系统、智能门禁系统和智能环境控制系统）；金属制品（书架（智能）、货架（智能）、智能寄存柜、智能密集架、手动（无轨）密集架）；日用木制品；安防设备的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E：智能控制系统（RFID智能档案管理系统、RFID智能图书管理系统、智能门禁系统和智能环境控制系统）；金属制品（书架（智能）、货架（智能）、智能寄存柜、智能密集架、手动（无轨）密集架）；日用木制品；安防设备的销售所涉及场所的相关环境管理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O：智能控制系统（RFID智能档案管理系统、RFID智能图书管理系统、智能门禁系统和智能环境控制系统）；金属制品（书架（智能）、货架（智能）、智能寄存柜、智能密集架、手动（无轨）密集架）；日用木制品；安防设备的销售所涉及场所的相关职业健康安全管理活动。</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cs="Times New Roman"/>
                <w:szCs w:val="22"/>
                <w:highlight w:val="none"/>
                <w:lang w:val="en-US" w:eastAsia="zh-CN"/>
              </w:rPr>
              <w:t>经确认，删减质量管理体系8.3条款，本公司智能控制系统（RFID智能档案管理系统、RFID智能图书管理系统、智能门禁系统和智能环境控制系统）；金属制品（书架（智能）、货架（智能）、智能寄存柜、智能密集架、手动（无轨）密集架）；日用木制品；安防设备的销售及其所涉及的相关管理活动均按照国家相关法律法规及客户提出的要求进行，其服务过程中不涉及的标准条款内容是：GB/T19001-2016/ISO 9001：2015标准中的8.3条款。其不适用性对顾客满意也不会产生影响。</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公司管理体系新建立，无变更。</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基本合理。</w:t>
            </w:r>
          </w:p>
        </w:tc>
        <w:tc>
          <w:tcPr>
            <w:tcW w:w="90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《管理手册》中明确了公司的质量、环境、职业健康安全方针是：</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质量环境职业健康安全方针：</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 xml:space="preserve">质量至上、持续创新、诚实守信、顾客至上 </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预防为主，降低风险；遵章守法，减污降耗</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方针适宜于公司现状，在管理手册中明确，通过文件发放，是员工获知，适用时提供给相关方。并以方针为框架，建立了公司管理目标：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产品交货及时率≥97%</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顾客满意度95分以上</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火灾事故为0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固体废弃物分类处置100%。</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保留有</w:t>
            </w:r>
            <w:r>
              <w:rPr>
                <w:rFonts w:hint="default" w:ascii="Times New Roman" w:hAnsi="Times New Roman" w:eastAsia="宋体" w:cs="Times New Roman"/>
                <w:szCs w:val="22"/>
                <w:highlight w:val="none"/>
                <w:lang w:val="en-US" w:eastAsia="zh-CN"/>
              </w:rPr>
              <w:t>公司的环境和安全管理方案和控制措施。</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基本符合。</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保留</w:t>
            </w:r>
            <w:r>
              <w:rPr>
                <w:rFonts w:hint="eastAsia" w:cs="Times New Roman"/>
                <w:szCs w:val="22"/>
                <w:highlight w:val="none"/>
                <w:lang w:val="en-US" w:eastAsia="zh-CN"/>
              </w:rPr>
              <w:t>“</w:t>
            </w:r>
            <w:r>
              <w:rPr>
                <w:rFonts w:hint="default" w:ascii="Times New Roman" w:hAnsi="Times New Roman" w:eastAsia="宋体" w:cs="Times New Roman"/>
                <w:szCs w:val="22"/>
                <w:highlight w:val="none"/>
                <w:lang w:val="en-US" w:eastAsia="zh-CN"/>
              </w:rPr>
              <w:t>目标分解考核表</w:t>
            </w:r>
            <w:r>
              <w:rPr>
                <w:rFonts w:hint="eastAsia" w:cs="Times New Roman"/>
                <w:szCs w:val="22"/>
                <w:highlight w:val="none"/>
                <w:lang w:val="en-US" w:eastAsia="zh-CN"/>
              </w:rPr>
              <w:t>”</w:t>
            </w:r>
            <w:r>
              <w:rPr>
                <w:rFonts w:hint="default" w:ascii="Times New Roman" w:hAnsi="Times New Roman" w:eastAsia="宋体" w:cs="Times New Roman"/>
                <w:szCs w:val="22"/>
                <w:highlight w:val="none"/>
                <w:lang w:val="en-US" w:eastAsia="zh-CN"/>
              </w:rPr>
              <w:t>，对管理目标</w:t>
            </w:r>
            <w:r>
              <w:rPr>
                <w:rFonts w:hint="eastAsia" w:ascii="Times New Roman" w:hAnsi="Times New Roman" w:eastAsia="宋体" w:cs="Times New Roman"/>
                <w:szCs w:val="22"/>
                <w:highlight w:val="none"/>
                <w:lang w:val="en-US" w:eastAsia="zh-CN"/>
              </w:rPr>
              <w:t>按照部门</w:t>
            </w:r>
            <w:r>
              <w:rPr>
                <w:rFonts w:hint="default" w:ascii="Times New Roman" w:hAnsi="Times New Roman" w:eastAsia="宋体" w:cs="Times New Roman"/>
                <w:szCs w:val="22"/>
                <w:highlight w:val="none"/>
                <w:lang w:val="en-US" w:eastAsia="zh-CN"/>
              </w:rPr>
              <w:t>进行了分解</w:t>
            </w:r>
            <w:r>
              <w:rPr>
                <w:rFonts w:hint="eastAsia" w:ascii="Times New Roman" w:hAnsi="Times New Roman" w:eastAsia="宋体"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保留“</w:t>
            </w:r>
            <w:r>
              <w:rPr>
                <w:rFonts w:hint="default" w:ascii="Times New Roman" w:hAnsi="Times New Roman" w:eastAsia="宋体" w:cs="Times New Roman"/>
                <w:szCs w:val="22"/>
                <w:highlight w:val="none"/>
                <w:lang w:val="en-US" w:eastAsia="zh-CN"/>
              </w:rPr>
              <w:t>目标分解考核表</w:t>
            </w:r>
            <w:r>
              <w:rPr>
                <w:rFonts w:hint="eastAsia" w:ascii="Times New Roman" w:hAnsi="Times New Roman" w:eastAsia="宋体" w:cs="Times New Roman"/>
                <w:szCs w:val="22"/>
                <w:highlight w:val="none"/>
                <w:lang w:val="en-US" w:eastAsia="zh-CN"/>
              </w:rPr>
              <w:t>”，每月考核，</w:t>
            </w:r>
            <w:r>
              <w:rPr>
                <w:rFonts w:hint="default" w:ascii="Times New Roman" w:hAnsi="Times New Roman" w:eastAsia="宋体" w:cs="Times New Roman"/>
                <w:szCs w:val="22"/>
                <w:highlight w:val="none"/>
                <w:lang w:val="en-US" w:eastAsia="zh-CN"/>
              </w:rPr>
              <w:t>2022年</w:t>
            </w:r>
            <w:r>
              <w:rPr>
                <w:rFonts w:hint="eastAsia" w:ascii="Times New Roman" w:hAnsi="Times New Roman" w:eastAsia="宋体" w:cs="Times New Roman"/>
                <w:szCs w:val="22"/>
                <w:highlight w:val="none"/>
                <w:lang w:val="en-US" w:eastAsia="zh-CN"/>
              </w:rPr>
              <w:t>7-9月</w:t>
            </w:r>
            <w:r>
              <w:rPr>
                <w:rFonts w:hint="default" w:ascii="Times New Roman" w:hAnsi="Times New Roman" w:eastAsia="宋体" w:cs="Times New Roman"/>
                <w:szCs w:val="22"/>
                <w:highlight w:val="none"/>
                <w:lang w:val="en-US" w:eastAsia="zh-CN"/>
              </w:rPr>
              <w:t>目标均已完成。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148"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最高管理者在管理手册中明确了各部门和各岗位的职责和权限，以确保管理体系符合各项标准的要求，并确保各个过程获得其预期输出。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公司组织机构设置有：管理层、行政部、销售部、采购部。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经查每个部门均有部门职责和权限，各岗位的职责和权限、任职要求在文件中得到规定。</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经查问组织内的职责和权限基本得到沟通，通过文件发布、传达、会议、培训等了解有关职责和权限。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江西鼎帅智能科技有限公司成立于2022年01月11日，注册资金666万元；经营面积约550平方米。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公司人员共11人，建立有员工花名册；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主要设备有：电脑、打印机等。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监测装置有：调查表等；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公司组织机构设置为：管理层、行政部、销售部、采购部；</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确认公司目前人力资源、基础设施、销售人员、财力、信息等资源均能保证。公司</w:t>
            </w:r>
            <w:r>
              <w:rPr>
                <w:rFonts w:hint="eastAsia" w:ascii="Times New Roman" w:hAnsi="Times New Roman" w:eastAsia="宋体" w:cs="Times New Roman"/>
                <w:szCs w:val="22"/>
                <w:highlight w:val="none"/>
                <w:lang w:val="en-US" w:eastAsia="zh-CN"/>
              </w:rPr>
              <w:t>办公区域</w:t>
            </w:r>
            <w:r>
              <w:rPr>
                <w:rFonts w:hint="default" w:ascii="Times New Roman" w:hAnsi="Times New Roman" w:eastAsia="宋体" w:cs="Times New Roman"/>
                <w:szCs w:val="22"/>
                <w:highlight w:val="none"/>
                <w:lang w:val="en-US" w:eastAsia="zh-CN"/>
              </w:rPr>
              <w:t>、会议室</w:t>
            </w:r>
            <w:r>
              <w:rPr>
                <w:rFonts w:hint="eastAsia" w:ascii="Times New Roman" w:hAnsi="Times New Roman" w:eastAsia="宋体" w:cs="Times New Roman"/>
                <w:szCs w:val="22"/>
                <w:highlight w:val="none"/>
                <w:lang w:val="en-US" w:eastAsia="zh-CN"/>
              </w:rPr>
              <w:t>等</w:t>
            </w:r>
            <w:r>
              <w:rPr>
                <w:rFonts w:hint="default" w:ascii="Times New Roman" w:hAnsi="Times New Roman" w:eastAsia="宋体" w:cs="Times New Roman"/>
                <w:szCs w:val="22"/>
                <w:highlight w:val="none"/>
                <w:lang w:val="en-US" w:eastAsia="zh-CN"/>
              </w:rPr>
              <w:t>现场配备了灭火器等消防安全设备，能保证企业正常办公。</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公司财务能保证质量、环境、职业健康安全工作的开展，确保相关资金及时投入</w:t>
            </w:r>
            <w:r>
              <w:rPr>
                <w:rFonts w:hint="eastAsia" w:ascii="Times New Roman" w:hAnsi="Times New Roman" w:eastAsia="宋体" w:cs="Times New Roman"/>
                <w:szCs w:val="22"/>
                <w:highlight w:val="none"/>
                <w:lang w:val="en-US" w:eastAsia="zh-CN"/>
              </w:rPr>
              <w:t>，2022年已投入3.1万元</w:t>
            </w:r>
            <w:r>
              <w:rPr>
                <w:rFonts w:hint="default" w:ascii="Times New Roman" w:hAnsi="Times New Roman" w:eastAsia="宋体" w:cs="Times New Roman"/>
                <w:szCs w:val="22"/>
                <w:highlight w:val="none"/>
                <w:lang w:val="en-US" w:eastAsia="zh-CN"/>
              </w:rPr>
              <w:t>。</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default" w:ascii="Times New Roman" w:hAnsi="Times New Roman" w:eastAsia="宋体" w:cs="Times New Roman"/>
                <w:szCs w:val="22"/>
                <w:highlight w:val="none"/>
                <w:lang w:val="en-US" w:eastAsia="zh-CN"/>
              </w:rPr>
              <w:t>基本能满足体系运行的要求。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总经理为协商、参与提供了时间、机会、培训、资源等保障，明确了沟通、协商、参与渠道，消除了障碍和壁垒。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日常对于质量、环保、安全方面的信息主要利用会议、培训、座谈、电话、网络、收文等方式进行内外部沟通和协商。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经交流：目前与环保、劳动、消防、安监部门的外部信息交流主要是参加会议、接收来文、电话、邮件等，均按要求予以传达和落实，沟通情况较好。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yellow"/>
                <w:lang w:val="en-US" w:eastAsia="zh-CN"/>
              </w:rPr>
            </w:pPr>
            <w:r>
              <w:rPr>
                <w:rFonts w:hint="eastAsia" w:ascii="Times New Roman" w:hAnsi="Times New Roman" w:eastAsia="宋体" w:cs="Times New Roman"/>
                <w:szCs w:val="22"/>
                <w:highlight w:val="yellow"/>
                <w:lang w:val="en-US" w:eastAsia="zh-CN"/>
              </w:rPr>
              <w:t>公司经选举确定职业健康安全事务代表是胡荣英；文件中明确了其主要职责为：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1.参与管理方针和程序的制定和评审；</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2.参与商讨影响工作场所职业健康安全的任何变化；</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3.参与职业健康安全的事务的处理。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介绍说，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安全事务代表能履行职责。</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现有的沟通渠道和方法能满足要求。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2022年11月9日张海发总经理主持了管理评审。保留有管理评审计划、管理评审会议通知、评审记录、评审报告和改进措施计划等；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管理评审输入较充分；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管理评审结论：管理体系的建立和运行是充分的、适宜的、有效的。</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改进措施建议：加强供应商质量控制；</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保留有“管理评审改进措施计划”。</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管理者代表根据总经理意图组织持续改进过程的策划工作，由行政部实施持续改进过程的管理。</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一阶段审核</w:t>
            </w:r>
            <w:r>
              <w:rPr>
                <w:rFonts w:hint="eastAsia" w:ascii="宋体" w:hAnsi="宋体" w:eastAsia="宋体" w:cs="Arial"/>
                <w:spacing w:val="-6"/>
                <w:sz w:val="21"/>
                <w:szCs w:val="21"/>
              </w:rPr>
              <w:t>问题验证</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一阶段审核时未发现问题。</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验证企业相关资质证明的有效性</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国家企业信用信息公示系统查询结果：营业执照续存，无风险警示。营业执照，有效。</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2"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1148"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顾客满意：2022.9.30通过顾客满意度调查进行监测分析，顾客满意度为98.2。</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自公司成立以来，未受到上级主管部门有关质量、环保、职业健康安全的行政处罚。未发生相关方投诉。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暂时没有国家/地方抽查情况。</w:t>
            </w:r>
            <w:bookmarkStart w:id="4" w:name="_GoBack"/>
            <w:bookmarkEnd w:id="4"/>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目前没有相关行政主管部门的检查处罚，在审核现场也未发现抽查、相关方投诉等情况。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FCF07D0"/>
    <w:rsid w:val="63A00C97"/>
    <w:rsid w:val="67E929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4831</Words>
  <Characters>5134</Characters>
  <Lines>1</Lines>
  <Paragraphs>1</Paragraphs>
  <TotalTime>1</TotalTime>
  <ScaleCrop>false</ScaleCrop>
  <LinksUpToDate>false</LinksUpToDate>
  <CharactersWithSpaces>5147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2022-12-20T07:45:23Z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67F577F21624417AA953CEC129E21195</vt:lpwstr>
  </property>
  <property fmtid="{D5CDD505-2E9C-101B-9397-08002B2CF9AE}" pid="3" name="KSOProductBuildVer">
    <vt:lpwstr>2052-11.1.0.12980</vt:lpwstr>
  </property>
</Properties>
</file>