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江西鼎帅智能科技有限公司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江西省宜春市樟树市观上镇上胡村123号（自主承诺）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江西省宜春市樟树市四特大道305号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胡荣英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13879511222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554074067@QQ.Com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1330-2022-QEO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智能控制系统（RFID智能档案管理系统、RFID智能图书管理系统、智能门禁系统和智能环境控制系统）；金属制品（书架（智能）、货架（智能）、智能寄存柜、智能密集架、手动（无轨）密集架）；日用木制品；安防设备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智能控制系统（RFID智能档案管理系统、RFID智能图书管理系统、智能门禁系统和智能环境控制系统）；金属制品（书架（智能）、货架（智能）、智能寄存柜、智能密集架、手动（无轨）密集架）；日用木制品；安防设备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智能控制系统（RFID智能档案管理系统、RFID智能图书管理系统、智能门禁系统和智能环境控制系统）；金属制品（书架（智能）、货架（智能）、智能寄存柜、智能密集架、手动（无轨）密集架）；日用木制品；安防设备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2022年12月20日 下午至2022年12月22日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褚敏杰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2022-N1OHSMS-3068076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褚敏杰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2022.12.19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2022.12.19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2022.12.20</w:t>
            </w:r>
          </w:p>
        </w:tc>
      </w:tr>
    </w:tbl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-726440</wp:posOffset>
            </wp:positionV>
            <wp:extent cx="6959600" cy="10616565"/>
            <wp:effectExtent l="0" t="0" r="12700" b="13335"/>
            <wp:wrapNone/>
            <wp:docPr id="1" name="图片 1" descr="fbe6fbcdee915473770489e0fdcd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e6fbcdee915473770489e0fdcd3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1061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bookmarkStart w:id="36" w:name="_GoBack"/>
      <w:bookmarkEnd w:id="36"/>
    </w:p>
    <w:p>
      <w:pPr>
        <w:snapToGrid w:val="0"/>
        <w:spacing w:beforeLines="50" w:line="400" w:lineRule="exact"/>
        <w:ind w:firstLine="3774" w:firstLineChars="1253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05"/>
        <w:gridCol w:w="1009"/>
        <w:gridCol w:w="6376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12.20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13:30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14:00</w:t>
            </w:r>
          </w:p>
        </w:tc>
        <w:tc>
          <w:tcPr>
            <w:tcW w:w="7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2" w:firstLineChars="200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14:00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管理层、</w:t>
            </w:r>
          </w:p>
          <w:p>
            <w:pPr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安全事务代表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6.1应对风险和机遇的措施、6.2质量/环境/职业健康安全目标及其实现的策划、7.1资源、7.4沟通/信息交流、9.3管理评审、10.1改进、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Q6.3变更的策划、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8.3删减确认；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O5.4协商与参与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国家/地方监督抽查情况；顾客满意、相关方投诉及处理情况，一阶段审核问题验证，验证企业相关资质证明的有效性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14:30-17:30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Q:5.3组织的岗位、职责和权限、6.2质量目标、8.4外部提供过程、产品和服务的控制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z w:val="21"/>
                <w:szCs w:val="21"/>
              </w:rPr>
              <w:t>O:5.3组织的岗位、职责和权限、6.2职业健康安全目标、6.1.2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危险源辨识与评价、6.1.4措施的策划、8.1运行策划和控制、8.2应急准备和响应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12：21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08：30-17:00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12:00-12:30</w:t>
            </w:r>
          </w:p>
          <w:p>
            <w:pPr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7.1.5监视测量装置、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8.1运行策划和控制、8.2产品和服务的要求、8.5生产和服务提供的控制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9.1.2顾客满意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E/O:5.3组织的岗位、职责和权限、6.2环境/职业健康安全目标、6.1.2环境因素/危险源辨识与评价、6.1.4措施的策划、8.1运行策划和控制、8.2应急准备和响应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12.22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08：30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12:00-12:30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行政部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QMS: 5.3组织的岗位、职责和权限、6.2质量目标、7.1.2人员、7.1.3基础设施、7.1.4过程运行环境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E/O:5.3组织的岗位、职责和权限、6.2环境/职业健康安全目标、6.1.2环境因素/危险源的辨识与评价、6.1.4措施的策划、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6.1.3合规义务、9.1.2合规性评价、</w:t>
            </w:r>
            <w:r>
              <w:rPr>
                <w:rFonts w:hint="eastAsia" w:ascii="宋体" w:hAnsi="宋体" w:cs="Arial"/>
                <w:sz w:val="21"/>
                <w:szCs w:val="21"/>
              </w:rPr>
              <w:t>7.2能力、7.3意识、7.5形成文件的信息、8.1运行策划和控制、8.2应急准备和响应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9.1.1监视、测量、分析和评价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9.2内部审核、10.2不符合/事件和纠正措施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17: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7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审核组与受审核方领导层沟通；末次会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14E858E5"/>
    <w:rsid w:val="612E2123"/>
    <w:rsid w:val="61AE4968"/>
    <w:rsid w:val="643667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2253</Words>
  <Characters>3110</Characters>
  <Lines>37</Lines>
  <Paragraphs>10</Paragraphs>
  <TotalTime>3</TotalTime>
  <ScaleCrop>false</ScaleCrop>
  <LinksUpToDate>false</LinksUpToDate>
  <CharactersWithSpaces>3169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2022-12-22T07:07:04Z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