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32" w:rsidRDefault="0083562F">
      <w:pPr>
        <w:spacing w:line="48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97A32">
        <w:trPr>
          <w:trHeight w:val="515"/>
        </w:trPr>
        <w:tc>
          <w:tcPr>
            <w:tcW w:w="1892" w:type="dxa"/>
            <w:vMerge w:val="restart"/>
            <w:vAlign w:val="center"/>
          </w:tcPr>
          <w:p w:rsidR="00E97A32" w:rsidRDefault="0083562F">
            <w:pPr>
              <w:spacing w:before="120"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过程与活动、</w:t>
            </w:r>
          </w:p>
          <w:p w:rsidR="00E97A32" w:rsidRDefault="0083562F">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抽样计划</w:t>
            </w:r>
          </w:p>
        </w:tc>
        <w:tc>
          <w:tcPr>
            <w:tcW w:w="1228" w:type="dxa"/>
            <w:vMerge w:val="restart"/>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涉及</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条款</w:t>
            </w:r>
          </w:p>
        </w:tc>
        <w:tc>
          <w:tcPr>
            <w:tcW w:w="10943" w:type="dxa"/>
            <w:vAlign w:val="center"/>
          </w:tcPr>
          <w:p w:rsidR="00E97A32" w:rsidRDefault="0083562F">
            <w:pPr>
              <w:spacing w:line="360" w:lineRule="auto"/>
              <w:rPr>
                <w:rFonts w:ascii="仿宋" w:eastAsia="仿宋" w:hAnsi="仿宋" w:cs="仿宋"/>
                <w:szCs w:val="21"/>
              </w:rPr>
            </w:pPr>
            <w:r>
              <w:rPr>
                <w:rFonts w:ascii="仿宋" w:eastAsia="仿宋" w:hAnsi="仿宋" w:cs="仿宋" w:hint="eastAsia"/>
                <w:color w:val="000000" w:themeColor="text1"/>
                <w:szCs w:val="21"/>
              </w:rPr>
              <w:t>受审核部门：管理层</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总经理：刘晓州</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管理者代表：李婷婷</w:t>
            </w:r>
            <w:r>
              <w:rPr>
                <w:rFonts w:ascii="仿宋" w:eastAsia="仿宋" w:hAnsi="仿宋" w:cs="仿宋" w:hint="eastAsia"/>
                <w:bCs/>
                <w:color w:val="000000" w:themeColor="text1"/>
                <w:szCs w:val="21"/>
              </w:rPr>
              <w:t xml:space="preserve">      </w:t>
            </w:r>
            <w:r>
              <w:rPr>
                <w:rFonts w:ascii="仿宋" w:eastAsia="仿宋" w:hAnsi="仿宋" w:cs="仿宋" w:hint="eastAsia"/>
                <w:bCs/>
                <w:color w:val="000000" w:themeColor="text1"/>
                <w:szCs w:val="21"/>
              </w:rPr>
              <w:t>职业健康安全事务代表</w:t>
            </w:r>
            <w:r>
              <w:rPr>
                <w:rFonts w:ascii="仿宋" w:eastAsia="仿宋" w:hAnsi="仿宋" w:cs="仿宋" w:hint="eastAsia"/>
                <w:szCs w:val="21"/>
              </w:rPr>
              <w:t>：刘玉恒</w:t>
            </w:r>
            <w:r>
              <w:rPr>
                <w:rFonts w:ascii="仿宋" w:eastAsia="仿宋" w:hAnsi="仿宋" w:cs="仿宋" w:hint="eastAsia"/>
                <w:szCs w:val="21"/>
              </w:rPr>
              <w:t xml:space="preserve"> </w:t>
            </w:r>
            <w:r>
              <w:rPr>
                <w:rFonts w:ascii="仿宋" w:eastAsia="仿宋" w:hAnsi="仿宋" w:cs="仿宋" w:hint="eastAsia"/>
                <w:szCs w:val="21"/>
              </w:rPr>
              <w:t xml:space="preserve">  </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szCs w:val="21"/>
              </w:rPr>
              <w:t>陪同人员：刘玉恒</w:t>
            </w:r>
          </w:p>
        </w:tc>
        <w:tc>
          <w:tcPr>
            <w:tcW w:w="646" w:type="dxa"/>
            <w:vMerge w:val="restart"/>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判定</w:t>
            </w:r>
          </w:p>
        </w:tc>
      </w:tr>
      <w:tr w:rsidR="00E97A32">
        <w:trPr>
          <w:trHeight w:val="403"/>
        </w:trPr>
        <w:tc>
          <w:tcPr>
            <w:tcW w:w="1892" w:type="dxa"/>
            <w:vMerge/>
            <w:vAlign w:val="center"/>
          </w:tcPr>
          <w:p w:rsidR="00E97A32" w:rsidRDefault="00E97A32">
            <w:pPr>
              <w:spacing w:line="360" w:lineRule="auto"/>
              <w:rPr>
                <w:rFonts w:ascii="仿宋" w:eastAsia="仿宋" w:hAnsi="仿宋" w:cs="仿宋"/>
                <w:color w:val="000000" w:themeColor="text1"/>
                <w:szCs w:val="21"/>
              </w:rPr>
            </w:pPr>
          </w:p>
        </w:tc>
        <w:tc>
          <w:tcPr>
            <w:tcW w:w="1228" w:type="dxa"/>
            <w:vMerge/>
            <w:vAlign w:val="center"/>
          </w:tcPr>
          <w:p w:rsidR="00E97A32" w:rsidRDefault="00E97A32">
            <w:pPr>
              <w:spacing w:line="360" w:lineRule="auto"/>
              <w:rPr>
                <w:rFonts w:ascii="仿宋" w:eastAsia="仿宋" w:hAnsi="仿宋" w:cs="仿宋"/>
                <w:color w:val="000000" w:themeColor="text1"/>
                <w:szCs w:val="21"/>
              </w:rPr>
            </w:pPr>
          </w:p>
        </w:tc>
        <w:tc>
          <w:tcPr>
            <w:tcW w:w="10943"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审核员：</w:t>
            </w:r>
            <w:r>
              <w:rPr>
                <w:rFonts w:ascii="仿宋" w:eastAsia="仿宋" w:hAnsi="仿宋" w:cs="仿宋" w:hint="eastAsia"/>
                <w:color w:val="000000" w:themeColor="text1"/>
                <w:szCs w:val="21"/>
              </w:rPr>
              <w:t>强兴</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审核时间：</w:t>
            </w:r>
            <w:r>
              <w:rPr>
                <w:rFonts w:ascii="仿宋" w:eastAsia="仿宋" w:hAnsi="仿宋" w:cs="仿宋" w:hint="eastAsia"/>
                <w:color w:val="000000" w:themeColor="text1"/>
                <w:szCs w:val="21"/>
              </w:rPr>
              <w:t>2023.2.15</w:t>
            </w:r>
          </w:p>
        </w:tc>
        <w:tc>
          <w:tcPr>
            <w:tcW w:w="646" w:type="dxa"/>
            <w:vMerge/>
          </w:tcPr>
          <w:p w:rsidR="00E97A32" w:rsidRDefault="00E97A32">
            <w:pPr>
              <w:spacing w:line="360" w:lineRule="auto"/>
              <w:rPr>
                <w:rFonts w:ascii="仿宋" w:eastAsia="仿宋" w:hAnsi="仿宋" w:cs="仿宋"/>
                <w:color w:val="000000" w:themeColor="text1"/>
                <w:szCs w:val="21"/>
              </w:rPr>
            </w:pPr>
          </w:p>
        </w:tc>
      </w:tr>
      <w:tr w:rsidR="00E97A32">
        <w:trPr>
          <w:trHeight w:val="516"/>
        </w:trPr>
        <w:tc>
          <w:tcPr>
            <w:tcW w:w="1892" w:type="dxa"/>
            <w:vMerge/>
            <w:vAlign w:val="center"/>
          </w:tcPr>
          <w:p w:rsidR="00E97A32" w:rsidRDefault="00E97A32">
            <w:pPr>
              <w:spacing w:line="360" w:lineRule="auto"/>
              <w:rPr>
                <w:rFonts w:ascii="仿宋" w:eastAsia="仿宋" w:hAnsi="仿宋" w:cs="仿宋"/>
                <w:color w:val="000000" w:themeColor="text1"/>
                <w:szCs w:val="21"/>
              </w:rPr>
            </w:pPr>
          </w:p>
        </w:tc>
        <w:tc>
          <w:tcPr>
            <w:tcW w:w="1228" w:type="dxa"/>
            <w:vMerge/>
            <w:vAlign w:val="center"/>
          </w:tcPr>
          <w:p w:rsidR="00E97A32" w:rsidRDefault="00E97A32">
            <w:pPr>
              <w:spacing w:line="360" w:lineRule="auto"/>
              <w:rPr>
                <w:rFonts w:ascii="仿宋" w:eastAsia="仿宋" w:hAnsi="仿宋" w:cs="仿宋"/>
                <w:color w:val="000000" w:themeColor="text1"/>
                <w:szCs w:val="21"/>
              </w:rPr>
            </w:pPr>
          </w:p>
        </w:tc>
        <w:tc>
          <w:tcPr>
            <w:tcW w:w="10943" w:type="dxa"/>
            <w:vAlign w:val="center"/>
          </w:tcPr>
          <w:p w:rsidR="00E97A32" w:rsidRDefault="0083562F">
            <w:pPr>
              <w:snapToGrid w:val="0"/>
              <w:rPr>
                <w:rFonts w:ascii="仿宋" w:eastAsia="仿宋" w:hAnsi="仿宋" w:cs="仿宋"/>
                <w:szCs w:val="21"/>
              </w:rPr>
            </w:pPr>
            <w:r>
              <w:rPr>
                <w:rFonts w:ascii="仿宋" w:eastAsia="仿宋" w:hAnsi="仿宋" w:cs="仿宋" w:hint="eastAsia"/>
                <w:szCs w:val="21"/>
              </w:rPr>
              <w:t>审核条款：</w:t>
            </w:r>
          </w:p>
          <w:p w:rsidR="00E97A32" w:rsidRDefault="0083562F">
            <w:pPr>
              <w:rPr>
                <w:rFonts w:ascii="仿宋" w:eastAsia="仿宋" w:hAnsi="仿宋" w:cs="仿宋"/>
                <w:szCs w:val="21"/>
              </w:rPr>
            </w:pPr>
            <w:r>
              <w:rPr>
                <w:rFonts w:ascii="仿宋" w:eastAsia="仿宋" w:hAnsi="仿宋" w:cs="仿宋" w:hint="eastAsia"/>
                <w:szCs w:val="21"/>
              </w:rPr>
              <w:t>E/OHSMS:4.1</w:t>
            </w:r>
            <w:r>
              <w:rPr>
                <w:rFonts w:ascii="仿宋" w:eastAsia="仿宋" w:hAnsi="仿宋" w:cs="仿宋" w:hint="eastAsia"/>
                <w:szCs w:val="21"/>
              </w:rPr>
              <w:t>理解组织及其环境、</w:t>
            </w:r>
            <w:r>
              <w:rPr>
                <w:rFonts w:ascii="仿宋" w:eastAsia="仿宋" w:hAnsi="仿宋" w:cs="仿宋" w:hint="eastAsia"/>
                <w:szCs w:val="21"/>
              </w:rPr>
              <w:t>4.2</w:t>
            </w:r>
            <w:r>
              <w:rPr>
                <w:rFonts w:ascii="仿宋" w:eastAsia="仿宋" w:hAnsi="仿宋" w:cs="仿宋" w:hint="eastAsia"/>
                <w:szCs w:val="21"/>
              </w:rPr>
              <w:t>理解相关方的需求和期望、</w:t>
            </w:r>
            <w:r>
              <w:rPr>
                <w:rFonts w:ascii="仿宋" w:eastAsia="仿宋" w:hAnsi="仿宋" w:cs="仿宋" w:hint="eastAsia"/>
                <w:szCs w:val="21"/>
              </w:rPr>
              <w:t xml:space="preserve">4.3 </w:t>
            </w:r>
            <w:r>
              <w:rPr>
                <w:rFonts w:ascii="仿宋" w:eastAsia="仿宋" w:hAnsi="仿宋" w:cs="仿宋" w:hint="eastAsia"/>
                <w:szCs w:val="21"/>
              </w:rPr>
              <w:t>确定管理体系的范围、</w:t>
            </w:r>
            <w:r>
              <w:rPr>
                <w:rFonts w:ascii="仿宋" w:eastAsia="仿宋" w:hAnsi="仿宋" w:cs="仿宋" w:hint="eastAsia"/>
                <w:szCs w:val="21"/>
              </w:rPr>
              <w:t>4.4</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职业健康安全管理体系及其过程、</w:t>
            </w:r>
            <w:r>
              <w:rPr>
                <w:rFonts w:ascii="仿宋" w:eastAsia="仿宋" w:hAnsi="仿宋" w:cs="仿宋" w:hint="eastAsia"/>
                <w:szCs w:val="21"/>
              </w:rPr>
              <w:t>5.1</w:t>
            </w:r>
            <w:r>
              <w:rPr>
                <w:rFonts w:ascii="仿宋" w:eastAsia="仿宋" w:hAnsi="仿宋" w:cs="仿宋" w:hint="eastAsia"/>
                <w:szCs w:val="21"/>
              </w:rPr>
              <w:t>领导作用和承诺、</w:t>
            </w:r>
            <w:r>
              <w:rPr>
                <w:rFonts w:ascii="仿宋" w:eastAsia="仿宋" w:hAnsi="仿宋" w:cs="仿宋" w:hint="eastAsia"/>
                <w:szCs w:val="21"/>
              </w:rPr>
              <w:t>5.2</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职业健康安全方针、</w:t>
            </w:r>
            <w:r>
              <w:rPr>
                <w:rFonts w:ascii="仿宋" w:eastAsia="仿宋" w:hAnsi="仿宋" w:cs="仿宋" w:hint="eastAsia"/>
                <w:szCs w:val="21"/>
              </w:rPr>
              <w:t>5.3</w:t>
            </w:r>
            <w:r>
              <w:rPr>
                <w:rFonts w:ascii="仿宋" w:eastAsia="仿宋" w:hAnsi="仿宋" w:cs="仿宋" w:hint="eastAsia"/>
                <w:szCs w:val="21"/>
              </w:rPr>
              <w:t>组织的岗位、职责和权限、</w:t>
            </w:r>
            <w:r>
              <w:rPr>
                <w:rFonts w:ascii="仿宋" w:eastAsia="仿宋" w:hAnsi="仿宋" w:cs="仿宋" w:hint="eastAsia"/>
                <w:szCs w:val="21"/>
              </w:rPr>
              <w:t>OHSMS</w:t>
            </w:r>
            <w:r>
              <w:rPr>
                <w:rFonts w:ascii="仿宋" w:eastAsia="仿宋" w:hAnsi="仿宋" w:cs="仿宋" w:hint="eastAsia"/>
                <w:szCs w:val="21"/>
              </w:rPr>
              <w:t>：</w:t>
            </w:r>
            <w:r>
              <w:rPr>
                <w:rFonts w:ascii="仿宋" w:eastAsia="仿宋" w:hAnsi="仿宋" w:cs="仿宋" w:hint="eastAsia"/>
                <w:szCs w:val="21"/>
              </w:rPr>
              <w:t>5.4</w:t>
            </w:r>
            <w:r>
              <w:rPr>
                <w:rFonts w:ascii="仿宋" w:eastAsia="仿宋" w:hAnsi="仿宋" w:cs="仿宋" w:hint="eastAsia"/>
                <w:szCs w:val="21"/>
              </w:rPr>
              <w:t>协商与参与、</w:t>
            </w:r>
            <w:r>
              <w:rPr>
                <w:rFonts w:ascii="仿宋" w:eastAsia="仿宋" w:hAnsi="仿宋" w:cs="仿宋" w:hint="eastAsia"/>
                <w:szCs w:val="21"/>
              </w:rPr>
              <w:t>6.1</w:t>
            </w:r>
            <w:r>
              <w:rPr>
                <w:rFonts w:ascii="仿宋" w:eastAsia="仿宋" w:hAnsi="仿宋" w:cs="仿宋" w:hint="eastAsia"/>
                <w:szCs w:val="21"/>
              </w:rPr>
              <w:t>应对风险和机遇的措施、</w:t>
            </w:r>
            <w:r>
              <w:rPr>
                <w:rFonts w:ascii="仿宋" w:eastAsia="仿宋" w:hAnsi="仿宋" w:cs="仿宋" w:hint="eastAsia"/>
                <w:szCs w:val="21"/>
              </w:rPr>
              <w:t>6.2</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职业健康安全目标及其实现的策划、</w:t>
            </w:r>
            <w:r>
              <w:rPr>
                <w:rFonts w:ascii="仿宋" w:eastAsia="仿宋" w:hAnsi="仿宋" w:cs="仿宋" w:hint="eastAsia"/>
                <w:szCs w:val="21"/>
              </w:rPr>
              <w:t>7.1</w:t>
            </w:r>
            <w:r>
              <w:rPr>
                <w:rFonts w:ascii="仿宋" w:eastAsia="仿宋" w:hAnsi="仿宋" w:cs="仿宋" w:hint="eastAsia"/>
                <w:szCs w:val="21"/>
              </w:rPr>
              <w:t>资源、</w:t>
            </w:r>
            <w:r>
              <w:rPr>
                <w:rFonts w:ascii="仿宋" w:eastAsia="仿宋" w:hAnsi="仿宋" w:cs="仿宋" w:hint="eastAsia"/>
                <w:szCs w:val="21"/>
              </w:rPr>
              <w:t>7.4</w:t>
            </w:r>
            <w:r>
              <w:rPr>
                <w:rFonts w:ascii="仿宋" w:eastAsia="仿宋" w:hAnsi="仿宋" w:cs="仿宋" w:hint="eastAsia"/>
                <w:szCs w:val="21"/>
              </w:rPr>
              <w:t>沟通</w:t>
            </w:r>
            <w:r>
              <w:rPr>
                <w:rFonts w:ascii="仿宋" w:eastAsia="仿宋" w:hAnsi="仿宋" w:cs="仿宋" w:hint="eastAsia"/>
                <w:szCs w:val="21"/>
              </w:rPr>
              <w:t>/</w:t>
            </w:r>
            <w:r>
              <w:rPr>
                <w:rFonts w:ascii="仿宋" w:eastAsia="仿宋" w:hAnsi="仿宋" w:cs="仿宋" w:hint="eastAsia"/>
                <w:szCs w:val="21"/>
              </w:rPr>
              <w:t>信息交流、</w:t>
            </w:r>
            <w:r>
              <w:rPr>
                <w:rFonts w:ascii="仿宋" w:eastAsia="仿宋" w:hAnsi="仿宋" w:cs="仿宋" w:hint="eastAsia"/>
                <w:szCs w:val="21"/>
              </w:rPr>
              <w:t>9.3</w:t>
            </w:r>
            <w:r>
              <w:rPr>
                <w:rFonts w:ascii="仿宋" w:eastAsia="仿宋" w:hAnsi="仿宋" w:cs="仿宋" w:hint="eastAsia"/>
                <w:szCs w:val="21"/>
              </w:rPr>
              <w:t>管理评审、</w:t>
            </w:r>
            <w:r>
              <w:rPr>
                <w:rFonts w:ascii="仿宋" w:eastAsia="仿宋" w:hAnsi="仿宋" w:cs="仿宋" w:hint="eastAsia"/>
                <w:szCs w:val="21"/>
              </w:rPr>
              <w:t>10.1</w:t>
            </w:r>
            <w:r>
              <w:rPr>
                <w:rFonts w:ascii="仿宋" w:eastAsia="仿宋" w:hAnsi="仿宋" w:cs="仿宋" w:hint="eastAsia"/>
                <w:szCs w:val="21"/>
              </w:rPr>
              <w:t>改进、</w:t>
            </w:r>
            <w:r>
              <w:rPr>
                <w:rFonts w:ascii="仿宋" w:eastAsia="仿宋" w:hAnsi="仿宋" w:cs="仿宋" w:hint="eastAsia"/>
                <w:szCs w:val="21"/>
              </w:rPr>
              <w:t>10.3</w:t>
            </w:r>
            <w:r>
              <w:rPr>
                <w:rFonts w:ascii="仿宋" w:eastAsia="仿宋" w:hAnsi="仿宋" w:cs="仿宋" w:hint="eastAsia"/>
                <w:szCs w:val="21"/>
              </w:rPr>
              <w:t>持续改进，</w:t>
            </w:r>
          </w:p>
          <w:p w:rsidR="00E97A32" w:rsidRDefault="0083562F">
            <w:pPr>
              <w:rPr>
                <w:rFonts w:ascii="仿宋" w:eastAsia="仿宋" w:hAnsi="仿宋" w:cs="仿宋"/>
                <w:szCs w:val="21"/>
              </w:rPr>
            </w:pPr>
            <w:r>
              <w:rPr>
                <w:rFonts w:ascii="仿宋" w:eastAsia="仿宋" w:hAnsi="仿宋" w:cs="仿宋" w:hint="eastAsia"/>
                <w:szCs w:val="21"/>
              </w:rPr>
              <w:t>国家</w:t>
            </w:r>
            <w:r>
              <w:rPr>
                <w:rFonts w:ascii="仿宋" w:eastAsia="仿宋" w:hAnsi="仿宋" w:cs="仿宋" w:hint="eastAsia"/>
                <w:szCs w:val="21"/>
              </w:rPr>
              <w:t>/</w:t>
            </w:r>
            <w:r>
              <w:rPr>
                <w:rFonts w:ascii="仿宋" w:eastAsia="仿宋" w:hAnsi="仿宋" w:cs="仿宋" w:hint="eastAsia"/>
                <w:szCs w:val="21"/>
              </w:rPr>
              <w:t>地方监督抽查情况；顾客满意、相关方投诉及处理情况；</w:t>
            </w:r>
          </w:p>
          <w:p w:rsidR="00E97A32" w:rsidRDefault="0083562F">
            <w:pPr>
              <w:rPr>
                <w:rFonts w:ascii="仿宋" w:eastAsia="仿宋" w:hAnsi="仿宋" w:cs="仿宋"/>
                <w:color w:val="000000" w:themeColor="text1"/>
                <w:szCs w:val="21"/>
              </w:rPr>
            </w:pPr>
            <w:r>
              <w:rPr>
                <w:rFonts w:ascii="仿宋" w:eastAsia="仿宋" w:hAnsi="仿宋" w:cs="仿宋" w:hint="eastAsia"/>
                <w:szCs w:val="21"/>
              </w:rPr>
              <w:t>验证企业相关资质证明的有效性；</w:t>
            </w:r>
          </w:p>
        </w:tc>
        <w:tc>
          <w:tcPr>
            <w:tcW w:w="646" w:type="dxa"/>
            <w:vMerge/>
          </w:tcPr>
          <w:p w:rsidR="00E97A32" w:rsidRDefault="00E97A32">
            <w:pPr>
              <w:spacing w:line="360" w:lineRule="auto"/>
              <w:rPr>
                <w:rFonts w:ascii="仿宋" w:eastAsia="仿宋" w:hAnsi="仿宋" w:cs="仿宋"/>
                <w:color w:val="000000" w:themeColor="text1"/>
                <w:szCs w:val="21"/>
              </w:rPr>
            </w:pPr>
          </w:p>
        </w:tc>
      </w:tr>
      <w:tr w:rsidR="00E97A32">
        <w:trPr>
          <w:trHeight w:val="2177"/>
        </w:trPr>
        <w:tc>
          <w:tcPr>
            <w:tcW w:w="1892"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理解组织及其环境</w:t>
            </w:r>
          </w:p>
          <w:p w:rsidR="00E97A32" w:rsidRDefault="00E97A32">
            <w:pPr>
              <w:spacing w:line="360" w:lineRule="auto"/>
              <w:rPr>
                <w:rFonts w:ascii="仿宋" w:eastAsia="仿宋" w:hAnsi="仿宋" w:cs="仿宋"/>
                <w:color w:val="000000" w:themeColor="text1"/>
                <w:szCs w:val="21"/>
              </w:rPr>
            </w:pPr>
          </w:p>
        </w:tc>
        <w:tc>
          <w:tcPr>
            <w:tcW w:w="1228"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4.1</w:t>
            </w:r>
          </w:p>
          <w:p w:rsidR="00E97A32" w:rsidRDefault="00E97A32">
            <w:pPr>
              <w:spacing w:line="360" w:lineRule="auto"/>
              <w:rPr>
                <w:rFonts w:ascii="仿宋" w:eastAsia="仿宋" w:hAnsi="仿宋" w:cs="仿宋"/>
                <w:color w:val="000000" w:themeColor="text1"/>
                <w:szCs w:val="21"/>
              </w:rPr>
            </w:pPr>
          </w:p>
        </w:tc>
        <w:tc>
          <w:tcPr>
            <w:tcW w:w="10943" w:type="dxa"/>
            <w:vAlign w:val="center"/>
          </w:tcPr>
          <w:p w:rsidR="00E97A32" w:rsidRDefault="0083562F">
            <w:pPr>
              <w:spacing w:line="360" w:lineRule="auto"/>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提供《质量</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环境</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职业健康安全</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管理手册</w:t>
            </w:r>
            <w:r>
              <w:rPr>
                <w:rFonts w:ascii="仿宋" w:eastAsia="仿宋" w:hAnsi="仿宋" w:cs="仿宋" w:hint="eastAsia"/>
                <w:color w:val="000000" w:themeColor="text1"/>
                <w:szCs w:val="21"/>
              </w:rPr>
              <w:t>HD-QES-SC-2020</w:t>
            </w:r>
            <w:r>
              <w:rPr>
                <w:rFonts w:ascii="仿宋" w:eastAsia="仿宋" w:hAnsi="仿宋" w:cs="仿宋" w:hint="eastAsia"/>
                <w:color w:val="000000" w:themeColor="text1"/>
                <w:szCs w:val="21"/>
              </w:rPr>
              <w:t>》，对公司地理位置、国内市场地位、法律法规要求、公司内部文化观价值观、内外部环境变化等均作出描述。</w:t>
            </w:r>
          </w:p>
          <w:p w:rsidR="00E97A32" w:rsidRDefault="0083562F">
            <w:pPr>
              <w:spacing w:line="360" w:lineRule="auto"/>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根据企业目标和战略方向，通过各部门收集信息、识别、分析和评价，公司管理会议讨论研究，明确了与公司目标和战略方向相关的各种外部和内部因素，提供了《组织的内外重要环境因素分析表》，与上次没有变化。</w:t>
            </w: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2119"/>
        </w:trPr>
        <w:tc>
          <w:tcPr>
            <w:tcW w:w="1892"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理解相关方的需求和期望</w:t>
            </w:r>
          </w:p>
        </w:tc>
        <w:tc>
          <w:tcPr>
            <w:tcW w:w="1228"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4.2</w:t>
            </w:r>
          </w:p>
        </w:tc>
        <w:tc>
          <w:tcPr>
            <w:tcW w:w="10943" w:type="dxa"/>
            <w:vAlign w:val="center"/>
          </w:tcPr>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提供了《组织的相关方需求和期望调查表》，相关方包括顾客、供方、员工、政府部门、审核机构、股东等。相关方需</w:t>
            </w:r>
            <w:r>
              <w:rPr>
                <w:rFonts w:ascii="仿宋" w:eastAsia="仿宋" w:hAnsi="仿宋" w:cs="仿宋" w:hint="eastAsia"/>
                <w:color w:val="000000" w:themeColor="text1"/>
                <w:szCs w:val="21"/>
              </w:rPr>
              <w:t>求和期望：产品质量符合顾客要求、及时交货、价格合理；合作双赢、进料合格率、及时付款；</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薪资、福利增加、培训机会、有发展的空间；安全生产、环保；公司体系运作的有效性、充分性和符合性；公司战略、绩效等，基本识别了与组织管理体系有关的相关方和要求</w:t>
            </w:r>
            <w:r>
              <w:rPr>
                <w:rFonts w:ascii="仿宋" w:eastAsia="仿宋" w:hAnsi="仿宋" w:cs="仿宋" w:hint="eastAsia"/>
                <w:color w:val="000000" w:themeColor="text1"/>
                <w:szCs w:val="21"/>
                <w:lang w:val="zh-CN"/>
              </w:rPr>
              <w:t>，没有变化。</w:t>
            </w: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1696"/>
        </w:trPr>
        <w:tc>
          <w:tcPr>
            <w:tcW w:w="1892"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环境</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职业健康安全管理体系的范围</w:t>
            </w:r>
          </w:p>
        </w:tc>
        <w:tc>
          <w:tcPr>
            <w:tcW w:w="1228"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4.3</w:t>
            </w:r>
          </w:p>
        </w:tc>
        <w:tc>
          <w:tcPr>
            <w:tcW w:w="10943" w:type="dxa"/>
            <w:vAlign w:val="center"/>
          </w:tcPr>
          <w:p w:rsidR="00E97A32" w:rsidRDefault="0083562F">
            <w:pPr>
              <w:spacing w:line="360" w:lineRule="auto"/>
              <w:jc w:val="left"/>
              <w:rPr>
                <w:rFonts w:ascii="仿宋" w:eastAsia="仿宋" w:hAnsi="仿宋" w:cs="仿宋"/>
                <w:color w:val="000000" w:themeColor="text1"/>
                <w:szCs w:val="21"/>
              </w:rPr>
            </w:pPr>
            <w:r>
              <w:rPr>
                <w:rFonts w:ascii="仿宋" w:eastAsia="仿宋" w:hAnsi="仿宋" w:cs="仿宋" w:hint="eastAsia"/>
                <w:color w:val="000000" w:themeColor="text1"/>
                <w:szCs w:val="21"/>
              </w:rPr>
              <w:t>经确认企业的管理体系范围没有变化：</w:t>
            </w:r>
          </w:p>
          <w:p w:rsidR="00E97A32" w:rsidRDefault="0083562F">
            <w:pPr>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：皮带输送机及配件、管材、管件的销售及所涉及场所的相关环境管理活动；</w:t>
            </w:r>
          </w:p>
          <w:p w:rsidR="00E97A32" w:rsidRDefault="0083562F">
            <w:pPr>
              <w:spacing w:line="360" w:lineRule="auto"/>
              <w:jc w:val="left"/>
              <w:rPr>
                <w:rFonts w:ascii="仿宋" w:eastAsia="仿宋" w:hAnsi="仿宋" w:cs="仿宋"/>
                <w:color w:val="000000" w:themeColor="text1"/>
                <w:szCs w:val="21"/>
              </w:rPr>
            </w:pPr>
            <w:r>
              <w:rPr>
                <w:rFonts w:ascii="仿宋" w:eastAsia="仿宋" w:hAnsi="仿宋" w:cs="仿宋" w:hint="eastAsia"/>
                <w:szCs w:val="21"/>
              </w:rPr>
              <w:t>O</w:t>
            </w:r>
            <w:r>
              <w:rPr>
                <w:rFonts w:ascii="仿宋" w:eastAsia="仿宋" w:hAnsi="仿宋" w:cs="仿宋" w:hint="eastAsia"/>
                <w:szCs w:val="21"/>
              </w:rPr>
              <w:t>：皮带输送机及配件、管材、管件的销售及所涉及场所的相关职业健康安全管理活动。</w:t>
            </w: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3086"/>
        </w:trPr>
        <w:tc>
          <w:tcPr>
            <w:tcW w:w="1892"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环境</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职业健康安全管理体系及其过程</w:t>
            </w:r>
          </w:p>
        </w:tc>
        <w:tc>
          <w:tcPr>
            <w:tcW w:w="1228"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4.4</w:t>
            </w:r>
          </w:p>
        </w:tc>
        <w:tc>
          <w:tcPr>
            <w:tcW w:w="10943" w:type="dxa"/>
            <w:vAlign w:val="center"/>
          </w:tcPr>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公司按照标准建立了文件化的管理体系，编写了管理手册、程序文件、三级文件，文件中包括了</w:t>
            </w: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方针、目标</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无变化。</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公司文件适宜，符合公司规模、人员能力、过程及其相互作用的复杂程度。基本符合标准要求。</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516"/>
        </w:trPr>
        <w:tc>
          <w:tcPr>
            <w:tcW w:w="1892"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领导作用与承诺</w:t>
            </w:r>
          </w:p>
          <w:p w:rsidR="00E97A32" w:rsidRDefault="00E97A32">
            <w:pPr>
              <w:spacing w:line="360" w:lineRule="auto"/>
              <w:rPr>
                <w:rFonts w:ascii="仿宋" w:eastAsia="仿宋" w:hAnsi="仿宋" w:cs="仿宋"/>
                <w:color w:val="000000" w:themeColor="text1"/>
                <w:szCs w:val="21"/>
              </w:rPr>
            </w:pPr>
          </w:p>
        </w:tc>
        <w:tc>
          <w:tcPr>
            <w:tcW w:w="1228"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5.1</w:t>
            </w:r>
          </w:p>
        </w:tc>
        <w:tc>
          <w:tcPr>
            <w:tcW w:w="10943" w:type="dxa"/>
            <w:vAlign w:val="center"/>
          </w:tcPr>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通过内部审核、管理评审及有效实施纠正、改进措施等方法来有效完善和持续发展公司的管理体系。公司总经理是刘晓州，主要承诺有：主持管理体系的策划，制定并颁布本公司的管理方针、目标，并对实现管理方针、目标负责；确定各岗位、职能部门的职责和权限，向顾客、全体员工和相关方提供管理承诺，并提供资源；任命管理者代表；批准发布《管理手册》；定期组织管理评审，保证管理体系持续有效运行和持续改进，对产品质量、环境和职业健康安全绩效负全面领导责任；主持重大环境和职业健康安全事故的调查分析和处理；配备适当的人、财、物等资源，确保管理</w:t>
            </w:r>
            <w:r>
              <w:rPr>
                <w:rFonts w:ascii="仿宋" w:eastAsia="仿宋" w:hAnsi="仿宋" w:cs="仿宋" w:hint="eastAsia"/>
                <w:color w:val="000000" w:themeColor="text1"/>
                <w:szCs w:val="21"/>
              </w:rPr>
              <w:t>体系的持续有效运行。</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公司管理者代表李婷婷：确保本公司管理体系所需的过程得到建立、实施和保持，代表刘晓州行使职权；向最高管理者报告管理体系的运行、管理业绩情况以供评审，并提出管理体系改进方面的建议；确保在整个组织内提高满足顾客、</w:t>
            </w:r>
            <w:r>
              <w:rPr>
                <w:rFonts w:ascii="仿宋" w:eastAsia="仿宋" w:hAnsi="仿宋" w:cs="仿宋" w:hint="eastAsia"/>
                <w:color w:val="000000" w:themeColor="text1"/>
                <w:szCs w:val="21"/>
              </w:rPr>
              <w:lastRenderedPageBreak/>
              <w:t>相关方要求和适用法律法规要求的意识；组织落实公司管理体系的管理评审和内部审核；及时处理影响公司管理体系正常运行的有关问题；负责公司管理体系有关事宜的对外联络等。</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承诺基本实现，没有违反的情况发生。</w:t>
            </w: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E97A32">
        <w:trPr>
          <w:trHeight w:val="4705"/>
        </w:trPr>
        <w:tc>
          <w:tcPr>
            <w:tcW w:w="1892" w:type="dxa"/>
            <w:vAlign w:val="center"/>
          </w:tcPr>
          <w:p w:rsidR="00E97A32" w:rsidRDefault="0083562F">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方针</w:t>
            </w:r>
          </w:p>
        </w:tc>
        <w:tc>
          <w:tcPr>
            <w:tcW w:w="1228"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5.2</w:t>
            </w:r>
          </w:p>
        </w:tc>
        <w:tc>
          <w:tcPr>
            <w:tcW w:w="10943" w:type="dxa"/>
            <w:vAlign w:val="center"/>
          </w:tcPr>
          <w:p w:rsidR="00E97A32" w:rsidRDefault="0083562F">
            <w:pPr>
              <w:spacing w:line="360" w:lineRule="auto"/>
              <w:jc w:val="left"/>
              <w:rPr>
                <w:rFonts w:ascii="仿宋" w:eastAsia="仿宋" w:hAnsi="仿宋" w:cs="仿宋"/>
                <w:color w:val="000000" w:themeColor="text1"/>
                <w:szCs w:val="21"/>
              </w:rPr>
            </w:pPr>
            <w:r>
              <w:rPr>
                <w:rFonts w:ascii="仿宋" w:eastAsia="仿宋" w:hAnsi="仿宋" w:cs="仿宋" w:hint="eastAsia"/>
                <w:color w:val="000000" w:themeColor="text1"/>
                <w:szCs w:val="21"/>
              </w:rPr>
              <w:t>企业的管理方针没有变化：</w:t>
            </w:r>
          </w:p>
          <w:p w:rsidR="00E97A32" w:rsidRDefault="0083562F">
            <w:pPr>
              <w:spacing w:line="360" w:lineRule="auto"/>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坚持标准，持续改进，争创一流，顾客满意。</w:t>
            </w:r>
          </w:p>
          <w:p w:rsidR="00E97A32" w:rsidRDefault="0083562F">
            <w:pPr>
              <w:spacing w:line="360" w:lineRule="auto"/>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安全第一，预防为主；遵规守法，减污降耗；持续发展。</w:t>
            </w:r>
          </w:p>
          <w:p w:rsidR="00E97A32" w:rsidRDefault="0083562F">
            <w:pPr>
              <w:spacing w:line="360" w:lineRule="auto"/>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公司以环境、职业健康安全标准为基础，结合公司实际特制定管理方针。与刘晓州进行交谈，基本理解方针内涵，方针能为制定目标提供框架，方针基本符合标准的要求。</w:t>
            </w:r>
          </w:p>
          <w:p w:rsidR="00E97A32" w:rsidRDefault="0083562F">
            <w:pPr>
              <w:spacing w:line="360" w:lineRule="auto"/>
              <w:jc w:val="left"/>
              <w:rPr>
                <w:rFonts w:ascii="仿宋" w:eastAsia="仿宋" w:hAnsi="仿宋" w:cs="仿宋"/>
                <w:color w:val="000000" w:themeColor="text1"/>
                <w:szCs w:val="21"/>
              </w:rPr>
            </w:pPr>
            <w:r>
              <w:rPr>
                <w:rFonts w:ascii="仿宋" w:eastAsia="仿宋" w:hAnsi="仿宋" w:cs="仿宋" w:hint="eastAsia"/>
                <w:color w:val="000000" w:themeColor="text1"/>
                <w:szCs w:val="21"/>
              </w:rPr>
              <w:t>总经理刘晓州用会议、文件等手段保证管理方针为全体员工理解并落实到工作中。管理评审时对方针的持续适宜性进行了评审，有评审记录。</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以上管理方针通过文件、培训等形式将公司管理方针传达给所有为公司工作或代表公司的人员，相关方也可通过办公室获取公司管理方针。</w:t>
            </w: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516"/>
        </w:trPr>
        <w:tc>
          <w:tcPr>
            <w:tcW w:w="1892" w:type="dxa"/>
            <w:vAlign w:val="center"/>
          </w:tcPr>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组织的岗位、职责和权限</w:t>
            </w:r>
          </w:p>
          <w:p w:rsidR="00E97A32" w:rsidRDefault="00E97A32">
            <w:pPr>
              <w:spacing w:line="360" w:lineRule="auto"/>
              <w:jc w:val="center"/>
              <w:rPr>
                <w:rFonts w:ascii="仿宋" w:eastAsia="仿宋" w:hAnsi="仿宋" w:cs="仿宋"/>
                <w:color w:val="000000" w:themeColor="text1"/>
                <w:szCs w:val="21"/>
              </w:rPr>
            </w:pPr>
          </w:p>
        </w:tc>
        <w:tc>
          <w:tcPr>
            <w:tcW w:w="1228" w:type="dxa"/>
            <w:vAlign w:val="center"/>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5.3</w:t>
            </w:r>
          </w:p>
        </w:tc>
        <w:tc>
          <w:tcPr>
            <w:tcW w:w="10943" w:type="dxa"/>
            <w:vAlign w:val="center"/>
          </w:tcPr>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李婷婷为管理体系的管理者代表。</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公司各部门负责人无变化，职责和权限无变化，相关人员了解职责并可有效实施。</w:t>
            </w: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1401"/>
        </w:trPr>
        <w:tc>
          <w:tcPr>
            <w:tcW w:w="1892" w:type="dxa"/>
            <w:vAlign w:val="center"/>
          </w:tcPr>
          <w:p w:rsidR="00E97A32" w:rsidRDefault="0083562F">
            <w:pPr>
              <w:spacing w:line="360" w:lineRule="auto"/>
              <w:jc w:val="left"/>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应对风险和机会的措施</w:t>
            </w:r>
          </w:p>
        </w:tc>
        <w:tc>
          <w:tcPr>
            <w:tcW w:w="1228" w:type="dxa"/>
            <w:vAlign w:val="center"/>
          </w:tcPr>
          <w:p w:rsidR="00E97A32" w:rsidRDefault="00E97A32">
            <w:pPr>
              <w:pStyle w:val="a0"/>
              <w:rPr>
                <w:rFonts w:ascii="仿宋" w:eastAsia="仿宋" w:hAnsi="仿宋" w:cs="仿宋"/>
                <w:color w:val="000000" w:themeColor="text1"/>
                <w:szCs w:val="21"/>
              </w:rPr>
            </w:pPr>
          </w:p>
          <w:p w:rsidR="00E97A32" w:rsidRDefault="0083562F">
            <w:pPr>
              <w:spacing w:line="360" w:lineRule="auto"/>
              <w:jc w:val="left"/>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 6.1.1</w:t>
            </w:r>
          </w:p>
        </w:tc>
        <w:tc>
          <w:tcPr>
            <w:tcW w:w="10943" w:type="dxa"/>
            <w:vAlign w:val="center"/>
          </w:tcPr>
          <w:p w:rsidR="00E97A32" w:rsidRDefault="0083562F">
            <w:pPr>
              <w:pStyle w:val="a0"/>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提供《风险和机遇的应对控制程序》，对组织内外的风险和机遇进行了策划。提供“风险和机遇评估分析表”，识别了风险和机遇来源、风险和机遇内容、管理措施、责任部门、实时时间、评价措施等，应对措施：与风险、机遇相适应。无变化。</w:t>
            </w: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516"/>
        </w:trPr>
        <w:tc>
          <w:tcPr>
            <w:tcW w:w="1892" w:type="dxa"/>
            <w:vAlign w:val="center"/>
          </w:tcPr>
          <w:p w:rsidR="00E97A32" w:rsidRDefault="0083562F">
            <w:pPr>
              <w:spacing w:line="360" w:lineRule="auto"/>
              <w:jc w:val="left"/>
              <w:rPr>
                <w:rFonts w:ascii="仿宋" w:eastAsia="仿宋" w:hAnsi="仿宋" w:cs="仿宋"/>
                <w:color w:val="000000" w:themeColor="text1"/>
                <w:szCs w:val="21"/>
              </w:rPr>
            </w:pPr>
            <w:r>
              <w:rPr>
                <w:rFonts w:ascii="仿宋" w:eastAsia="仿宋" w:hAnsi="仿宋" w:cs="仿宋" w:hint="eastAsia"/>
                <w:color w:val="000000" w:themeColor="text1"/>
                <w:szCs w:val="21"/>
              </w:rPr>
              <w:t>目标</w:t>
            </w:r>
            <w:r>
              <w:rPr>
                <w:rFonts w:ascii="仿宋" w:eastAsia="仿宋" w:hAnsi="仿宋" w:cs="仿宋" w:hint="eastAsia"/>
                <w:color w:val="000000" w:themeColor="text1"/>
                <w:szCs w:val="21"/>
              </w:rPr>
              <w:t>及其实现的策划</w:t>
            </w:r>
          </w:p>
        </w:tc>
        <w:tc>
          <w:tcPr>
            <w:tcW w:w="1228" w:type="dxa"/>
            <w:vAlign w:val="center"/>
          </w:tcPr>
          <w:p w:rsidR="00E97A32" w:rsidRDefault="0083562F">
            <w:pPr>
              <w:spacing w:line="360" w:lineRule="auto"/>
              <w:jc w:val="left"/>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6.2</w:t>
            </w:r>
          </w:p>
          <w:p w:rsidR="00E97A32" w:rsidRDefault="00E97A32">
            <w:pPr>
              <w:spacing w:line="360" w:lineRule="auto"/>
              <w:jc w:val="left"/>
              <w:rPr>
                <w:rFonts w:ascii="仿宋" w:eastAsia="仿宋" w:hAnsi="仿宋" w:cs="仿宋"/>
                <w:color w:val="000000" w:themeColor="text1"/>
                <w:szCs w:val="21"/>
              </w:rPr>
            </w:pPr>
          </w:p>
        </w:tc>
        <w:tc>
          <w:tcPr>
            <w:tcW w:w="10943" w:type="dxa"/>
            <w:vAlign w:val="center"/>
          </w:tcPr>
          <w:p w:rsidR="00E97A32" w:rsidRDefault="0083562F">
            <w:pPr>
              <w:spacing w:line="360" w:lineRule="auto"/>
              <w:ind w:firstLineChars="300" w:firstLine="630"/>
              <w:rPr>
                <w:rFonts w:ascii="仿宋" w:eastAsia="仿宋" w:hAnsi="仿宋" w:cs="仿宋"/>
                <w:color w:val="000000" w:themeColor="text1"/>
                <w:szCs w:val="21"/>
              </w:rPr>
            </w:pPr>
            <w:r>
              <w:rPr>
                <w:rFonts w:ascii="仿宋" w:eastAsia="仿宋" w:hAnsi="仿宋" w:cs="仿宋" w:hint="eastAsia"/>
                <w:color w:val="000000" w:themeColor="text1"/>
                <w:szCs w:val="21"/>
              </w:rPr>
              <w:t>查《质量</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环境</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职业健康安全</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管理手册</w:t>
            </w:r>
            <w:r>
              <w:rPr>
                <w:rFonts w:ascii="仿宋" w:eastAsia="仿宋" w:hAnsi="仿宋" w:cs="仿宋" w:hint="eastAsia"/>
                <w:color w:val="000000" w:themeColor="text1"/>
                <w:szCs w:val="21"/>
              </w:rPr>
              <w:t>HD-QES-SC-2020</w:t>
            </w:r>
            <w:r>
              <w:rPr>
                <w:rFonts w:ascii="仿宋" w:eastAsia="仿宋" w:hAnsi="仿宋" w:cs="仿宋" w:hint="eastAsia"/>
                <w:color w:val="000000" w:themeColor="text1"/>
                <w:szCs w:val="21"/>
              </w:rPr>
              <w:t>》，策划并制定了质量、环境、职业健康安全目标，并在相关职能、层次和过程上建立目标考虑了适用的要求，均可测量，并与方针基本一致。目标以公告、会议形式传达、培训和内部沟通等形式进行了沟通。</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查《质量</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环境</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职业健康安全</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管理手册》，制定了公司目标没有变化：</w:t>
            </w:r>
          </w:p>
          <w:p w:rsidR="00E97A32" w:rsidRDefault="0083562F">
            <w:pPr>
              <w:spacing w:line="520" w:lineRule="exact"/>
              <w:jc w:val="left"/>
              <w:rPr>
                <w:rFonts w:ascii="仿宋" w:eastAsia="仿宋" w:hAnsi="仿宋" w:cs="仿宋"/>
                <w:color w:val="000000" w:themeColor="text1"/>
                <w:szCs w:val="21"/>
              </w:rPr>
            </w:pPr>
            <w:r>
              <w:rPr>
                <w:rFonts w:ascii="仿宋" w:eastAsia="仿宋" w:hAnsi="仿宋" w:cs="仿宋" w:hint="eastAsia"/>
                <w:color w:val="000000" w:themeColor="text1"/>
                <w:szCs w:val="21"/>
              </w:rPr>
              <w:t>固体废弃物有效处置率</w:t>
            </w:r>
            <w:r>
              <w:rPr>
                <w:rFonts w:ascii="仿宋" w:eastAsia="仿宋" w:hAnsi="仿宋" w:cs="仿宋" w:hint="eastAsia"/>
                <w:color w:val="000000" w:themeColor="text1"/>
                <w:szCs w:val="21"/>
              </w:rPr>
              <w:t>100%</w:t>
            </w:r>
            <w:r>
              <w:rPr>
                <w:rFonts w:ascii="仿宋" w:eastAsia="仿宋" w:hAnsi="仿宋" w:cs="仿宋" w:hint="eastAsia"/>
                <w:color w:val="000000" w:themeColor="text1"/>
                <w:szCs w:val="21"/>
              </w:rPr>
              <w:t>；</w:t>
            </w:r>
          </w:p>
          <w:p w:rsidR="00E97A32" w:rsidRDefault="0083562F">
            <w:pPr>
              <w:spacing w:line="520" w:lineRule="exact"/>
              <w:jc w:val="left"/>
              <w:rPr>
                <w:rFonts w:ascii="仿宋" w:eastAsia="仿宋" w:hAnsi="仿宋" w:cs="仿宋"/>
                <w:color w:val="000000" w:themeColor="text1"/>
                <w:szCs w:val="21"/>
              </w:rPr>
            </w:pPr>
            <w:r>
              <w:rPr>
                <w:rFonts w:ascii="仿宋" w:eastAsia="仿宋" w:hAnsi="仿宋" w:cs="仿宋" w:hint="eastAsia"/>
                <w:color w:val="000000" w:themeColor="text1"/>
                <w:szCs w:val="21"/>
              </w:rPr>
              <w:t>火灾发生率</w:t>
            </w:r>
            <w:r>
              <w:rPr>
                <w:rFonts w:ascii="仿宋" w:eastAsia="仿宋" w:hAnsi="仿宋" w:cs="仿宋" w:hint="eastAsia"/>
                <w:color w:val="000000" w:themeColor="text1"/>
                <w:szCs w:val="21"/>
              </w:rPr>
              <w:t>0</w:t>
            </w:r>
            <w:r>
              <w:rPr>
                <w:rFonts w:ascii="仿宋" w:eastAsia="仿宋" w:hAnsi="仿宋" w:cs="仿宋" w:hint="eastAsia"/>
                <w:color w:val="000000" w:themeColor="text1"/>
                <w:szCs w:val="21"/>
              </w:rPr>
              <w:t>；</w:t>
            </w:r>
          </w:p>
          <w:p w:rsidR="00E97A32" w:rsidRDefault="0083562F">
            <w:pPr>
              <w:spacing w:line="520" w:lineRule="exact"/>
              <w:jc w:val="left"/>
              <w:rPr>
                <w:rFonts w:ascii="仿宋" w:eastAsia="仿宋" w:hAnsi="仿宋" w:cs="仿宋"/>
                <w:color w:val="000000" w:themeColor="text1"/>
                <w:szCs w:val="21"/>
              </w:rPr>
            </w:pPr>
            <w:r>
              <w:rPr>
                <w:rFonts w:ascii="仿宋" w:eastAsia="仿宋" w:hAnsi="仿宋" w:cs="仿宋" w:hint="eastAsia"/>
                <w:color w:val="000000" w:themeColor="text1"/>
                <w:szCs w:val="21"/>
              </w:rPr>
              <w:t>触电事故发生率</w:t>
            </w:r>
            <w:r>
              <w:rPr>
                <w:rFonts w:ascii="仿宋" w:eastAsia="仿宋" w:hAnsi="仿宋" w:cs="仿宋" w:hint="eastAsia"/>
                <w:color w:val="000000" w:themeColor="text1"/>
                <w:szCs w:val="21"/>
              </w:rPr>
              <w:t>0</w:t>
            </w:r>
            <w:r>
              <w:rPr>
                <w:rFonts w:ascii="仿宋" w:eastAsia="仿宋" w:hAnsi="仿宋" w:cs="仿宋" w:hint="eastAsia"/>
                <w:color w:val="000000" w:themeColor="text1"/>
                <w:szCs w:val="21"/>
              </w:rPr>
              <w:t>；</w:t>
            </w:r>
          </w:p>
          <w:p w:rsidR="00E97A32" w:rsidRDefault="0083562F" w:rsidP="00BE3FEB">
            <w:pPr>
              <w:spacing w:line="500" w:lineRule="exact"/>
              <w:ind w:firstLineChars="98" w:firstLine="206"/>
              <w:jc w:val="left"/>
              <w:rPr>
                <w:rFonts w:ascii="仿宋" w:eastAsia="仿宋" w:hAnsi="仿宋" w:cs="仿宋"/>
                <w:color w:val="000000" w:themeColor="text1"/>
                <w:szCs w:val="21"/>
              </w:rPr>
            </w:pPr>
            <w:r>
              <w:rPr>
                <w:rFonts w:ascii="仿宋" w:eastAsia="仿宋" w:hAnsi="仿宋" w:cs="仿宋" w:hint="eastAsia"/>
                <w:color w:val="000000" w:themeColor="text1"/>
                <w:szCs w:val="21"/>
              </w:rPr>
              <w:t>人身伤害发生率</w:t>
            </w:r>
            <w:r>
              <w:rPr>
                <w:rFonts w:ascii="仿宋" w:eastAsia="仿宋" w:hAnsi="仿宋" w:cs="仿宋" w:hint="eastAsia"/>
                <w:color w:val="000000" w:themeColor="text1"/>
                <w:szCs w:val="21"/>
              </w:rPr>
              <w:t>0</w:t>
            </w:r>
            <w:r>
              <w:rPr>
                <w:rFonts w:ascii="仿宋" w:eastAsia="仿宋" w:hAnsi="仿宋" w:cs="仿宋" w:hint="eastAsia"/>
                <w:color w:val="000000" w:themeColor="text1"/>
                <w:szCs w:val="21"/>
              </w:rPr>
              <w:t>。</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组织对公司质量、环境、职业健康安全目标、指标予以分解，并在相关职能层次部门建立分目标，</w:t>
            </w:r>
          </w:p>
          <w:p w:rsidR="00E97A32" w:rsidRDefault="0083562F" w:rsidP="00BE3FEB">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查见</w:t>
            </w:r>
            <w:r>
              <w:rPr>
                <w:rFonts w:ascii="仿宋" w:eastAsia="仿宋" w:hAnsi="仿宋" w:cs="仿宋" w:hint="eastAsia"/>
                <w:color w:val="000000" w:themeColor="text1"/>
                <w:szCs w:val="21"/>
              </w:rPr>
              <w:t>202</w:t>
            </w: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w:t>
            </w:r>
            <w:r w:rsidR="00BE3FEB">
              <w:rPr>
                <w:rFonts w:ascii="仿宋" w:eastAsia="仿宋" w:hAnsi="仿宋" w:cs="仿宋" w:hint="eastAsia"/>
                <w:color w:val="000000" w:themeColor="text1"/>
                <w:szCs w:val="21"/>
              </w:rPr>
              <w:t>12</w:t>
            </w:r>
            <w:bookmarkStart w:id="0" w:name="_GoBack"/>
            <w:bookmarkEnd w:id="0"/>
            <w:r>
              <w:rPr>
                <w:rFonts w:ascii="仿宋" w:eastAsia="仿宋" w:hAnsi="仿宋" w:cs="仿宋" w:hint="eastAsia"/>
                <w:color w:val="000000" w:themeColor="text1"/>
                <w:szCs w:val="21"/>
              </w:rPr>
              <w:t>.29</w:t>
            </w:r>
            <w:r>
              <w:rPr>
                <w:rFonts w:ascii="仿宋" w:eastAsia="仿宋" w:hAnsi="仿宋" w:cs="仿宋" w:hint="eastAsia"/>
                <w:color w:val="000000" w:themeColor="text1"/>
                <w:szCs w:val="21"/>
              </w:rPr>
              <w:t>日目标指标考核，公司及部门目标能完成。</w:t>
            </w: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516"/>
        </w:trPr>
        <w:tc>
          <w:tcPr>
            <w:tcW w:w="1892" w:type="dxa"/>
            <w:vAlign w:val="center"/>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资源</w:t>
            </w:r>
          </w:p>
        </w:tc>
        <w:tc>
          <w:tcPr>
            <w:tcW w:w="1228" w:type="dxa"/>
            <w:vAlign w:val="center"/>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7.1</w:t>
            </w:r>
          </w:p>
        </w:tc>
        <w:tc>
          <w:tcPr>
            <w:tcW w:w="10943" w:type="dxa"/>
            <w:vAlign w:val="center"/>
          </w:tcPr>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公司为确保管理体系的有效运行和持续改进，为管理体系的有效运行和持续改进提供充分的资源，包括人力资源、基础设施和工作环境；还包括为增强顾客满意所必需的资源。现有员工、办公场所、办公设备等基础设施以及必要的工作环境，配备较为充分。</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总经理刘晓州主持了今年的管理评审，对方针、目标的适宜性进行了评审，管代进行了内审，确保所需资源得到满足。</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为确保公司环保、安全资金得得以保障，公司每年制定专门预算，及时提供有关资金，确保本公司各项资金及时到位，经了解组织环保、安全主要投入到固废分类处置、劳保、体检、消防、福利费用等投</w:t>
            </w:r>
            <w:r>
              <w:rPr>
                <w:rFonts w:ascii="仿宋" w:eastAsia="仿宋" w:hAnsi="仿宋" w:cs="仿宋" w:hint="eastAsia"/>
                <w:color w:val="000000" w:themeColor="text1"/>
                <w:szCs w:val="21"/>
              </w:rPr>
              <w:t>入方面。</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E97A32" w:rsidRDefault="00E97A32">
            <w:pPr>
              <w:spacing w:line="360" w:lineRule="auto"/>
              <w:ind w:firstLineChars="200" w:firstLine="420"/>
              <w:rPr>
                <w:rFonts w:ascii="仿宋" w:eastAsia="仿宋" w:hAnsi="仿宋" w:cs="仿宋"/>
                <w:color w:val="000000" w:themeColor="text1"/>
                <w:szCs w:val="21"/>
              </w:rPr>
            </w:pPr>
          </w:p>
        </w:tc>
        <w:tc>
          <w:tcPr>
            <w:tcW w:w="646"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E97A32">
        <w:trPr>
          <w:trHeight w:val="634"/>
        </w:trPr>
        <w:tc>
          <w:tcPr>
            <w:tcW w:w="1892" w:type="dxa"/>
            <w:vAlign w:val="center"/>
          </w:tcPr>
          <w:p w:rsidR="00E97A32" w:rsidRDefault="00E97A32">
            <w:pPr>
              <w:rPr>
                <w:rFonts w:ascii="仿宋" w:eastAsia="仿宋" w:hAnsi="仿宋" w:cs="仿宋"/>
                <w:color w:val="000000" w:themeColor="text1"/>
                <w:szCs w:val="21"/>
              </w:rPr>
            </w:pPr>
          </w:p>
          <w:p w:rsidR="00E97A32" w:rsidRDefault="00E97A32">
            <w:pPr>
              <w:rPr>
                <w:rFonts w:ascii="仿宋" w:eastAsia="仿宋" w:hAnsi="仿宋" w:cs="仿宋"/>
                <w:color w:val="000000" w:themeColor="text1"/>
                <w:szCs w:val="21"/>
              </w:rPr>
            </w:pPr>
          </w:p>
          <w:p w:rsidR="00E97A32" w:rsidRDefault="00E97A32">
            <w:pPr>
              <w:rPr>
                <w:rFonts w:ascii="仿宋" w:eastAsia="仿宋" w:hAnsi="仿宋" w:cs="仿宋"/>
                <w:color w:val="000000" w:themeColor="text1"/>
                <w:szCs w:val="21"/>
              </w:rPr>
            </w:pPr>
          </w:p>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信息交流、沟通、</w:t>
            </w:r>
          </w:p>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协商与参与、</w:t>
            </w:r>
          </w:p>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安全事务代表</w:t>
            </w:r>
          </w:p>
        </w:tc>
        <w:tc>
          <w:tcPr>
            <w:tcW w:w="1228" w:type="dxa"/>
            <w:vAlign w:val="center"/>
          </w:tcPr>
          <w:p w:rsidR="00E97A32" w:rsidRDefault="00E97A32">
            <w:pPr>
              <w:spacing w:line="360" w:lineRule="auto"/>
              <w:ind w:firstLineChars="200" w:firstLine="420"/>
              <w:rPr>
                <w:rFonts w:ascii="仿宋" w:eastAsia="仿宋" w:hAnsi="仿宋" w:cs="仿宋"/>
                <w:color w:val="000000" w:themeColor="text1"/>
                <w:szCs w:val="21"/>
              </w:rPr>
            </w:pPr>
          </w:p>
          <w:p w:rsidR="00E97A32" w:rsidRDefault="00E97A32">
            <w:pPr>
              <w:spacing w:line="360" w:lineRule="auto"/>
              <w:ind w:firstLineChars="200" w:firstLine="420"/>
              <w:rPr>
                <w:rFonts w:ascii="仿宋" w:eastAsia="仿宋" w:hAnsi="仿宋" w:cs="仿宋"/>
                <w:color w:val="000000" w:themeColor="text1"/>
                <w:szCs w:val="21"/>
              </w:rPr>
            </w:pPr>
          </w:p>
          <w:p w:rsidR="00E97A32" w:rsidRDefault="00E97A32">
            <w:pPr>
              <w:spacing w:line="360" w:lineRule="auto"/>
              <w:ind w:firstLineChars="200" w:firstLine="420"/>
              <w:rPr>
                <w:rFonts w:ascii="仿宋" w:eastAsia="仿宋" w:hAnsi="仿宋" w:cs="仿宋"/>
                <w:color w:val="000000" w:themeColor="text1"/>
                <w:szCs w:val="21"/>
              </w:rPr>
            </w:pP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7.4  </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5.4 </w:t>
            </w:r>
          </w:p>
        </w:tc>
        <w:tc>
          <w:tcPr>
            <w:tcW w:w="10943" w:type="dxa"/>
            <w:vAlign w:val="center"/>
          </w:tcPr>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编制了《信息交流、沟通、参与和协商控制程序》，规定：组织在各部门之间建立了与体系有关的信息通渠沟道，借助于会议、电话、口头交流等方式使全体员工达到沟通和理解。目前各部门协调一致，工作上的借口基本理顺。</w:t>
            </w:r>
          </w:p>
          <w:p w:rsidR="00E97A32" w:rsidRDefault="0083562F">
            <w:pPr>
              <w:tabs>
                <w:tab w:val="left" w:pos="9720"/>
                <w:tab w:val="left" w:pos="9900"/>
              </w:tabs>
              <w:spacing w:beforeLines="20" w:before="62" w:afterLines="20" w:after="62"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总经理刘晓州定期主持经营办公例会，分析公司的发展、市场情况和体系运行是否有效，管理目标完成情况，满足顾客要求和法规程度，改进建议等内部管理存在问题等。</w:t>
            </w:r>
            <w:r>
              <w:rPr>
                <w:rFonts w:ascii="仿宋" w:eastAsia="仿宋" w:hAnsi="仿宋" w:cs="仿宋" w:hint="eastAsia"/>
                <w:color w:val="000000" w:themeColor="text1"/>
                <w:szCs w:val="21"/>
              </w:rPr>
              <w:t xml:space="preserve">  </w:t>
            </w:r>
          </w:p>
          <w:p w:rsidR="00E97A32" w:rsidRDefault="0083562F">
            <w:pPr>
              <w:tabs>
                <w:tab w:val="left" w:pos="9720"/>
                <w:tab w:val="left" w:pos="9900"/>
              </w:tabs>
              <w:spacing w:beforeLines="20" w:before="62" w:afterLines="20" w:after="62"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总经理刘晓州为协商、参与提供了时间、机会、培训、资源等保障，明确了沟通、协商、参与渠道，消除了障碍和壁垒。</w:t>
            </w:r>
            <w:r>
              <w:rPr>
                <w:rFonts w:ascii="仿宋" w:eastAsia="仿宋" w:hAnsi="仿宋" w:cs="仿宋" w:hint="eastAsia"/>
                <w:color w:val="000000" w:themeColor="text1"/>
                <w:szCs w:val="21"/>
              </w:rPr>
              <w:t xml:space="preserve"> </w:t>
            </w:r>
          </w:p>
          <w:p w:rsidR="00E97A32" w:rsidRDefault="0083562F">
            <w:pPr>
              <w:tabs>
                <w:tab w:val="left" w:pos="9720"/>
                <w:tab w:val="left" w:pos="9900"/>
              </w:tabs>
              <w:spacing w:beforeLines="20" w:before="62" w:afterLines="20" w:after="62"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组织为各部门管理人员及非管理类工作人员明确了</w:t>
            </w:r>
            <w:r>
              <w:rPr>
                <w:rFonts w:ascii="仿宋" w:eastAsia="仿宋" w:hAnsi="仿宋" w:cs="仿宋" w:hint="eastAsia"/>
                <w:color w:val="000000" w:themeColor="text1"/>
                <w:szCs w:val="21"/>
              </w:rPr>
              <w:t>职责和权限，各部门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如有事件发生将组织相关人员适当参与事件调查，对影响管理体系的任何变更将组织相关人员进行协商并且对职业健康安全事务发表意见。</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办公室是内外部信息交流的中心，通过会议、邮件、培训等形式进行内部交流，向外部接收各种文件传递各种报表，外部沟通联络的部门有环保部门、劳动部门、消防安全部门、质监部门</w:t>
            </w:r>
            <w:r>
              <w:rPr>
                <w:rFonts w:ascii="仿宋" w:eastAsia="仿宋" w:hAnsi="仿宋" w:cs="仿宋" w:hint="eastAsia"/>
                <w:color w:val="000000" w:themeColor="text1"/>
                <w:szCs w:val="21"/>
              </w:rPr>
              <w:t>、安监部门及合同方等。</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经交流：目前与环保、劳动、消防、安监部门的信息交流主要是参加会议、接收来文、电话、邮件等，均按要求予以传达和落实，沟通情况较好。</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相关人员能够适当参与并协商办理公司经营管理及安全事务等工作。</w:t>
            </w:r>
          </w:p>
          <w:p w:rsidR="00E97A32" w:rsidRDefault="0083562F">
            <w:pPr>
              <w:tabs>
                <w:tab w:val="left" w:pos="9720"/>
                <w:tab w:val="left" w:pos="9900"/>
              </w:tabs>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公司经选举确定职业健康安全事务代表是刘玉恒，没有变化。</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）参与公司管理方针与目标的制定，及管理体系的策划。</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）参加管理评审，就公司管理体系的绩效、管理方针与目标的实施进行评价。</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w:t>
            </w:r>
            <w:r>
              <w:rPr>
                <w:rFonts w:ascii="仿宋" w:eastAsia="仿宋" w:hAnsi="仿宋" w:cs="仿宋" w:hint="eastAsia"/>
                <w:color w:val="000000" w:themeColor="text1"/>
                <w:szCs w:val="21"/>
              </w:rPr>
              <w:t>）参与讨论、评议公司拟实施的任何影响作业人员职业健康安全的变更决定。</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4</w:t>
            </w:r>
            <w:r>
              <w:rPr>
                <w:rFonts w:ascii="仿宋" w:eastAsia="仿宋" w:hAnsi="仿宋" w:cs="仿宋" w:hint="eastAsia"/>
                <w:color w:val="000000" w:themeColor="text1"/>
                <w:szCs w:val="21"/>
              </w:rPr>
              <w:t>）参与重大事故的调查、分析和处理。</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5</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接受员工对管理体系的改进意见和建议，并与有关部门进行沟通，协商解决和处理由于公司福利待遇正常发放，员工无抱怨，目前信息交流机制畅通。</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现有的沟通渠道和方法能满足要求，审核中未发现因沟通不利不及时而造成（影响）某项工作不能正常运行的情况。</w:t>
            </w:r>
          </w:p>
        </w:tc>
        <w:tc>
          <w:tcPr>
            <w:tcW w:w="646" w:type="dxa"/>
            <w:vAlign w:val="center"/>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r>
              <w:rPr>
                <w:rFonts w:ascii="仿宋" w:eastAsia="仿宋" w:hAnsi="仿宋" w:cs="仿宋" w:hint="eastAsia"/>
                <w:color w:val="000000" w:themeColor="text1"/>
                <w:szCs w:val="21"/>
              </w:rPr>
              <w:t xml:space="preserve">  </w:t>
            </w:r>
          </w:p>
        </w:tc>
      </w:tr>
      <w:tr w:rsidR="00E97A32">
        <w:trPr>
          <w:trHeight w:val="214"/>
        </w:trPr>
        <w:tc>
          <w:tcPr>
            <w:tcW w:w="1892" w:type="dxa"/>
          </w:tcPr>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83562F">
            <w:pPr>
              <w:spacing w:line="360" w:lineRule="auto"/>
              <w:ind w:firstLineChars="100" w:firstLine="210"/>
              <w:rPr>
                <w:rFonts w:ascii="仿宋" w:eastAsia="仿宋" w:hAnsi="仿宋" w:cs="仿宋"/>
                <w:color w:val="000000" w:themeColor="text1"/>
                <w:szCs w:val="21"/>
              </w:rPr>
            </w:pPr>
            <w:r>
              <w:rPr>
                <w:rFonts w:ascii="仿宋" w:eastAsia="仿宋" w:hAnsi="仿宋" w:cs="仿宋" w:hint="eastAsia"/>
                <w:color w:val="000000" w:themeColor="text1"/>
                <w:szCs w:val="21"/>
              </w:rPr>
              <w:t>管理评审</w:t>
            </w:r>
          </w:p>
          <w:p w:rsidR="00E97A32" w:rsidRDefault="00E97A32">
            <w:pPr>
              <w:spacing w:line="360" w:lineRule="auto"/>
              <w:rPr>
                <w:rFonts w:ascii="仿宋" w:eastAsia="仿宋" w:hAnsi="仿宋" w:cs="仿宋"/>
                <w:color w:val="000000" w:themeColor="text1"/>
                <w:szCs w:val="21"/>
              </w:rPr>
            </w:pPr>
          </w:p>
        </w:tc>
        <w:tc>
          <w:tcPr>
            <w:tcW w:w="1228" w:type="dxa"/>
          </w:tcPr>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9.3</w:t>
            </w:r>
          </w:p>
          <w:p w:rsidR="00E97A32" w:rsidRDefault="00E97A32">
            <w:pPr>
              <w:spacing w:line="360" w:lineRule="auto"/>
              <w:rPr>
                <w:rFonts w:ascii="仿宋" w:eastAsia="仿宋" w:hAnsi="仿宋" w:cs="仿宋"/>
                <w:color w:val="000000" w:themeColor="text1"/>
                <w:szCs w:val="21"/>
              </w:rPr>
            </w:pPr>
          </w:p>
          <w:p w:rsidR="00E97A32" w:rsidRDefault="00E97A32">
            <w:pPr>
              <w:spacing w:line="360" w:lineRule="auto"/>
              <w:rPr>
                <w:rFonts w:ascii="仿宋" w:eastAsia="仿宋" w:hAnsi="仿宋" w:cs="仿宋"/>
                <w:color w:val="000000" w:themeColor="text1"/>
                <w:szCs w:val="21"/>
              </w:rPr>
            </w:pPr>
          </w:p>
        </w:tc>
        <w:tc>
          <w:tcPr>
            <w:tcW w:w="10943" w:type="dxa"/>
            <w:vAlign w:val="center"/>
          </w:tcPr>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公司编制并实施《管理评审控制程序》，规定管理评审每年至少进行一次，根据具体情况可以增加，报管理者代表批准后实施。</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查策划：在《管理评审程序》中明确了管理评审的实施要求。策划每年进行一次管理评审，间隔不超过</w:t>
            </w:r>
            <w:r>
              <w:rPr>
                <w:rFonts w:ascii="仿宋" w:eastAsia="仿宋" w:hAnsi="仿宋" w:cs="仿宋" w:hint="eastAsia"/>
                <w:color w:val="000000" w:themeColor="text1"/>
                <w:szCs w:val="21"/>
              </w:rPr>
              <w:t>12</w:t>
            </w:r>
            <w:r>
              <w:rPr>
                <w:rFonts w:ascii="仿宋" w:eastAsia="仿宋" w:hAnsi="仿宋" w:cs="仿宋" w:hint="eastAsia"/>
                <w:color w:val="000000" w:themeColor="text1"/>
                <w:szCs w:val="21"/>
              </w:rPr>
              <w:t>个月。</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查阅最近一次公司管理评审资料，提供管理评审计划，</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评审时间：计划</w:t>
            </w:r>
            <w:r>
              <w:rPr>
                <w:rFonts w:ascii="仿宋" w:eastAsia="仿宋" w:hAnsi="仿宋" w:cs="仿宋" w:hint="eastAsia"/>
                <w:color w:val="000000" w:themeColor="text1"/>
                <w:szCs w:val="21"/>
              </w:rPr>
              <w:t>202</w:t>
            </w: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年</w:t>
            </w:r>
            <w:r>
              <w:rPr>
                <w:rFonts w:ascii="仿宋" w:eastAsia="仿宋" w:hAnsi="仿宋" w:cs="仿宋" w:hint="eastAsia"/>
                <w:color w:val="000000" w:themeColor="text1"/>
                <w:szCs w:val="21"/>
              </w:rPr>
              <w:t>8</w:t>
            </w:r>
            <w:r>
              <w:rPr>
                <w:rFonts w:ascii="仿宋" w:eastAsia="仿宋" w:hAnsi="仿宋" w:cs="仿宋" w:hint="eastAsia"/>
                <w:color w:val="000000" w:themeColor="text1"/>
                <w:szCs w:val="21"/>
              </w:rPr>
              <w:t>月</w:t>
            </w:r>
            <w:r>
              <w:rPr>
                <w:rFonts w:ascii="仿宋" w:eastAsia="仿宋" w:hAnsi="仿宋" w:cs="仿宋" w:hint="eastAsia"/>
                <w:color w:val="000000" w:themeColor="text1"/>
                <w:szCs w:val="21"/>
              </w:rPr>
              <w:t>15</w:t>
            </w:r>
            <w:r>
              <w:rPr>
                <w:rFonts w:ascii="仿宋" w:eastAsia="仿宋" w:hAnsi="仿宋" w:cs="仿宋" w:hint="eastAsia"/>
                <w:color w:val="000000" w:themeColor="text1"/>
                <w:szCs w:val="21"/>
              </w:rPr>
              <w:t>日进行，评审方式：会议评审，查《管理评审计划》，编制：</w:t>
            </w:r>
            <w:r>
              <w:rPr>
                <w:rFonts w:ascii="仿宋" w:eastAsia="仿宋" w:hAnsi="仿宋" w:cs="仿宋" w:hint="eastAsia"/>
                <w:color w:val="000000" w:themeColor="text1"/>
                <w:szCs w:val="21"/>
              </w:rPr>
              <w:t>刘玉恒</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审核</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李婷婷，批准：</w:t>
            </w:r>
            <w:r>
              <w:rPr>
                <w:rFonts w:ascii="仿宋" w:eastAsia="仿宋" w:hAnsi="仿宋" w:cs="仿宋" w:hint="eastAsia"/>
                <w:color w:val="000000" w:themeColor="text1"/>
                <w:szCs w:val="21"/>
              </w:rPr>
              <w:t>刘晓州。参加人员：总经理、管代及各部门负责人，计划中明确了评审内容和资料准备要求。</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查管理评审会议记录，日期</w:t>
            </w:r>
            <w:r>
              <w:rPr>
                <w:rFonts w:ascii="仿宋" w:eastAsia="仿宋" w:hAnsi="仿宋" w:cs="仿宋" w:hint="eastAsia"/>
                <w:color w:val="000000" w:themeColor="text1"/>
                <w:szCs w:val="21"/>
              </w:rPr>
              <w:t>202</w:t>
            </w: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年</w:t>
            </w:r>
            <w:r>
              <w:rPr>
                <w:rFonts w:ascii="仿宋" w:eastAsia="仿宋" w:hAnsi="仿宋" w:cs="仿宋" w:hint="eastAsia"/>
                <w:color w:val="000000" w:themeColor="text1"/>
                <w:szCs w:val="21"/>
              </w:rPr>
              <w:t>8</w:t>
            </w:r>
            <w:r>
              <w:rPr>
                <w:rFonts w:ascii="仿宋" w:eastAsia="仿宋" w:hAnsi="仿宋" w:cs="仿宋" w:hint="eastAsia"/>
                <w:color w:val="000000" w:themeColor="text1"/>
                <w:szCs w:val="21"/>
              </w:rPr>
              <w:t>月</w:t>
            </w:r>
            <w:r>
              <w:rPr>
                <w:rFonts w:ascii="仿宋" w:eastAsia="仿宋" w:hAnsi="仿宋" w:cs="仿宋" w:hint="eastAsia"/>
                <w:color w:val="000000" w:themeColor="text1"/>
                <w:szCs w:val="21"/>
              </w:rPr>
              <w:t>15</w:t>
            </w:r>
            <w:r>
              <w:rPr>
                <w:rFonts w:ascii="仿宋" w:eastAsia="仿宋" w:hAnsi="仿宋" w:cs="仿宋" w:hint="eastAsia"/>
                <w:color w:val="000000" w:themeColor="text1"/>
                <w:szCs w:val="21"/>
              </w:rPr>
              <w:t>日，在公司会议室，由刘晓州主持人，参加人员：管代，各部门主管。</w:t>
            </w:r>
            <w:r>
              <w:rPr>
                <w:rFonts w:ascii="仿宋" w:eastAsia="仿宋" w:hAnsi="仿宋" w:cs="仿宋" w:hint="eastAsia"/>
                <w:color w:val="000000" w:themeColor="text1"/>
                <w:szCs w:val="21"/>
              </w:rPr>
              <w:t xml:space="preserve">  </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管理评审内容包括：内审情况和合规性评价的结果；上次管理评审措施跟踪，各部门质量、环境和职业健康安全管理体系运行情况汇报；评价方针、目标、指标和三个管理体系文件的适宜性；顾客及相关方满意情况，包括抱怨；预防和纠正措状况；应急准备和响应；三体系运行监视控制情况等。</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szCs w:val="21"/>
              </w:rPr>
              <w:t>在评审会上，经过综合讨论分析就公司的管理方针和目标的贯彻、运行现状及适用性、充分性和有效性作出如下结论</w:t>
            </w:r>
            <w:r>
              <w:rPr>
                <w:rFonts w:ascii="仿宋" w:eastAsia="仿宋" w:hAnsi="仿宋" w:cs="仿宋" w:hint="eastAsia"/>
                <w:color w:val="000000" w:themeColor="text1"/>
                <w:szCs w:val="21"/>
              </w:rPr>
              <w:t>：管理体系文件运行是适宜的、充分的、有效的，方针和目标的贯彻是有效的。没有发生质量和环境、职业健康安全投诉，运行符合法律法规的要求。领导的重视为体系</w:t>
            </w:r>
            <w:r>
              <w:rPr>
                <w:rFonts w:ascii="仿宋" w:eastAsia="仿宋" w:hAnsi="仿宋" w:cs="仿宋" w:hint="eastAsia"/>
                <w:color w:val="000000" w:themeColor="text1"/>
                <w:szCs w:val="21"/>
              </w:rPr>
              <w:t>的运行创造了有利条件。为保证三体系的持续正常有效运行，对运行中存在的问题根据实际情况及时纠正。</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E97A32" w:rsidRDefault="0083562F">
            <w:pPr>
              <w:spacing w:line="360" w:lineRule="auto"/>
              <w:rPr>
                <w:rFonts w:ascii="仿宋" w:eastAsia="仿宋" w:hAnsi="仿宋" w:cs="仿宋"/>
                <w:color w:val="000000"/>
                <w:szCs w:val="21"/>
              </w:rPr>
            </w:pPr>
            <w:r>
              <w:rPr>
                <w:rFonts w:ascii="仿宋" w:eastAsia="仿宋" w:hAnsi="仿宋" w:cs="仿宋" w:hint="eastAsia"/>
                <w:color w:val="000000" w:themeColor="text1"/>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改进措施计划：</w:t>
            </w:r>
          </w:p>
          <w:p w:rsidR="00E97A32" w:rsidRDefault="0083562F">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根据管理评审结果，对发现的个性、偶然性问题，举一反三制订纠正和预防措施计划（详见附表），并按计划要求组织实施及跟踪检查验证，确保</w:t>
            </w:r>
            <w:r>
              <w:rPr>
                <w:rFonts w:ascii="仿宋" w:eastAsia="仿宋" w:hAnsi="仿宋" w:cs="仿宋" w:hint="eastAsia"/>
                <w:color w:val="000000"/>
                <w:szCs w:val="21"/>
              </w:rPr>
              <w:t>ISO9001</w:t>
            </w:r>
            <w:r>
              <w:rPr>
                <w:rFonts w:ascii="仿宋" w:eastAsia="仿宋" w:hAnsi="仿宋" w:cs="仿宋" w:hint="eastAsia"/>
                <w:color w:val="000000"/>
                <w:szCs w:val="21"/>
              </w:rPr>
              <w:t>：</w:t>
            </w:r>
            <w:r>
              <w:rPr>
                <w:rFonts w:ascii="仿宋" w:eastAsia="仿宋" w:hAnsi="仿宋" w:cs="仿宋" w:hint="eastAsia"/>
                <w:color w:val="000000"/>
                <w:szCs w:val="21"/>
              </w:rPr>
              <w:t>2015</w:t>
            </w:r>
            <w:r>
              <w:rPr>
                <w:rFonts w:ascii="仿宋" w:eastAsia="仿宋" w:hAnsi="仿宋" w:cs="仿宋" w:hint="eastAsia"/>
                <w:color w:val="000000"/>
                <w:szCs w:val="21"/>
              </w:rPr>
              <w:t>、</w:t>
            </w:r>
            <w:r>
              <w:rPr>
                <w:rFonts w:ascii="仿宋" w:eastAsia="仿宋" w:hAnsi="仿宋" w:cs="仿宋" w:hint="eastAsia"/>
                <w:color w:val="000000"/>
                <w:szCs w:val="21"/>
              </w:rPr>
              <w:t>ISO14001</w:t>
            </w:r>
            <w:r>
              <w:rPr>
                <w:rFonts w:ascii="仿宋" w:eastAsia="仿宋" w:hAnsi="仿宋" w:cs="仿宋" w:hint="eastAsia"/>
                <w:color w:val="000000"/>
                <w:szCs w:val="21"/>
              </w:rPr>
              <w:t>：</w:t>
            </w:r>
            <w:r>
              <w:rPr>
                <w:rFonts w:ascii="仿宋" w:eastAsia="仿宋" w:hAnsi="仿宋" w:cs="仿宋" w:hint="eastAsia"/>
                <w:color w:val="000000"/>
                <w:szCs w:val="21"/>
              </w:rPr>
              <w:t>2015</w:t>
            </w:r>
            <w:r>
              <w:rPr>
                <w:rFonts w:ascii="仿宋" w:eastAsia="仿宋" w:hAnsi="仿宋" w:cs="仿宋" w:hint="eastAsia"/>
                <w:color w:val="000000"/>
                <w:szCs w:val="21"/>
              </w:rPr>
              <w:t>、</w:t>
            </w:r>
            <w:r>
              <w:rPr>
                <w:rFonts w:ascii="仿宋" w:eastAsia="仿宋" w:hAnsi="仿宋" w:cs="仿宋" w:hint="eastAsia"/>
                <w:color w:val="000000"/>
                <w:szCs w:val="21"/>
              </w:rPr>
              <w:t>ISO45001:2018</w:t>
            </w:r>
            <w:r>
              <w:rPr>
                <w:rFonts w:ascii="仿宋" w:eastAsia="仿宋" w:hAnsi="仿宋" w:cs="仿宋" w:hint="eastAsia"/>
                <w:color w:val="000000"/>
                <w:szCs w:val="21"/>
              </w:rPr>
              <w:t>管理体系高质量的顺畅运行，提高公司绩效管理。</w:t>
            </w:r>
          </w:p>
          <w:p w:rsidR="00E97A32" w:rsidRDefault="0083562F">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a</w:t>
            </w:r>
            <w:r>
              <w:rPr>
                <w:rFonts w:ascii="仿宋" w:eastAsia="仿宋" w:hAnsi="仿宋" w:cs="仿宋" w:hint="eastAsia"/>
                <w:color w:val="000000"/>
                <w:szCs w:val="21"/>
              </w:rPr>
              <w:t>）加强销售业务人员电商技能培训。</w:t>
            </w:r>
          </w:p>
          <w:p w:rsidR="00E97A32" w:rsidRDefault="00E97A32">
            <w:pPr>
              <w:pStyle w:val="a0"/>
              <w:rPr>
                <w:rFonts w:ascii="仿宋" w:eastAsia="仿宋" w:hAnsi="仿宋" w:cs="仿宋"/>
                <w:szCs w:val="21"/>
              </w:rPr>
            </w:pPr>
          </w:p>
          <w:p w:rsidR="00E97A32" w:rsidRDefault="00E97A32">
            <w:pPr>
              <w:pStyle w:val="a0"/>
              <w:rPr>
                <w:rFonts w:ascii="仿宋" w:eastAsia="仿宋" w:hAnsi="仿宋" w:cs="仿宋"/>
                <w:szCs w:val="21"/>
              </w:rPr>
            </w:pPr>
          </w:p>
          <w:p w:rsidR="00E97A32" w:rsidRDefault="0083562F">
            <w:pPr>
              <w:pStyle w:val="a0"/>
              <w:rPr>
                <w:rFonts w:ascii="仿宋" w:eastAsia="仿宋" w:hAnsi="仿宋" w:cs="仿宋"/>
                <w:szCs w:val="21"/>
              </w:rPr>
            </w:pPr>
            <w:r>
              <w:rPr>
                <w:rFonts w:ascii="仿宋" w:eastAsia="仿宋" w:hAnsi="仿宋" w:cs="仿宋" w:hint="eastAsia"/>
                <w:noProof/>
                <w:szCs w:val="21"/>
              </w:rPr>
              <w:lastRenderedPageBreak/>
              <w:drawing>
                <wp:inline distT="0" distB="0" distL="114300" distR="114300">
                  <wp:extent cx="3039110" cy="2559050"/>
                  <wp:effectExtent l="0" t="0" r="8890" b="6350"/>
                  <wp:docPr id="6" name="图片 6" descr="微信图片_20230215170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2151700421"/>
                          <pic:cNvPicPr>
                            <a:picLocks noChangeAspect="1"/>
                          </pic:cNvPicPr>
                        </pic:nvPicPr>
                        <pic:blipFill>
                          <a:blip r:embed="rId8"/>
                          <a:stretch>
                            <a:fillRect/>
                          </a:stretch>
                        </pic:blipFill>
                        <pic:spPr>
                          <a:xfrm>
                            <a:off x="0" y="0"/>
                            <a:ext cx="3039110" cy="2559050"/>
                          </a:xfrm>
                          <a:prstGeom prst="rect">
                            <a:avLst/>
                          </a:prstGeom>
                        </pic:spPr>
                      </pic:pic>
                    </a:graphicData>
                  </a:graphic>
                </wp:inline>
              </w:drawing>
            </w:r>
          </w:p>
        </w:tc>
        <w:tc>
          <w:tcPr>
            <w:tcW w:w="646" w:type="dxa"/>
            <w:vAlign w:val="center"/>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E97A32">
        <w:trPr>
          <w:trHeight w:val="90"/>
        </w:trPr>
        <w:tc>
          <w:tcPr>
            <w:tcW w:w="1892" w:type="dxa"/>
            <w:vAlign w:val="center"/>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改进</w:t>
            </w:r>
          </w:p>
          <w:p w:rsidR="00E97A32" w:rsidRDefault="00E97A32">
            <w:pPr>
              <w:rPr>
                <w:rFonts w:ascii="仿宋" w:eastAsia="仿宋" w:hAnsi="仿宋" w:cs="仿宋"/>
                <w:color w:val="000000" w:themeColor="text1"/>
                <w:szCs w:val="21"/>
              </w:rPr>
            </w:pPr>
          </w:p>
        </w:tc>
        <w:tc>
          <w:tcPr>
            <w:tcW w:w="1228" w:type="dxa"/>
            <w:vAlign w:val="center"/>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10.1</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10.3</w:t>
            </w:r>
          </w:p>
          <w:p w:rsidR="00E97A32" w:rsidRDefault="00E97A32">
            <w:pPr>
              <w:rPr>
                <w:rFonts w:ascii="仿宋" w:eastAsia="仿宋" w:hAnsi="仿宋" w:cs="仿宋"/>
                <w:color w:val="000000" w:themeColor="text1"/>
                <w:szCs w:val="21"/>
              </w:rPr>
            </w:pPr>
          </w:p>
        </w:tc>
        <w:tc>
          <w:tcPr>
            <w:tcW w:w="10943" w:type="dxa"/>
            <w:vAlign w:val="center"/>
          </w:tcPr>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自体系运行以来，全员的质量意识、服务意识、环保意识、职业健康安全防护有提高，市场经营规模有了较大发展，持续改进了管理体系的有效性。</w:t>
            </w:r>
          </w:p>
        </w:tc>
        <w:tc>
          <w:tcPr>
            <w:tcW w:w="646" w:type="dxa"/>
            <w:vAlign w:val="center"/>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90"/>
        </w:trPr>
        <w:tc>
          <w:tcPr>
            <w:tcW w:w="1892"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国家</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地方抽查、顾客满意、相关方投诉处理</w:t>
            </w:r>
          </w:p>
        </w:tc>
        <w:tc>
          <w:tcPr>
            <w:tcW w:w="1228" w:type="dxa"/>
          </w:tcPr>
          <w:p w:rsidR="00E97A32" w:rsidRDefault="00E97A32">
            <w:pPr>
              <w:spacing w:line="360" w:lineRule="auto"/>
              <w:ind w:firstLineChars="200" w:firstLine="420"/>
              <w:rPr>
                <w:rFonts w:ascii="仿宋" w:eastAsia="仿宋" w:hAnsi="仿宋" w:cs="仿宋"/>
                <w:color w:val="000000" w:themeColor="text1"/>
                <w:szCs w:val="21"/>
              </w:rPr>
            </w:pPr>
          </w:p>
        </w:tc>
        <w:tc>
          <w:tcPr>
            <w:tcW w:w="10943"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自公司成立以来，未受到上级主管部门有关质量、环境问题、职业健康安全的行政处罚。未发生相关方的投诉。</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暂没有国家</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地方抽查情况。</w:t>
            </w:r>
          </w:p>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目前没有相关行政主管部门的检查处罚，在审核时也未发现抽查、相关方投诉等情况。</w:t>
            </w:r>
          </w:p>
        </w:tc>
        <w:tc>
          <w:tcPr>
            <w:tcW w:w="646" w:type="dxa"/>
            <w:vAlign w:val="center"/>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E97A32">
        <w:trPr>
          <w:trHeight w:val="214"/>
        </w:trPr>
        <w:tc>
          <w:tcPr>
            <w:tcW w:w="1892" w:type="dxa"/>
          </w:tcPr>
          <w:p w:rsidR="00E97A32" w:rsidRDefault="0083562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验证资质</w:t>
            </w:r>
          </w:p>
        </w:tc>
        <w:tc>
          <w:tcPr>
            <w:tcW w:w="1228" w:type="dxa"/>
          </w:tcPr>
          <w:p w:rsidR="00E97A32" w:rsidRDefault="00E97A32">
            <w:pPr>
              <w:spacing w:line="360" w:lineRule="auto"/>
              <w:ind w:firstLineChars="200" w:firstLine="420"/>
              <w:rPr>
                <w:rFonts w:ascii="仿宋" w:eastAsia="仿宋" w:hAnsi="仿宋" w:cs="仿宋"/>
                <w:color w:val="000000" w:themeColor="text1"/>
                <w:szCs w:val="21"/>
              </w:rPr>
            </w:pPr>
          </w:p>
        </w:tc>
        <w:tc>
          <w:tcPr>
            <w:tcW w:w="10943" w:type="dxa"/>
          </w:tcPr>
          <w:p w:rsidR="00E97A32" w:rsidRDefault="0083562F">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提供了组织营业执照均为有效。</w:t>
            </w:r>
          </w:p>
        </w:tc>
        <w:tc>
          <w:tcPr>
            <w:tcW w:w="646" w:type="dxa"/>
            <w:vAlign w:val="center"/>
          </w:tcPr>
          <w:p w:rsidR="00E97A32" w:rsidRDefault="00E97A32">
            <w:pPr>
              <w:rPr>
                <w:rFonts w:ascii="仿宋" w:eastAsia="仿宋" w:hAnsi="仿宋" w:cs="仿宋"/>
                <w:color w:val="000000" w:themeColor="text1"/>
                <w:szCs w:val="21"/>
              </w:rPr>
            </w:pPr>
          </w:p>
        </w:tc>
      </w:tr>
      <w:tr w:rsidR="00E97A32">
        <w:trPr>
          <w:trHeight w:val="288"/>
        </w:trPr>
        <w:tc>
          <w:tcPr>
            <w:tcW w:w="1892" w:type="dxa"/>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上次问题验证</w:t>
            </w:r>
          </w:p>
        </w:tc>
        <w:tc>
          <w:tcPr>
            <w:tcW w:w="1228" w:type="dxa"/>
          </w:tcPr>
          <w:p w:rsidR="00E97A32" w:rsidRDefault="00E97A32">
            <w:pPr>
              <w:rPr>
                <w:rFonts w:ascii="仿宋" w:eastAsia="仿宋" w:hAnsi="仿宋" w:cs="仿宋"/>
                <w:color w:val="000000" w:themeColor="text1"/>
                <w:szCs w:val="21"/>
              </w:rPr>
            </w:pPr>
          </w:p>
        </w:tc>
        <w:tc>
          <w:tcPr>
            <w:tcW w:w="10943" w:type="dxa"/>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上次审核时发现的问题，经现场验证已关闭，整改措施有效。</w:t>
            </w:r>
          </w:p>
        </w:tc>
        <w:tc>
          <w:tcPr>
            <w:tcW w:w="646" w:type="dxa"/>
          </w:tcPr>
          <w:p w:rsidR="00E97A32" w:rsidRDefault="00E97A32">
            <w:pPr>
              <w:spacing w:line="360" w:lineRule="auto"/>
              <w:rPr>
                <w:rFonts w:ascii="仿宋" w:eastAsia="仿宋" w:hAnsi="仿宋" w:cs="仿宋"/>
                <w:color w:val="000000" w:themeColor="text1"/>
                <w:szCs w:val="21"/>
              </w:rPr>
            </w:pPr>
          </w:p>
        </w:tc>
      </w:tr>
      <w:tr w:rsidR="00E97A32">
        <w:trPr>
          <w:trHeight w:val="288"/>
        </w:trPr>
        <w:tc>
          <w:tcPr>
            <w:tcW w:w="1892" w:type="dxa"/>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变更</w:t>
            </w:r>
          </w:p>
        </w:tc>
        <w:tc>
          <w:tcPr>
            <w:tcW w:w="1228" w:type="dxa"/>
          </w:tcPr>
          <w:p w:rsidR="00E97A32" w:rsidRDefault="00E97A32">
            <w:pPr>
              <w:rPr>
                <w:rFonts w:ascii="仿宋" w:eastAsia="仿宋" w:hAnsi="仿宋" w:cs="仿宋"/>
                <w:color w:val="000000" w:themeColor="text1"/>
                <w:szCs w:val="21"/>
              </w:rPr>
            </w:pPr>
          </w:p>
        </w:tc>
        <w:tc>
          <w:tcPr>
            <w:tcW w:w="10943" w:type="dxa"/>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无</w:t>
            </w:r>
          </w:p>
        </w:tc>
        <w:tc>
          <w:tcPr>
            <w:tcW w:w="646" w:type="dxa"/>
          </w:tcPr>
          <w:p w:rsidR="00E97A32" w:rsidRDefault="00E97A32">
            <w:pPr>
              <w:spacing w:line="360" w:lineRule="auto"/>
              <w:rPr>
                <w:rFonts w:ascii="仿宋" w:eastAsia="仿宋" w:hAnsi="仿宋" w:cs="仿宋"/>
                <w:color w:val="000000" w:themeColor="text1"/>
                <w:szCs w:val="21"/>
              </w:rPr>
            </w:pPr>
          </w:p>
        </w:tc>
      </w:tr>
      <w:tr w:rsidR="00E97A32">
        <w:trPr>
          <w:trHeight w:val="288"/>
        </w:trPr>
        <w:tc>
          <w:tcPr>
            <w:tcW w:w="1892" w:type="dxa"/>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证书及标志使用</w:t>
            </w:r>
          </w:p>
        </w:tc>
        <w:tc>
          <w:tcPr>
            <w:tcW w:w="1228" w:type="dxa"/>
          </w:tcPr>
          <w:p w:rsidR="00E97A32" w:rsidRDefault="00E97A32">
            <w:pPr>
              <w:rPr>
                <w:rFonts w:ascii="仿宋" w:eastAsia="仿宋" w:hAnsi="仿宋" w:cs="仿宋"/>
                <w:color w:val="000000" w:themeColor="text1"/>
                <w:szCs w:val="21"/>
              </w:rPr>
            </w:pPr>
          </w:p>
        </w:tc>
        <w:tc>
          <w:tcPr>
            <w:tcW w:w="10943" w:type="dxa"/>
          </w:tcPr>
          <w:p w:rsidR="00E97A32" w:rsidRDefault="0083562F">
            <w:pPr>
              <w:rPr>
                <w:rFonts w:ascii="仿宋" w:eastAsia="仿宋" w:hAnsi="仿宋" w:cs="仿宋"/>
                <w:color w:val="000000" w:themeColor="text1"/>
                <w:szCs w:val="21"/>
              </w:rPr>
            </w:pPr>
            <w:r>
              <w:rPr>
                <w:rFonts w:ascii="仿宋" w:eastAsia="仿宋" w:hAnsi="仿宋" w:cs="仿宋" w:hint="eastAsia"/>
                <w:color w:val="000000" w:themeColor="text1"/>
                <w:szCs w:val="21"/>
              </w:rPr>
              <w:t>业务洽谈和招投标时出示认证证书，未使用认证标志。</w:t>
            </w:r>
          </w:p>
        </w:tc>
        <w:tc>
          <w:tcPr>
            <w:tcW w:w="646" w:type="dxa"/>
          </w:tcPr>
          <w:p w:rsidR="00E97A32" w:rsidRDefault="00E97A32">
            <w:pPr>
              <w:spacing w:line="360" w:lineRule="auto"/>
              <w:rPr>
                <w:rFonts w:ascii="仿宋" w:eastAsia="仿宋" w:hAnsi="仿宋" w:cs="仿宋"/>
                <w:color w:val="000000" w:themeColor="text1"/>
                <w:szCs w:val="21"/>
              </w:rPr>
            </w:pPr>
          </w:p>
        </w:tc>
      </w:tr>
    </w:tbl>
    <w:p w:rsidR="00E97A32" w:rsidRDefault="0083562F">
      <w:pPr>
        <w:pStyle w:val="a6"/>
        <w:rPr>
          <w:rFonts w:ascii="仿宋" w:eastAsia="仿宋" w:hAnsi="仿宋" w:cs="仿宋"/>
          <w:sz w:val="24"/>
          <w:szCs w:val="24"/>
        </w:rPr>
      </w:pPr>
      <w:r>
        <w:rPr>
          <w:rFonts w:ascii="仿宋" w:eastAsia="仿宋" w:hAnsi="仿宋" w:cs="仿宋" w:hint="eastAsia"/>
          <w:sz w:val="24"/>
          <w:szCs w:val="24"/>
        </w:rPr>
        <w:t>说明：不符合标注</w:t>
      </w:r>
      <w:r>
        <w:rPr>
          <w:rFonts w:ascii="仿宋" w:eastAsia="仿宋" w:hAnsi="仿宋" w:cs="仿宋" w:hint="eastAsia"/>
          <w:sz w:val="24"/>
          <w:szCs w:val="24"/>
        </w:rPr>
        <w:t>N</w:t>
      </w:r>
    </w:p>
    <w:p w:rsidR="00E97A32" w:rsidRDefault="00E97A32">
      <w:pPr>
        <w:rPr>
          <w:rFonts w:ascii="仿宋" w:eastAsia="仿宋" w:hAnsi="仿宋" w:cs="仿宋"/>
        </w:rPr>
      </w:pPr>
    </w:p>
    <w:sectPr w:rsidR="00E97A32">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2F" w:rsidRDefault="0083562F">
      <w:r>
        <w:separator/>
      </w:r>
    </w:p>
  </w:endnote>
  <w:endnote w:type="continuationSeparator" w:id="0">
    <w:p w:rsidR="0083562F" w:rsidRDefault="0083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97A32" w:rsidRDefault="0083562F">
            <w:pPr>
              <w:pStyle w:val="a6"/>
              <w:jc w:val="center"/>
            </w:pPr>
            <w:r>
              <w:rPr>
                <w:b/>
                <w:sz w:val="24"/>
                <w:szCs w:val="24"/>
              </w:rPr>
              <w:fldChar w:fldCharType="begin"/>
            </w:r>
            <w:r>
              <w:rPr>
                <w:b/>
              </w:rPr>
              <w:instrText>PAGE</w:instrText>
            </w:r>
            <w:r>
              <w:rPr>
                <w:b/>
                <w:sz w:val="24"/>
                <w:szCs w:val="24"/>
              </w:rPr>
              <w:fldChar w:fldCharType="separate"/>
            </w:r>
            <w:r w:rsidR="00BE3FEB">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E3FEB">
              <w:rPr>
                <w:b/>
                <w:noProof/>
              </w:rPr>
              <w:t>9</w:t>
            </w:r>
            <w:r>
              <w:rPr>
                <w:b/>
                <w:sz w:val="24"/>
                <w:szCs w:val="24"/>
              </w:rPr>
              <w:fldChar w:fldCharType="end"/>
            </w:r>
          </w:p>
        </w:sdtContent>
      </w:sdt>
    </w:sdtContent>
  </w:sdt>
  <w:p w:rsidR="00E97A32" w:rsidRDefault="00E97A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2F" w:rsidRDefault="0083562F">
      <w:r>
        <w:separator/>
      </w:r>
    </w:p>
  </w:footnote>
  <w:footnote w:type="continuationSeparator" w:id="0">
    <w:p w:rsidR="0083562F" w:rsidRDefault="0083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32" w:rsidRDefault="0083562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rsidR="00E97A32" w:rsidRDefault="0083562F">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7A32" w:rsidRDefault="0083562F" w:rsidP="00BE3FEB">
    <w:pPr>
      <w:pStyle w:val="a7"/>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DNiN2QzZTk4YTE3NjNiM2I5OTI4Y2YxNGYyZmIifQ=="/>
  </w:docVars>
  <w:rsids>
    <w:rsidRoot w:val="005D77D3"/>
    <w:rsid w:val="001F1D2C"/>
    <w:rsid w:val="005714C6"/>
    <w:rsid w:val="005D77D3"/>
    <w:rsid w:val="006F74D0"/>
    <w:rsid w:val="0083562F"/>
    <w:rsid w:val="00A5430F"/>
    <w:rsid w:val="00A94FC2"/>
    <w:rsid w:val="00AF3BEA"/>
    <w:rsid w:val="00BE3FEB"/>
    <w:rsid w:val="00E97A32"/>
    <w:rsid w:val="00EE21D8"/>
    <w:rsid w:val="01022F1A"/>
    <w:rsid w:val="011078C7"/>
    <w:rsid w:val="013E61E2"/>
    <w:rsid w:val="01624D60"/>
    <w:rsid w:val="0172557B"/>
    <w:rsid w:val="018362EB"/>
    <w:rsid w:val="01D11448"/>
    <w:rsid w:val="022E31E6"/>
    <w:rsid w:val="0233386D"/>
    <w:rsid w:val="02445A7A"/>
    <w:rsid w:val="025B2DC4"/>
    <w:rsid w:val="0261662C"/>
    <w:rsid w:val="028D1F0F"/>
    <w:rsid w:val="032000D3"/>
    <w:rsid w:val="03C54999"/>
    <w:rsid w:val="03E65F01"/>
    <w:rsid w:val="0416753B"/>
    <w:rsid w:val="04333FF8"/>
    <w:rsid w:val="04690C83"/>
    <w:rsid w:val="053472A6"/>
    <w:rsid w:val="05DD06BF"/>
    <w:rsid w:val="0607573C"/>
    <w:rsid w:val="06420522"/>
    <w:rsid w:val="06E810D0"/>
    <w:rsid w:val="07A656A9"/>
    <w:rsid w:val="07AD01EC"/>
    <w:rsid w:val="07C66F31"/>
    <w:rsid w:val="07F84EE1"/>
    <w:rsid w:val="08513A4A"/>
    <w:rsid w:val="085F70C6"/>
    <w:rsid w:val="087D5842"/>
    <w:rsid w:val="092A7093"/>
    <w:rsid w:val="09EC5038"/>
    <w:rsid w:val="09ED2377"/>
    <w:rsid w:val="09F204B1"/>
    <w:rsid w:val="0A50772C"/>
    <w:rsid w:val="0A5E78F5"/>
    <w:rsid w:val="0A622F5F"/>
    <w:rsid w:val="0AD96F7B"/>
    <w:rsid w:val="0AE47DFA"/>
    <w:rsid w:val="0B112BB9"/>
    <w:rsid w:val="0B446AEB"/>
    <w:rsid w:val="0B6131F9"/>
    <w:rsid w:val="0B71273B"/>
    <w:rsid w:val="0C55173B"/>
    <w:rsid w:val="0CAA5073"/>
    <w:rsid w:val="0CEC1C98"/>
    <w:rsid w:val="0D026C5D"/>
    <w:rsid w:val="0D352B8F"/>
    <w:rsid w:val="0D3C74F8"/>
    <w:rsid w:val="0D6716C8"/>
    <w:rsid w:val="0D817ADE"/>
    <w:rsid w:val="0DC363ED"/>
    <w:rsid w:val="0DEB76F2"/>
    <w:rsid w:val="0E8B182E"/>
    <w:rsid w:val="0E9E29B6"/>
    <w:rsid w:val="0ED63EFE"/>
    <w:rsid w:val="0EF05C4B"/>
    <w:rsid w:val="0F364782"/>
    <w:rsid w:val="0F713C26"/>
    <w:rsid w:val="0FBA3760"/>
    <w:rsid w:val="0FF24D67"/>
    <w:rsid w:val="0FFD54BA"/>
    <w:rsid w:val="1042157B"/>
    <w:rsid w:val="1070092E"/>
    <w:rsid w:val="10CE3388"/>
    <w:rsid w:val="11052B5A"/>
    <w:rsid w:val="1122167C"/>
    <w:rsid w:val="117614BA"/>
    <w:rsid w:val="126F08F1"/>
    <w:rsid w:val="129D0258"/>
    <w:rsid w:val="12E76701"/>
    <w:rsid w:val="12F554FB"/>
    <w:rsid w:val="1424261C"/>
    <w:rsid w:val="14DC2CD6"/>
    <w:rsid w:val="14E34308"/>
    <w:rsid w:val="15086DDB"/>
    <w:rsid w:val="15923292"/>
    <w:rsid w:val="168801D3"/>
    <w:rsid w:val="16BF34C9"/>
    <w:rsid w:val="16D36F75"/>
    <w:rsid w:val="16F13135"/>
    <w:rsid w:val="1787048B"/>
    <w:rsid w:val="17BF60B6"/>
    <w:rsid w:val="17D5451B"/>
    <w:rsid w:val="17E717E0"/>
    <w:rsid w:val="18196493"/>
    <w:rsid w:val="182B350C"/>
    <w:rsid w:val="183323C1"/>
    <w:rsid w:val="185F79E5"/>
    <w:rsid w:val="18942021"/>
    <w:rsid w:val="18A219EB"/>
    <w:rsid w:val="18A32C37"/>
    <w:rsid w:val="18C96881"/>
    <w:rsid w:val="18D426C7"/>
    <w:rsid w:val="18ED2570"/>
    <w:rsid w:val="199D3FD1"/>
    <w:rsid w:val="19FD1CEF"/>
    <w:rsid w:val="1A023DF9"/>
    <w:rsid w:val="1A1F513E"/>
    <w:rsid w:val="1A635CFD"/>
    <w:rsid w:val="1A8635C8"/>
    <w:rsid w:val="1BCA6B98"/>
    <w:rsid w:val="1BDB35E8"/>
    <w:rsid w:val="1BE0460E"/>
    <w:rsid w:val="1BEA0FE8"/>
    <w:rsid w:val="1C5172BA"/>
    <w:rsid w:val="1C7669CC"/>
    <w:rsid w:val="1C973969"/>
    <w:rsid w:val="1CB17D58"/>
    <w:rsid w:val="1CB300ED"/>
    <w:rsid w:val="1CE47009"/>
    <w:rsid w:val="1DB23D3E"/>
    <w:rsid w:val="1DB25B36"/>
    <w:rsid w:val="1DC51585"/>
    <w:rsid w:val="1DFE521F"/>
    <w:rsid w:val="1E314200"/>
    <w:rsid w:val="1E890F8D"/>
    <w:rsid w:val="1F136AA8"/>
    <w:rsid w:val="1F1F71FB"/>
    <w:rsid w:val="1F740D38"/>
    <w:rsid w:val="1FBE6A14"/>
    <w:rsid w:val="205F63D2"/>
    <w:rsid w:val="20D07681"/>
    <w:rsid w:val="20F46465"/>
    <w:rsid w:val="2123389F"/>
    <w:rsid w:val="212C6029"/>
    <w:rsid w:val="21661111"/>
    <w:rsid w:val="21947BAF"/>
    <w:rsid w:val="219519F6"/>
    <w:rsid w:val="21AF0DFB"/>
    <w:rsid w:val="21CF4F08"/>
    <w:rsid w:val="226D55B8"/>
    <w:rsid w:val="22BF6717"/>
    <w:rsid w:val="2302130E"/>
    <w:rsid w:val="23231A73"/>
    <w:rsid w:val="234C2589"/>
    <w:rsid w:val="237017BB"/>
    <w:rsid w:val="238D507B"/>
    <w:rsid w:val="23CB77BA"/>
    <w:rsid w:val="24656C1B"/>
    <w:rsid w:val="247E2C16"/>
    <w:rsid w:val="24A973C7"/>
    <w:rsid w:val="24EF141E"/>
    <w:rsid w:val="24FD1D8D"/>
    <w:rsid w:val="250336C8"/>
    <w:rsid w:val="251C7F7B"/>
    <w:rsid w:val="252822E9"/>
    <w:rsid w:val="25423C43"/>
    <w:rsid w:val="25AA523A"/>
    <w:rsid w:val="25F02265"/>
    <w:rsid w:val="261F20D3"/>
    <w:rsid w:val="26792A64"/>
    <w:rsid w:val="26CB1A16"/>
    <w:rsid w:val="277976C4"/>
    <w:rsid w:val="27D05536"/>
    <w:rsid w:val="27D112AE"/>
    <w:rsid w:val="28170541"/>
    <w:rsid w:val="28454FDA"/>
    <w:rsid w:val="28615A1C"/>
    <w:rsid w:val="28A80261"/>
    <w:rsid w:val="28E74AAC"/>
    <w:rsid w:val="2A0B4F4C"/>
    <w:rsid w:val="2A1D74B6"/>
    <w:rsid w:val="2A2B114A"/>
    <w:rsid w:val="2A3B0766"/>
    <w:rsid w:val="2A685EFA"/>
    <w:rsid w:val="2A9156A2"/>
    <w:rsid w:val="2A9A1E2C"/>
    <w:rsid w:val="2AA040BA"/>
    <w:rsid w:val="2C2A302A"/>
    <w:rsid w:val="2C4209CD"/>
    <w:rsid w:val="2C772424"/>
    <w:rsid w:val="2C923B80"/>
    <w:rsid w:val="2D7D2598"/>
    <w:rsid w:val="2D85689D"/>
    <w:rsid w:val="2D8A262B"/>
    <w:rsid w:val="2E2C723F"/>
    <w:rsid w:val="2E3E2078"/>
    <w:rsid w:val="2EF82EA4"/>
    <w:rsid w:val="2F805A94"/>
    <w:rsid w:val="2FD7142C"/>
    <w:rsid w:val="2FD858D0"/>
    <w:rsid w:val="30246C81"/>
    <w:rsid w:val="31353B3B"/>
    <w:rsid w:val="31454608"/>
    <w:rsid w:val="31C205E6"/>
    <w:rsid w:val="32075FF9"/>
    <w:rsid w:val="323D71D6"/>
    <w:rsid w:val="32A72670"/>
    <w:rsid w:val="32A74481"/>
    <w:rsid w:val="32D85BE7"/>
    <w:rsid w:val="33CC5F8E"/>
    <w:rsid w:val="340C5B48"/>
    <w:rsid w:val="34A02D1D"/>
    <w:rsid w:val="34B9286C"/>
    <w:rsid w:val="34CE72A2"/>
    <w:rsid w:val="34F565DC"/>
    <w:rsid w:val="351D6D7A"/>
    <w:rsid w:val="35656432"/>
    <w:rsid w:val="35B46497"/>
    <w:rsid w:val="35FB40C6"/>
    <w:rsid w:val="365B1201"/>
    <w:rsid w:val="367D0F7F"/>
    <w:rsid w:val="36AB40E2"/>
    <w:rsid w:val="36EC6E3D"/>
    <w:rsid w:val="36F646A5"/>
    <w:rsid w:val="36FB00F6"/>
    <w:rsid w:val="373D42AF"/>
    <w:rsid w:val="37411FAD"/>
    <w:rsid w:val="37865C12"/>
    <w:rsid w:val="379522F8"/>
    <w:rsid w:val="37F742DF"/>
    <w:rsid w:val="386D0B7F"/>
    <w:rsid w:val="38807E5C"/>
    <w:rsid w:val="388F4AC7"/>
    <w:rsid w:val="38A27F9F"/>
    <w:rsid w:val="38DC2435"/>
    <w:rsid w:val="38E36B3A"/>
    <w:rsid w:val="391334D5"/>
    <w:rsid w:val="396C4294"/>
    <w:rsid w:val="397624DC"/>
    <w:rsid w:val="39A14F85"/>
    <w:rsid w:val="39FD5F33"/>
    <w:rsid w:val="3A015A23"/>
    <w:rsid w:val="3A2C579E"/>
    <w:rsid w:val="3A2D5EA0"/>
    <w:rsid w:val="3A56723A"/>
    <w:rsid w:val="3B1E3282"/>
    <w:rsid w:val="3B274D98"/>
    <w:rsid w:val="3B334302"/>
    <w:rsid w:val="3B7641EF"/>
    <w:rsid w:val="3BB371F1"/>
    <w:rsid w:val="3BCE7B87"/>
    <w:rsid w:val="3C147E29"/>
    <w:rsid w:val="3C3D6ABB"/>
    <w:rsid w:val="3C5E51C3"/>
    <w:rsid w:val="3CB40EF3"/>
    <w:rsid w:val="3D42082D"/>
    <w:rsid w:val="3D6909AC"/>
    <w:rsid w:val="3D7B789B"/>
    <w:rsid w:val="3DC21146"/>
    <w:rsid w:val="3DCA1203"/>
    <w:rsid w:val="3DFA6FA5"/>
    <w:rsid w:val="3E4072D3"/>
    <w:rsid w:val="3E575649"/>
    <w:rsid w:val="3E66679D"/>
    <w:rsid w:val="3EE71B56"/>
    <w:rsid w:val="3F0D6C18"/>
    <w:rsid w:val="3F3B5533"/>
    <w:rsid w:val="3F4A6F3D"/>
    <w:rsid w:val="3FC4377B"/>
    <w:rsid w:val="409018AF"/>
    <w:rsid w:val="41016D79"/>
    <w:rsid w:val="412F7925"/>
    <w:rsid w:val="41463C47"/>
    <w:rsid w:val="417411D1"/>
    <w:rsid w:val="418A27A2"/>
    <w:rsid w:val="41FD569A"/>
    <w:rsid w:val="42415ACC"/>
    <w:rsid w:val="42507548"/>
    <w:rsid w:val="4296435D"/>
    <w:rsid w:val="42CD1E63"/>
    <w:rsid w:val="43050C08"/>
    <w:rsid w:val="43271D54"/>
    <w:rsid w:val="43CA280D"/>
    <w:rsid w:val="43ED0597"/>
    <w:rsid w:val="44316F05"/>
    <w:rsid w:val="4436451B"/>
    <w:rsid w:val="445552E9"/>
    <w:rsid w:val="4461660D"/>
    <w:rsid w:val="44C14DFA"/>
    <w:rsid w:val="45533F2D"/>
    <w:rsid w:val="457F63EC"/>
    <w:rsid w:val="45B24076"/>
    <w:rsid w:val="45BC2AC4"/>
    <w:rsid w:val="45C73FC5"/>
    <w:rsid w:val="4674757D"/>
    <w:rsid w:val="47061B43"/>
    <w:rsid w:val="473B58A4"/>
    <w:rsid w:val="47544DFE"/>
    <w:rsid w:val="480A3EF4"/>
    <w:rsid w:val="480F1EC9"/>
    <w:rsid w:val="48141018"/>
    <w:rsid w:val="48284CFC"/>
    <w:rsid w:val="486D24D6"/>
    <w:rsid w:val="489939B2"/>
    <w:rsid w:val="48DF5182"/>
    <w:rsid w:val="498875C7"/>
    <w:rsid w:val="49C354C1"/>
    <w:rsid w:val="49D75781"/>
    <w:rsid w:val="49E54A1A"/>
    <w:rsid w:val="49EA3C1F"/>
    <w:rsid w:val="4A094FB0"/>
    <w:rsid w:val="4A1A3609"/>
    <w:rsid w:val="4A396B13"/>
    <w:rsid w:val="4A4D25BF"/>
    <w:rsid w:val="4A647922"/>
    <w:rsid w:val="4AD0206A"/>
    <w:rsid w:val="4BB903E1"/>
    <w:rsid w:val="4C0F3FD0"/>
    <w:rsid w:val="4C14361A"/>
    <w:rsid w:val="4CA26BDA"/>
    <w:rsid w:val="4CC629D5"/>
    <w:rsid w:val="4CDB65A8"/>
    <w:rsid w:val="4D0E4287"/>
    <w:rsid w:val="4D3C320F"/>
    <w:rsid w:val="4DFA5872"/>
    <w:rsid w:val="4E3272FE"/>
    <w:rsid w:val="4E630603"/>
    <w:rsid w:val="4E8567CB"/>
    <w:rsid w:val="4E99027A"/>
    <w:rsid w:val="4EA93CEC"/>
    <w:rsid w:val="4EFB4CDF"/>
    <w:rsid w:val="4F3B2459"/>
    <w:rsid w:val="4FE92D8A"/>
    <w:rsid w:val="5077632B"/>
    <w:rsid w:val="507C59AC"/>
    <w:rsid w:val="508D1E06"/>
    <w:rsid w:val="50DD28EE"/>
    <w:rsid w:val="51087240"/>
    <w:rsid w:val="510C31D4"/>
    <w:rsid w:val="514209A3"/>
    <w:rsid w:val="519A6FAF"/>
    <w:rsid w:val="51CD5E78"/>
    <w:rsid w:val="525A3ACB"/>
    <w:rsid w:val="529D0C02"/>
    <w:rsid w:val="52D675F5"/>
    <w:rsid w:val="535B5D4C"/>
    <w:rsid w:val="538F3C48"/>
    <w:rsid w:val="53B84F4D"/>
    <w:rsid w:val="53CA24C5"/>
    <w:rsid w:val="54B649B0"/>
    <w:rsid w:val="54CE3AA7"/>
    <w:rsid w:val="54F2189F"/>
    <w:rsid w:val="54FE5B32"/>
    <w:rsid w:val="55605ECC"/>
    <w:rsid w:val="55CD2D3D"/>
    <w:rsid w:val="56146F57"/>
    <w:rsid w:val="56243ACD"/>
    <w:rsid w:val="56B714EC"/>
    <w:rsid w:val="56D95B7F"/>
    <w:rsid w:val="572528F9"/>
    <w:rsid w:val="57653A97"/>
    <w:rsid w:val="57B675EE"/>
    <w:rsid w:val="57F14ED1"/>
    <w:rsid w:val="57F258D8"/>
    <w:rsid w:val="57F55B48"/>
    <w:rsid w:val="583C23E5"/>
    <w:rsid w:val="585D0514"/>
    <w:rsid w:val="585F3F28"/>
    <w:rsid w:val="5895585D"/>
    <w:rsid w:val="58B6732D"/>
    <w:rsid w:val="58D2260D"/>
    <w:rsid w:val="58F46A27"/>
    <w:rsid w:val="59407EBE"/>
    <w:rsid w:val="596C2A61"/>
    <w:rsid w:val="59BF409F"/>
    <w:rsid w:val="5A074538"/>
    <w:rsid w:val="5A0E4694"/>
    <w:rsid w:val="5A64198B"/>
    <w:rsid w:val="5A930319"/>
    <w:rsid w:val="5AB75F5E"/>
    <w:rsid w:val="5AF51585"/>
    <w:rsid w:val="5B7756EE"/>
    <w:rsid w:val="5BCA586A"/>
    <w:rsid w:val="5C515CA6"/>
    <w:rsid w:val="5C947F9F"/>
    <w:rsid w:val="5CAD7D38"/>
    <w:rsid w:val="5CE902C5"/>
    <w:rsid w:val="5D6C2870"/>
    <w:rsid w:val="5DAA1DAA"/>
    <w:rsid w:val="5DEA7F80"/>
    <w:rsid w:val="5E062D59"/>
    <w:rsid w:val="5E535813"/>
    <w:rsid w:val="5E912F6A"/>
    <w:rsid w:val="5EBD3D5F"/>
    <w:rsid w:val="5EE10C91"/>
    <w:rsid w:val="6037544B"/>
    <w:rsid w:val="60553502"/>
    <w:rsid w:val="607A3D8D"/>
    <w:rsid w:val="60912DAE"/>
    <w:rsid w:val="60AD1DFC"/>
    <w:rsid w:val="60F56A97"/>
    <w:rsid w:val="61204131"/>
    <w:rsid w:val="61814ED4"/>
    <w:rsid w:val="618C33ED"/>
    <w:rsid w:val="61A42FB4"/>
    <w:rsid w:val="62465036"/>
    <w:rsid w:val="627B1F67"/>
    <w:rsid w:val="62D56A83"/>
    <w:rsid w:val="633769A9"/>
    <w:rsid w:val="635D069E"/>
    <w:rsid w:val="637B48FF"/>
    <w:rsid w:val="63E94CAF"/>
    <w:rsid w:val="641E6E0A"/>
    <w:rsid w:val="64393E88"/>
    <w:rsid w:val="6485002B"/>
    <w:rsid w:val="649E3CEB"/>
    <w:rsid w:val="64AF7CA6"/>
    <w:rsid w:val="64BA3F18"/>
    <w:rsid w:val="65856C59"/>
    <w:rsid w:val="65D11E9E"/>
    <w:rsid w:val="66285F62"/>
    <w:rsid w:val="663A7A43"/>
    <w:rsid w:val="665A078F"/>
    <w:rsid w:val="666735ED"/>
    <w:rsid w:val="66B856C9"/>
    <w:rsid w:val="670E33AA"/>
    <w:rsid w:val="67786A75"/>
    <w:rsid w:val="680F6B7F"/>
    <w:rsid w:val="681A5D7E"/>
    <w:rsid w:val="683F57E5"/>
    <w:rsid w:val="68F16ADF"/>
    <w:rsid w:val="691E5BA6"/>
    <w:rsid w:val="69277AD1"/>
    <w:rsid w:val="695D23C7"/>
    <w:rsid w:val="69992CD3"/>
    <w:rsid w:val="69C53AC8"/>
    <w:rsid w:val="69C9180A"/>
    <w:rsid w:val="6A2829D5"/>
    <w:rsid w:val="6AAD22B4"/>
    <w:rsid w:val="6AE85CC0"/>
    <w:rsid w:val="6B0A20DA"/>
    <w:rsid w:val="6B4A616F"/>
    <w:rsid w:val="6B5B46E4"/>
    <w:rsid w:val="6B9136FA"/>
    <w:rsid w:val="6BDC1378"/>
    <w:rsid w:val="6BDF70C3"/>
    <w:rsid w:val="6BEF1186"/>
    <w:rsid w:val="6C3D4C22"/>
    <w:rsid w:val="6C8726F7"/>
    <w:rsid w:val="6C8D26AC"/>
    <w:rsid w:val="6CA9548B"/>
    <w:rsid w:val="6D0D7DE6"/>
    <w:rsid w:val="6D921C73"/>
    <w:rsid w:val="6DCE3893"/>
    <w:rsid w:val="6E494CC8"/>
    <w:rsid w:val="6E5555DC"/>
    <w:rsid w:val="6F3E67F6"/>
    <w:rsid w:val="6F5979D7"/>
    <w:rsid w:val="6FA84376"/>
    <w:rsid w:val="70087110"/>
    <w:rsid w:val="70903082"/>
    <w:rsid w:val="70D17DAD"/>
    <w:rsid w:val="71070737"/>
    <w:rsid w:val="716D5171"/>
    <w:rsid w:val="71A0360A"/>
    <w:rsid w:val="71AF7537"/>
    <w:rsid w:val="7299020E"/>
    <w:rsid w:val="72DE0805"/>
    <w:rsid w:val="735071F1"/>
    <w:rsid w:val="73702CF6"/>
    <w:rsid w:val="73B64BF6"/>
    <w:rsid w:val="74324450"/>
    <w:rsid w:val="74CE5F27"/>
    <w:rsid w:val="75610B49"/>
    <w:rsid w:val="75E33D48"/>
    <w:rsid w:val="76275304"/>
    <w:rsid w:val="76313981"/>
    <w:rsid w:val="7635209F"/>
    <w:rsid w:val="765B5EE0"/>
    <w:rsid w:val="76901DB2"/>
    <w:rsid w:val="76AF496C"/>
    <w:rsid w:val="76B4423E"/>
    <w:rsid w:val="76FB1E6F"/>
    <w:rsid w:val="77254815"/>
    <w:rsid w:val="775070C7"/>
    <w:rsid w:val="78216CB5"/>
    <w:rsid w:val="785250C1"/>
    <w:rsid w:val="787A165A"/>
    <w:rsid w:val="78882890"/>
    <w:rsid w:val="78911745"/>
    <w:rsid w:val="789D7B19"/>
    <w:rsid w:val="78E57CE3"/>
    <w:rsid w:val="78EB3317"/>
    <w:rsid w:val="79254583"/>
    <w:rsid w:val="792C3B64"/>
    <w:rsid w:val="7936053E"/>
    <w:rsid w:val="79D33FDF"/>
    <w:rsid w:val="79F0693F"/>
    <w:rsid w:val="79FF06C1"/>
    <w:rsid w:val="7A186697"/>
    <w:rsid w:val="7A2931E5"/>
    <w:rsid w:val="7A864B14"/>
    <w:rsid w:val="7A9B4AFD"/>
    <w:rsid w:val="7A9D1A43"/>
    <w:rsid w:val="7AA8546C"/>
    <w:rsid w:val="7AAD1C06"/>
    <w:rsid w:val="7AEC0927"/>
    <w:rsid w:val="7B931C78"/>
    <w:rsid w:val="7BDD535C"/>
    <w:rsid w:val="7CA659DB"/>
    <w:rsid w:val="7CAA2823"/>
    <w:rsid w:val="7CC16371"/>
    <w:rsid w:val="7CDE6F23"/>
    <w:rsid w:val="7CF46746"/>
    <w:rsid w:val="7D7358BD"/>
    <w:rsid w:val="7D8A0E59"/>
    <w:rsid w:val="7DAE00ED"/>
    <w:rsid w:val="7DE7443E"/>
    <w:rsid w:val="7E0E1A8A"/>
    <w:rsid w:val="7E3C2153"/>
    <w:rsid w:val="7E3F39F1"/>
    <w:rsid w:val="7E555ACA"/>
    <w:rsid w:val="7ECE4181"/>
    <w:rsid w:val="7EFC3D40"/>
    <w:rsid w:val="7F1F3593"/>
    <w:rsid w:val="7F9935D5"/>
    <w:rsid w:val="7F9E4FC7"/>
    <w:rsid w:val="7FC0534C"/>
    <w:rsid w:val="7FE505C8"/>
    <w:rsid w:val="7FFB7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1"/>
    <w:qFormat/>
    <w:pPr>
      <w:spacing w:before="14"/>
      <w:outlineLvl w:val="0"/>
    </w:pPr>
    <w:rPr>
      <w:rFonts w:ascii="宋体" w:hAnsi="宋体"/>
      <w:b/>
      <w:bCs/>
      <w:sz w:val="28"/>
      <w:szCs w:val="28"/>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paragraph" w:styleId="4">
    <w:name w:val="heading 4"/>
    <w:basedOn w:val="a"/>
    <w:next w:val="a1"/>
    <w:qFormat/>
    <w:pPr>
      <w:keepNext/>
      <w:widowControl/>
      <w:jc w:val="center"/>
      <w:outlineLvl w:val="3"/>
    </w:pPr>
    <w:rPr>
      <w:rFonts w:ascii="Arial Black" w:hAnsi="Arial Black"/>
      <w:kern w:val="0"/>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pPr>
      <w:spacing w:after="120"/>
    </w:pPr>
    <w:rPr>
      <w:szCs w:val="24"/>
    </w:rPr>
  </w:style>
  <w:style w:type="paragraph" w:styleId="a1">
    <w:name w:val="Normal Indent"/>
    <w:basedOn w:val="a"/>
    <w:next w:val="4"/>
    <w:qFormat/>
    <w:pPr>
      <w:adjustRightInd w:val="0"/>
      <w:spacing w:line="360" w:lineRule="atLeast"/>
      <w:ind w:left="480"/>
      <w:textAlignment w:val="baseline"/>
    </w:pPr>
    <w:rPr>
      <w:kern w:val="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table" w:styleId="a9">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338DE6"/>
      <w:u w:val="none"/>
    </w:rPr>
  </w:style>
  <w:style w:type="paragraph" w:customStyle="1" w:styleId="ab">
    <w:name w:val="表格文字"/>
    <w:basedOn w:val="a"/>
    <w:qFormat/>
    <w:pPr>
      <w:spacing w:before="25" w:after="25"/>
    </w:pPr>
    <w:rPr>
      <w:bCs/>
      <w:spacing w:val="10"/>
    </w:rPr>
  </w:style>
  <w:style w:type="paragraph" w:customStyle="1" w:styleId="20">
    <w:name w:val="正文 首行缩进:  2 字符"/>
    <w:basedOn w:val="a"/>
    <w:qFormat/>
    <w:pPr>
      <w:ind w:firstLineChars="200" w:firstLine="200"/>
    </w:pPr>
    <w:rPr>
      <w:rFonts w:cs="宋体"/>
      <w:sz w:val="24"/>
    </w:rPr>
  </w:style>
  <w:style w:type="character" w:customStyle="1" w:styleId="Char1">
    <w:name w:val="页眉 Char"/>
    <w:basedOn w:val="a2"/>
    <w:link w:val="a7"/>
    <w:uiPriority w:val="99"/>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c">
    <w:name w:val="List Paragraph"/>
    <w:basedOn w:val="a"/>
    <w:uiPriority w:val="99"/>
    <w:qFormat/>
    <w:pPr>
      <w:ind w:firstLineChars="200" w:firstLine="420"/>
    </w:pPr>
  </w:style>
  <w:style w:type="paragraph" w:styleId="ad">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1"/>
    <w:qFormat/>
    <w:pPr>
      <w:spacing w:before="14"/>
      <w:outlineLvl w:val="0"/>
    </w:pPr>
    <w:rPr>
      <w:rFonts w:ascii="宋体" w:hAnsi="宋体"/>
      <w:b/>
      <w:bCs/>
      <w:sz w:val="28"/>
      <w:szCs w:val="28"/>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paragraph" w:styleId="4">
    <w:name w:val="heading 4"/>
    <w:basedOn w:val="a"/>
    <w:next w:val="a1"/>
    <w:qFormat/>
    <w:pPr>
      <w:keepNext/>
      <w:widowControl/>
      <w:jc w:val="center"/>
      <w:outlineLvl w:val="3"/>
    </w:pPr>
    <w:rPr>
      <w:rFonts w:ascii="Arial Black" w:hAnsi="Arial Black"/>
      <w:kern w:val="0"/>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pPr>
      <w:spacing w:after="120"/>
    </w:pPr>
    <w:rPr>
      <w:szCs w:val="24"/>
    </w:rPr>
  </w:style>
  <w:style w:type="paragraph" w:styleId="a1">
    <w:name w:val="Normal Indent"/>
    <w:basedOn w:val="a"/>
    <w:next w:val="4"/>
    <w:qFormat/>
    <w:pPr>
      <w:adjustRightInd w:val="0"/>
      <w:spacing w:line="360" w:lineRule="atLeast"/>
      <w:ind w:left="480"/>
      <w:textAlignment w:val="baseline"/>
    </w:pPr>
    <w:rPr>
      <w:kern w:val="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table" w:styleId="a9">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338DE6"/>
      <w:u w:val="none"/>
    </w:rPr>
  </w:style>
  <w:style w:type="paragraph" w:customStyle="1" w:styleId="ab">
    <w:name w:val="表格文字"/>
    <w:basedOn w:val="a"/>
    <w:qFormat/>
    <w:pPr>
      <w:spacing w:before="25" w:after="25"/>
    </w:pPr>
    <w:rPr>
      <w:bCs/>
      <w:spacing w:val="10"/>
    </w:rPr>
  </w:style>
  <w:style w:type="paragraph" w:customStyle="1" w:styleId="20">
    <w:name w:val="正文 首行缩进:  2 字符"/>
    <w:basedOn w:val="a"/>
    <w:qFormat/>
    <w:pPr>
      <w:ind w:firstLineChars="200" w:firstLine="200"/>
    </w:pPr>
    <w:rPr>
      <w:rFonts w:cs="宋体"/>
      <w:sz w:val="24"/>
    </w:rPr>
  </w:style>
  <w:style w:type="character" w:customStyle="1" w:styleId="Char1">
    <w:name w:val="页眉 Char"/>
    <w:basedOn w:val="a2"/>
    <w:link w:val="a7"/>
    <w:uiPriority w:val="99"/>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c">
    <w:name w:val="List Paragraph"/>
    <w:basedOn w:val="a"/>
    <w:uiPriority w:val="99"/>
    <w:qFormat/>
    <w:pPr>
      <w:ind w:firstLineChars="200" w:firstLine="420"/>
    </w:pPr>
  </w:style>
  <w:style w:type="paragraph" w:styleId="ad">
    <w:name w:val="No Spacing"/>
    <w:uiPriority w:val="99"/>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cp:revision>
  <dcterms:created xsi:type="dcterms:W3CDTF">2023-03-02T15:15:00Z</dcterms:created>
  <dcterms:modified xsi:type="dcterms:W3CDTF">2023-03-02T15:15:00Z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