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四川乐犍再生资源回收利用有限公司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Q：12.01.06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Q：12.01.06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视频培训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宋明珠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产品工艺过程：</w:t>
            </w:r>
            <w:bookmarkStart w:id="2" w:name="_GoBack"/>
            <w:r>
              <w:rPr>
                <w:rFonts w:hint="eastAsia"/>
                <w:b/>
                <w:sz w:val="20"/>
              </w:rPr>
              <w:t>原材料（废旧塑料）—分选—清洗—破碎—熔融挤塑—切粒—入库</w:t>
            </w:r>
            <w:bookmarkEnd w:id="2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熔融挤塑为关键过程。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主要质量要求：颜色、熔融温度、塑料性能。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关键控制点：塑料熔融温度、时间。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GB/T9345.1-2008《塑料 灰分的测定 第1部分：通用方法》等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色度、灰分、熔体质量流动速率、成份等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171450</wp:posOffset>
                  </wp:positionV>
                  <wp:extent cx="722630" cy="330200"/>
                  <wp:effectExtent l="0" t="0" r="1270" b="0"/>
                  <wp:wrapNone/>
                  <wp:docPr id="8" name="图片 8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63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172085</wp:posOffset>
                  </wp:positionV>
                  <wp:extent cx="971550" cy="406400"/>
                  <wp:effectExtent l="0" t="0" r="6350" b="0"/>
                  <wp:wrapNone/>
                  <wp:docPr id="37" name="图片 37" descr="8167595353976a5f073eee1808c0a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8167595353976a5f073eee1808c0a5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2022.12.26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四川乐犍再生资源回收利用有限公司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E</w:t>
            </w:r>
            <w:r>
              <w:rPr>
                <w:b/>
                <w:sz w:val="20"/>
              </w:rPr>
              <w:t>：12.01.06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E</w:t>
            </w:r>
            <w:r>
              <w:rPr>
                <w:b/>
                <w:sz w:val="20"/>
              </w:rPr>
              <w:t>：12.01.06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视频培训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宋明珠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产品工艺过程：原材料（废旧塑料）—分选—清洗—破碎—熔融挤塑—切粒—入库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火灾、固废排放、废气排放、废水排放、噪声排放</w:t>
            </w:r>
            <w:r>
              <w:rPr>
                <w:rFonts w:hint="eastAsia"/>
                <w:b/>
                <w:sz w:val="20"/>
                <w:lang w:eastAsia="zh-CN"/>
              </w:rPr>
              <w:t>。按照管理方案及应急管理方案进行控制。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《中华人民共和国环境保护法》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《中华人民共和国水污染防治法》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《大气污染物综合排放标准》</w:t>
            </w:r>
            <w:r>
              <w:rPr>
                <w:rFonts w:hint="eastAsia"/>
                <w:b/>
                <w:sz w:val="20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highlight w:val="none"/>
                <w:lang w:eastAsia="zh-CN"/>
              </w:rPr>
              <w:t>报告编号：</w:t>
            </w:r>
            <w:r>
              <w:rPr>
                <w:rFonts w:hint="eastAsia" w:eastAsia="宋体"/>
                <w:b/>
                <w:sz w:val="20"/>
                <w:highlight w:val="none"/>
                <w:lang w:eastAsia="zh-CN"/>
              </w:rPr>
              <w:t>炯测检字(2021)第E014445号</w:t>
            </w:r>
            <w:r>
              <w:rPr>
                <w:rFonts w:hint="eastAsia"/>
                <w:b/>
                <w:sz w:val="20"/>
                <w:highlight w:val="none"/>
                <w:lang w:eastAsia="zh-CN"/>
              </w:rPr>
              <w:t>，工业废气检测。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171450</wp:posOffset>
                  </wp:positionV>
                  <wp:extent cx="722630" cy="330200"/>
                  <wp:effectExtent l="0" t="0" r="1270" b="0"/>
                  <wp:wrapNone/>
                  <wp:docPr id="11" name="图片 11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63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172085</wp:posOffset>
                  </wp:positionV>
                  <wp:extent cx="971550" cy="406400"/>
                  <wp:effectExtent l="0" t="0" r="6350" b="0"/>
                  <wp:wrapNone/>
                  <wp:docPr id="12" name="图片 12" descr="8167595353976a5f073eee1808c0a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8167595353976a5f073eee1808c0a5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2022.12.26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4EE679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718</Words>
  <Characters>740</Characters>
  <Lines>2</Lines>
  <Paragraphs>1</Paragraphs>
  <TotalTime>0</TotalTime>
  <ScaleCrop>false</ScaleCrop>
  <LinksUpToDate>false</LinksUpToDate>
  <CharactersWithSpaces>744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宋明珠</cp:lastModifiedBy>
  <dcterms:modified xsi:type="dcterms:W3CDTF">2023-01-02T17:47:11Z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2052-11.1.0.12980</vt:lpwstr>
  </property>
</Properties>
</file>