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重庆鑫盟精密模具有限公司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重庆市璧山区青杠街道新立路49号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重庆市璧山区青杠街道新立路49号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袁立荣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15823268911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t>毛贵明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1279-2022-E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3D激光咬花及精密模具、塑胶制品（笔记本外壳、打印机外壳）的生产所涉及场所的相关环境管理活动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14.02.01;17.11.03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2022年12月20日 上午至2022年12月20日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14.02.01,17.11.03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14.02.01,17.11.03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2021-N1EMS-3093634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66675</wp:posOffset>
                  </wp:positionV>
                  <wp:extent cx="815340" cy="403860"/>
                  <wp:effectExtent l="0" t="0" r="3810" b="1524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1"/>
        <w:gridCol w:w="1087"/>
        <w:gridCol w:w="556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5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563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资源；7.5.1文件化信息总则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</w:t>
            </w:r>
            <w:r>
              <w:rPr>
                <w:rFonts w:hint="eastAsia" w:ascii="宋体" w:hAnsi="宋体" w:cs="新宋体"/>
                <w:sz w:val="21"/>
                <w:szCs w:val="21"/>
              </w:rPr>
              <w:t>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重大环境事故，及顾客投诉和环境监督抽查情况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，一阶段问题验证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财务部）</w:t>
            </w:r>
          </w:p>
        </w:tc>
        <w:tc>
          <w:tcPr>
            <w:tcW w:w="5563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明利红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5.3组织的角色、职责和权限;6.2目标及其达成的策划；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7.2能力；7.3意识；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7.5文件化信息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6.1.2环境因素；6.1.3合规义务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8.1运行策划和控制；8.2应急准备和响应；9.1监视、测量、分析与评估；9.1.2符合性评估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；10.2</w:t>
            </w:r>
            <w:r>
              <w:rPr>
                <w:rFonts w:hint="eastAsia" w:ascii="宋体" w:hAnsi="宋体" w:cs="新宋体"/>
                <w:sz w:val="21"/>
                <w:szCs w:val="21"/>
              </w:rPr>
              <w:t>不符合和纠正措施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新宋体"/>
                <w:sz w:val="21"/>
                <w:szCs w:val="21"/>
              </w:rPr>
              <w:t>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制造中心</w:t>
            </w:r>
          </w:p>
        </w:tc>
        <w:tc>
          <w:tcPr>
            <w:tcW w:w="556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</w:p>
          <w:p>
            <w:pPr>
              <w:snapToGrid w:val="0"/>
              <w:spacing w:line="240" w:lineRule="exact"/>
              <w:jc w:val="both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；8.1运行策划和控制；8.2应急准备和响应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7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-1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13：00-14：30</w:t>
            </w:r>
          </w:p>
        </w:tc>
        <w:tc>
          <w:tcPr>
            <w:tcW w:w="1087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品控中心</w:t>
            </w:r>
          </w:p>
        </w:tc>
        <w:tc>
          <w:tcPr>
            <w:tcW w:w="556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明利红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6.2目标及其达成的策划；7.4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14：00-16：30</w:t>
            </w:r>
          </w:p>
        </w:tc>
        <w:tc>
          <w:tcPr>
            <w:tcW w:w="1087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技术中心</w:t>
            </w:r>
          </w:p>
        </w:tc>
        <w:tc>
          <w:tcPr>
            <w:tcW w:w="556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明利红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6.2目标及其达成的策划；7.4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6.1.2环境因素；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8.1运行策划和控制；8.2应急准备和响应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1087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营销中心</w:t>
            </w:r>
          </w:p>
        </w:tc>
        <w:tc>
          <w:tcPr>
            <w:tcW w:w="556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；8.1运行策划和控制；8.2应急准备和响应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1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0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74D5D87"/>
    <w:rsid w:val="115C0412"/>
    <w:rsid w:val="2E234680"/>
    <w:rsid w:val="33AD7074"/>
    <w:rsid w:val="6A026C57"/>
    <w:rsid w:val="6DCD106E"/>
    <w:rsid w:val="6FA57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1861</Words>
  <Characters>2701</Characters>
  <Lines>37</Lines>
  <Paragraphs>10</Paragraphs>
  <TotalTime>19</TotalTime>
  <ScaleCrop>false</ScaleCrop>
  <LinksUpToDate>false</LinksUpToDate>
  <CharactersWithSpaces>2759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2022-12-20T01:40:07Z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