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bookmarkStart w:id="0" w:name="管理者代表"/>
            <w:r>
              <w:rPr>
                <w:rFonts w:hint="eastAsia"/>
                <w:sz w:val="24"/>
                <w:szCs w:val="24"/>
              </w:rPr>
              <w:t>张元磊</w:t>
            </w:r>
            <w:bookmarkEnd w:id="0"/>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于晓娟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范玲玲   </w:t>
            </w:r>
            <w:r>
              <w:rPr>
                <w:rFonts w:hint="eastAsia"/>
                <w:sz w:val="24"/>
                <w:szCs w:val="24"/>
              </w:rPr>
              <w:t>审核时间：</w:t>
            </w:r>
            <w:bookmarkStart w:id="1" w:name="审核日期"/>
            <w:r>
              <w:t xml:space="preserve">2022年12月20日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eastAsia"/>
                <w:sz w:val="24"/>
                <w:szCs w:val="24"/>
              </w:rPr>
              <w:t>审核条款：</w:t>
            </w:r>
            <w:r>
              <w:rPr>
                <w:rFonts w:hint="default"/>
                <w:sz w:val="21"/>
                <w:szCs w:val="21"/>
                <w:lang w:val="en-US" w:eastAsia="zh-CN"/>
              </w:rPr>
              <w:t>O</w:t>
            </w:r>
            <w:r>
              <w:rPr>
                <w:rFonts w:hint="eastAsia"/>
                <w:sz w:val="21"/>
                <w:szCs w:val="21"/>
                <w:lang w:val="en-US" w:eastAsia="zh-CN"/>
              </w:rPr>
              <w:t>：</w:t>
            </w:r>
            <w:r>
              <w:rPr>
                <w:rFonts w:hint="default"/>
                <w:sz w:val="21"/>
                <w:szCs w:val="21"/>
              </w:rPr>
              <w:t>4.3/4.4/5.1/5.2/5.3/6.2</w:t>
            </w:r>
            <w:r>
              <w:rPr>
                <w:rFonts w:hint="eastAsia"/>
                <w:sz w:val="21"/>
                <w:szCs w:val="21"/>
                <w:lang w:val="en-US" w:eastAsia="zh-CN"/>
              </w:rPr>
              <w:t>/7.1/6.1.1/6.1.4</w:t>
            </w:r>
          </w:p>
          <w:p>
            <w:pPr>
              <w:rPr>
                <w:sz w:val="24"/>
                <w:szCs w:val="24"/>
              </w:rPr>
            </w:pPr>
            <w:r>
              <w:rPr>
                <w:rFonts w:hint="eastAsia" w:cs="Times New Roman"/>
                <w:color w:val="auto"/>
                <w:sz w:val="21"/>
                <w:szCs w:val="21"/>
                <w:lang w:val="en-US" w:eastAsia="zh-CN"/>
              </w:rPr>
              <w:t>QEO：4.1/4.2/9.3/</w:t>
            </w:r>
            <w:r>
              <w:rPr>
                <w:rFonts w:hint="default"/>
                <w:sz w:val="21"/>
                <w:szCs w:val="21"/>
              </w:rPr>
              <w:t>10.1/10.3</w:t>
            </w:r>
            <w:r>
              <w:rPr>
                <w:rFonts w:hint="eastAsia"/>
                <w:sz w:val="21"/>
                <w:szCs w:val="21"/>
                <w:lang w:val="en-US" w:eastAsia="zh-CN"/>
              </w:rPr>
              <w:t xml:space="preserve">    Q：7.1.1   E:7.1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vAlign w:val="top"/>
          </w:tcPr>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理解组织及其环境</w:t>
            </w:r>
          </w:p>
        </w:tc>
        <w:tc>
          <w:tcPr>
            <w:tcW w:w="960" w:type="dxa"/>
            <w:vAlign w:val="top"/>
          </w:tcPr>
          <w:p>
            <w:pPr>
              <w:adjustRightInd w:val="0"/>
              <w:snapToGrid w:val="0"/>
              <w:spacing w:line="300" w:lineRule="exac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r>
              <w:rPr>
                <w:rFonts w:hint="eastAsia" w:ascii="Times New Roman" w:hAnsi="Times New Roman" w:eastAsia="宋体" w:cs="Times New Roman"/>
                <w:sz w:val="21"/>
                <w:szCs w:val="21"/>
                <w:lang w:val="en-US" w:eastAsia="zh-CN"/>
              </w:rPr>
              <w:t>：</w:t>
            </w:r>
          </w:p>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4.1</w:t>
            </w:r>
          </w:p>
        </w:tc>
        <w:tc>
          <w:tcPr>
            <w:tcW w:w="10004" w:type="dxa"/>
            <w:vAlign w:val="top"/>
          </w:tcPr>
          <w:p>
            <w:pPr>
              <w:pStyle w:val="15"/>
              <w:rPr>
                <w:rFonts w:hint="default" w:ascii="Times New Roman" w:hAnsi="Times New Roman" w:eastAsia="宋体" w:cs="Times New Roman"/>
                <w:color w:val="000000"/>
                <w:szCs w:val="21"/>
                <w:u w:val="single"/>
                <w:lang w:val="en-US" w:eastAsia="zh-CN"/>
              </w:rPr>
            </w:pPr>
            <w:r>
              <w:rPr>
                <w:rFonts w:hint="default" w:ascii="Times New Roman" w:hAnsi="Times New Roman" w:eastAsia="宋体" w:cs="Times New Roman"/>
                <w:szCs w:val="21"/>
              </w:rPr>
              <w:t>1、</w:t>
            </w:r>
            <w:r>
              <w:rPr>
                <w:rFonts w:hint="default" w:ascii="Times New Roman" w:hAnsi="Times New Roman" w:eastAsia="宋体" w:cs="Times New Roman"/>
                <w:szCs w:val="21"/>
                <w:lang w:eastAsia="zh-CN"/>
              </w:rPr>
              <w:t>基本情况：查看了</w:t>
            </w:r>
            <w:r>
              <w:rPr>
                <w:rFonts w:hint="default" w:ascii="Times New Roman" w:hAnsi="Times New Roman" w:eastAsia="宋体" w:cs="Times New Roman"/>
                <w:szCs w:val="21"/>
              </w:rPr>
              <w:t>营业执照</w:t>
            </w:r>
            <w:r>
              <w:rPr>
                <w:rFonts w:hint="eastAsia" w:cs="Times New Roman"/>
                <w:szCs w:val="21"/>
                <w:lang w:val="en-US" w:eastAsia="zh-CN"/>
              </w:rPr>
              <w:t>扫描件</w:t>
            </w:r>
            <w:r>
              <w:rPr>
                <w:rFonts w:hint="default" w:ascii="Times New Roman" w:hAnsi="Times New Roman" w:eastAsia="宋体" w:cs="Times New Roman"/>
                <w:szCs w:val="21"/>
                <w:lang w:eastAsia="zh-CN"/>
              </w:rPr>
              <w:t>，</w:t>
            </w:r>
            <w:r>
              <w:rPr>
                <w:rFonts w:hint="default" w:ascii="Times New Roman" w:hAnsi="Times New Roman" w:eastAsia="宋体" w:cs="Times New Roman"/>
                <w:color w:val="000000"/>
                <w:kern w:val="0"/>
                <w:szCs w:val="21"/>
              </w:rPr>
              <w:t>编号</w:t>
            </w:r>
            <w:r>
              <w:rPr>
                <w:rFonts w:hint="default" w:ascii="Times New Roman" w:hAnsi="Times New Roman" w:eastAsia="宋体" w:cs="Times New Roman"/>
                <w:color w:val="000000"/>
                <w:kern w:val="0"/>
                <w:szCs w:val="21"/>
                <w:lang w:eastAsia="zh-CN"/>
              </w:rPr>
              <w:t>：</w:t>
            </w:r>
            <w:r>
              <w:rPr>
                <w:rFonts w:hint="eastAsia"/>
                <w:color w:val="000000"/>
                <w:szCs w:val="21"/>
                <w:u w:val="none"/>
              </w:rPr>
              <w:t>91130684MA07TQR C2P</w:t>
            </w:r>
            <w:r>
              <w:rPr>
                <w:rFonts w:hint="eastAsia"/>
                <w:color w:val="000000"/>
                <w:szCs w:val="21"/>
                <w:u w:val="none"/>
                <w:lang w:eastAsia="zh-CN"/>
              </w:rPr>
              <w:t>；</w:t>
            </w:r>
            <w:r>
              <w:rPr>
                <w:rFonts w:hint="eastAsia"/>
                <w:color w:val="000000"/>
                <w:szCs w:val="21"/>
              </w:rPr>
              <w:t>有效期：</w:t>
            </w:r>
            <w:r>
              <w:rPr>
                <w:rFonts w:hint="eastAsia"/>
                <w:color w:val="000000"/>
                <w:szCs w:val="21"/>
                <w:lang w:val="en-US" w:eastAsia="zh-CN"/>
              </w:rPr>
              <w:t>2016年7月21日 无期限</w:t>
            </w:r>
            <w:r>
              <w:rPr>
                <w:rFonts w:hint="default" w:ascii="Times New Roman" w:hAnsi="Times New Roman" w:eastAsia="宋体" w:cs="Times New Roman"/>
                <w:color w:val="000000"/>
                <w:kern w:val="0"/>
                <w:szCs w:val="21"/>
                <w:lang w:val="en-US" w:eastAsia="zh-CN"/>
              </w:rPr>
              <w:t>；</w:t>
            </w:r>
          </w:p>
          <w:p>
            <w:pPr>
              <w:spacing w:line="300" w:lineRule="exact"/>
              <w:rPr>
                <w:rFonts w:hint="eastAsia" w:ascii="Times New Roman" w:hAnsi="Times New Roman" w:eastAsia="宋体" w:cs="Times New Roman"/>
                <w:szCs w:val="21"/>
                <w:lang w:eastAsia="zh-CN"/>
              </w:rPr>
            </w:pPr>
            <w:r>
              <w:rPr>
                <w:rFonts w:hint="default" w:ascii="Times New Roman" w:hAnsi="Times New Roman" w:eastAsia="宋体" w:cs="Times New Roman"/>
                <w:color w:val="000000"/>
                <w:kern w:val="0"/>
                <w:szCs w:val="21"/>
              </w:rPr>
              <w:t>2、企业经营范围的相关描</w:t>
            </w:r>
            <w:r>
              <w:rPr>
                <w:rFonts w:hint="default" w:ascii="Times New Roman" w:hAnsi="Times New Roman" w:eastAsia="宋体" w:cs="Times New Roman"/>
                <w:szCs w:val="21"/>
                <w:lang w:eastAsia="zh-CN"/>
              </w:rPr>
              <w:t>述：</w:t>
            </w:r>
            <w:r>
              <w:rPr>
                <w:rFonts w:hint="eastAsia"/>
                <w:color w:val="000000"/>
                <w:szCs w:val="21"/>
              </w:rPr>
              <w:t>风机、尘器、环保设备的技术研发、设计，制作，</w:t>
            </w:r>
            <w:r>
              <w:rPr>
                <w:rFonts w:hint="eastAsia"/>
                <w:color w:val="000000"/>
                <w:szCs w:val="21"/>
                <w:lang w:val="en-US" w:eastAsia="zh-CN"/>
              </w:rPr>
              <w:t>销</w:t>
            </w:r>
            <w:r>
              <w:rPr>
                <w:rFonts w:hint="eastAsia"/>
                <w:color w:val="000000"/>
                <w:szCs w:val="21"/>
              </w:rPr>
              <w:t>售，安装维修、技术</w:t>
            </w:r>
            <w:r>
              <w:rPr>
                <w:rFonts w:hint="eastAsia"/>
                <w:color w:val="000000"/>
                <w:szCs w:val="21"/>
                <w:lang w:val="en-US" w:eastAsia="zh-CN"/>
              </w:rPr>
              <w:t>咨询</w:t>
            </w:r>
            <w:r>
              <w:rPr>
                <w:rFonts w:hint="eastAsia"/>
                <w:color w:val="000000"/>
                <w:szCs w:val="21"/>
              </w:rPr>
              <w:t>、电机、电机配件的</w:t>
            </w:r>
            <w:r>
              <w:rPr>
                <w:rFonts w:hint="eastAsia"/>
                <w:color w:val="000000"/>
                <w:szCs w:val="21"/>
                <w:lang w:val="en-US" w:eastAsia="zh-CN"/>
              </w:rPr>
              <w:t>销</w:t>
            </w:r>
            <w:r>
              <w:rPr>
                <w:rFonts w:hint="eastAsia"/>
                <w:color w:val="000000"/>
                <w:szCs w:val="21"/>
              </w:rPr>
              <w:t>售；</w:t>
            </w:r>
            <w:r>
              <w:rPr>
                <w:rFonts w:hint="eastAsia"/>
                <w:color w:val="000000"/>
                <w:szCs w:val="21"/>
                <w:lang w:val="en-US" w:eastAsia="zh-CN"/>
              </w:rPr>
              <w:t>塑</w:t>
            </w:r>
            <w:r>
              <w:rPr>
                <w:rFonts w:hint="eastAsia"/>
                <w:color w:val="000000"/>
                <w:szCs w:val="21"/>
              </w:rPr>
              <w:t>料防腐风机配套件的安装、销售，建筑工程设备租赁：废气处理设备，通风设备、净水设各、机电设备及配件、轴承、轴承座、过滤器、阀门、减速机、气体压缩机、液压元件的销售及维修。机械设备的修理。（依法须经批准的项目，经相关部门批准后方可开展经营活动）</w:t>
            </w:r>
            <w:r>
              <w:rPr>
                <w:rFonts w:hint="eastAsia"/>
                <w:color w:val="000000"/>
                <w:szCs w:val="21"/>
                <w:lang w:eastAsia="zh-CN"/>
              </w:rPr>
              <w:t>。</w:t>
            </w:r>
          </w:p>
          <w:p>
            <w:pPr>
              <w:spacing w:line="300" w:lineRule="exact"/>
              <w:rPr>
                <w:rFonts w:hint="default" w:ascii="Times New Roman" w:hAnsi="Times New Roman" w:eastAsia="宋体" w:cs="Times New Roman"/>
                <w:szCs w:val="21"/>
                <w:lang w:val="en-US" w:eastAsia="zh-CN"/>
              </w:rPr>
            </w:pPr>
            <w:r>
              <w:rPr>
                <w:rFonts w:hint="eastAsia" w:cs="Times New Roman"/>
                <w:szCs w:val="21"/>
                <w:lang w:val="en-US" w:eastAsia="zh-CN"/>
              </w:rPr>
              <w:t>注册/</w:t>
            </w:r>
            <w:r>
              <w:rPr>
                <w:rFonts w:hint="default" w:ascii="Times New Roman" w:hAnsi="Times New Roman" w:eastAsia="宋体" w:cs="Times New Roman"/>
                <w:szCs w:val="21"/>
                <w:lang w:val="en-US" w:eastAsia="zh-CN"/>
              </w:rPr>
              <w:t>经营地址：</w:t>
            </w:r>
            <w:bookmarkStart w:id="2" w:name="生产地址"/>
            <w:r>
              <w:rPr>
                <w:rFonts w:asciiTheme="minorEastAsia" w:hAnsiTheme="minorEastAsia" w:eastAsiaTheme="minorEastAsia"/>
                <w:sz w:val="20"/>
              </w:rPr>
              <w:t>河北省保定市高碑店市刘漫撒村539号</w:t>
            </w:r>
            <w:bookmarkEnd w:id="2"/>
            <w:r>
              <w:rPr>
                <w:rFonts w:hint="default" w:ascii="Times New Roman" w:hAnsi="Times New Roman" w:eastAsia="宋体" w:cs="Times New Roman"/>
                <w:szCs w:val="21"/>
                <w:lang w:val="en-US" w:eastAsia="zh-CN"/>
              </w:rPr>
              <w:t>。同审核地址。</w:t>
            </w:r>
          </w:p>
          <w:p>
            <w:pPr>
              <w:spacing w:line="3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企业介绍，经过近几年的有稳定的客户群体，主要是：</w:t>
            </w:r>
            <w:r>
              <w:rPr>
                <w:rFonts w:hint="eastAsia" w:cs="Times New Roman"/>
                <w:szCs w:val="21"/>
                <w:lang w:val="en-US" w:eastAsia="zh-CN"/>
              </w:rPr>
              <w:t>制造工业型企业等</w:t>
            </w:r>
            <w:r>
              <w:rPr>
                <w:rFonts w:hint="default" w:ascii="Times New Roman" w:hAnsi="Times New Roman" w:eastAsia="宋体" w:cs="Times New Roman"/>
                <w:szCs w:val="21"/>
                <w:lang w:val="en-US" w:eastAsia="zh-CN"/>
              </w:rPr>
              <w:t>。</w:t>
            </w:r>
          </w:p>
          <w:p>
            <w:pPr>
              <w:spacing w:line="300" w:lineRule="exac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3、</w:t>
            </w:r>
            <w:r>
              <w:rPr>
                <w:rFonts w:hint="default" w:ascii="Times New Roman" w:hAnsi="Times New Roman" w:eastAsia="宋体" w:cs="Times New Roman"/>
                <w:color w:val="000000"/>
                <w:kern w:val="0"/>
                <w:sz w:val="21"/>
                <w:szCs w:val="21"/>
                <w:lang w:val="en-US" w:eastAsia="zh-CN" w:bidi="ar-SA"/>
              </w:rPr>
              <w:t>企业目前经营状况：网上查询，无被投诉情况，无质量事故。</w:t>
            </w:r>
          </w:p>
          <w:p>
            <w:pPr>
              <w:adjustRightInd w:val="0"/>
              <w:snapToGrid w:val="0"/>
              <w:spacing w:line="300" w:lineRule="exact"/>
              <w:rPr>
                <w:rFonts w:hint="default" w:ascii="Times New Roman" w:hAnsi="Times New Roman" w:eastAsia="宋体" w:cs="Times New Roman"/>
                <w:szCs w:val="21"/>
              </w:rPr>
            </w:pPr>
            <w:r>
              <w:rPr>
                <w:rFonts w:hint="default" w:ascii="Times New Roman" w:hAnsi="Times New Roman" w:eastAsia="宋体" w:cs="Times New Roman"/>
                <w:szCs w:val="21"/>
              </w:rPr>
              <w:t>4、内部因素和外部因素：</w:t>
            </w:r>
          </w:p>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查见《管理手册》相关条款，公司最高管理者组织环境分析会，分析确定与公司宗旨、目标和战略方向相关并影响其实现质量、环境和职业健康安全预期结果的各种内部、外部问题或因素。将内部、外部问题或因素的分析结果，作为建立管理体系考虑的因素。</w:t>
            </w:r>
          </w:p>
          <w:p>
            <w:pPr>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查见《组织的内外部环境因素评审记录》，评审内容包含内外部因素，因素影响或要求的满足情况，评审结果及是否需要采取措施。</w:t>
            </w:r>
          </w:p>
          <w:p>
            <w:pPr>
              <w:pStyle w:val="15"/>
              <w:rPr>
                <w:rFonts w:hint="default" w:ascii="Times New Roman" w:hAnsi="Times New Roman" w:eastAsia="宋体" w:cs="Times New Roman"/>
                <w:bCs w:val="0"/>
                <w:spacing w:val="0"/>
                <w:kern w:val="2"/>
                <w:sz w:val="21"/>
                <w:szCs w:val="21"/>
                <w:lang w:val="en-US" w:eastAsia="zh-CN" w:bidi="ar-SA"/>
              </w:rPr>
            </w:pP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bCs w:val="0"/>
                <w:spacing w:val="0"/>
                <w:kern w:val="2"/>
                <w:sz w:val="21"/>
                <w:szCs w:val="21"/>
                <w:lang w:val="en-US" w:eastAsia="zh-CN" w:bidi="ar-SA"/>
              </w:rPr>
              <w:t xml:space="preserve"> 查外部因素主要有：国家法规要求及满足情况、顾客的层次和要求及满足情况、市场地位和营销模式、竞争者间的优劣对比、融资情况、劳动力资源优劣分析等。</w:t>
            </w:r>
          </w:p>
          <w:p>
            <w:pPr>
              <w:pStyle w:val="15"/>
              <w:rPr>
                <w:rFonts w:hint="default" w:ascii="Times New Roman" w:hAnsi="Times New Roman" w:eastAsia="宋体" w:cs="Times New Roman"/>
                <w:bCs w:val="0"/>
                <w:spacing w:val="0"/>
                <w:kern w:val="2"/>
                <w:sz w:val="21"/>
                <w:szCs w:val="21"/>
                <w:lang w:val="en-US" w:eastAsia="zh-CN" w:bidi="ar-SA"/>
              </w:rPr>
            </w:pPr>
            <w:r>
              <w:rPr>
                <w:rFonts w:hint="default" w:ascii="Times New Roman" w:hAnsi="Times New Roman" w:eastAsia="宋体" w:cs="Times New Roman"/>
                <w:bCs w:val="0"/>
                <w:spacing w:val="0"/>
                <w:kern w:val="2"/>
                <w:sz w:val="21"/>
                <w:szCs w:val="21"/>
                <w:lang w:val="en-US" w:eastAsia="zh-CN" w:bidi="ar-SA"/>
              </w:rPr>
              <w:t xml:space="preserve">   查内部主要有：财务、人员能力等。</w:t>
            </w:r>
          </w:p>
          <w:p>
            <w:pPr>
              <w:pStyle w:val="15"/>
              <w:rPr>
                <w:rFonts w:hint="default" w:ascii="Times New Roman" w:hAnsi="Times New Roman" w:eastAsia="宋体" w:cs="Times New Roman"/>
                <w:szCs w:val="21"/>
                <w:lang w:val="en-US" w:eastAsia="zh-CN"/>
              </w:rPr>
            </w:pPr>
            <w:r>
              <w:rPr>
                <w:rFonts w:hint="default" w:ascii="Times New Roman" w:hAnsi="Times New Roman" w:eastAsia="宋体" w:cs="Times New Roman"/>
                <w:bCs w:val="0"/>
                <w:spacing w:val="0"/>
                <w:kern w:val="2"/>
                <w:sz w:val="21"/>
                <w:szCs w:val="21"/>
                <w:lang w:val="en-US" w:eastAsia="zh-CN" w:bidi="ar-SA"/>
              </w:rPr>
              <w:t xml:space="preserve">   </w:t>
            </w:r>
            <w:r>
              <w:rPr>
                <w:rFonts w:hint="eastAsia" w:ascii="Times New Roman" w:hAnsi="Times New Roman" w:eastAsia="宋体" w:cs="Times New Roman"/>
                <w:bCs w:val="0"/>
                <w:spacing w:val="0"/>
                <w:kern w:val="2"/>
                <w:sz w:val="21"/>
                <w:szCs w:val="21"/>
                <w:lang w:val="en-US" w:eastAsia="zh-CN" w:bidi="ar-SA"/>
              </w:rPr>
              <w:t>张</w:t>
            </w:r>
            <w:r>
              <w:rPr>
                <w:rFonts w:hint="default" w:ascii="Times New Roman" w:hAnsi="Times New Roman" w:eastAsia="宋体" w:cs="Times New Roman"/>
                <w:bCs w:val="0"/>
                <w:spacing w:val="0"/>
                <w:kern w:val="2"/>
                <w:sz w:val="21"/>
                <w:szCs w:val="21"/>
                <w:lang w:val="en-US" w:eastAsia="zh-CN" w:bidi="ar-SA"/>
              </w:rPr>
              <w:t>总介绍，目前规模较大的同行业企业较多，产品价格、市场份额等均不占优势，目前市场竞争压力较大；此外，企业规模较小，人员较少，2022年计划进行人员招聘，扩大公司规模。</w:t>
            </w:r>
          </w:p>
          <w:p>
            <w:pPr>
              <w:adjustRightInd w:val="0"/>
              <w:snapToGrid w:val="0"/>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对这些内外部因素通过定期的网站获取、顾客沟通（总结、会议、培训等形式）及内部沟通总结等方式进行监视和评审。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理解相关方的需求和期望</w:t>
            </w:r>
          </w:p>
        </w:tc>
        <w:tc>
          <w:tcPr>
            <w:tcW w:w="960" w:type="dxa"/>
            <w:vAlign w:val="top"/>
          </w:tcPr>
          <w:p>
            <w:pPr>
              <w:adjustRightInd w:val="0"/>
              <w:snapToGrid w:val="0"/>
              <w:spacing w:line="300" w:lineRule="exact"/>
              <w:rPr>
                <w:rFonts w:hint="default"/>
                <w:lang w:eastAsia="zh-CN"/>
              </w:rPr>
            </w:pPr>
            <w:r>
              <w:rPr>
                <w:rFonts w:hint="default" w:ascii="Times New Roman" w:hAnsi="Times New Roman" w:eastAsia="宋体" w:cs="Times New Roman"/>
                <w:szCs w:val="21"/>
                <w:lang w:eastAsia="zh-CN"/>
              </w:rPr>
              <w:t>QEO</w:t>
            </w:r>
            <w:r>
              <w:rPr>
                <w:rFonts w:hint="eastAsia" w:ascii="Times New Roman" w:hAnsi="Times New Roman" w:eastAsia="宋体" w:cs="Times New Roman"/>
                <w:szCs w:val="21"/>
                <w:lang w:eastAsia="zh-CN"/>
              </w:rPr>
              <w:t>：</w:t>
            </w:r>
          </w:p>
          <w:p>
            <w:pPr>
              <w:adjustRightInd w:val="0"/>
              <w:snapToGrid w:val="0"/>
              <w:spacing w:line="300" w:lineRule="exact"/>
              <w:rPr>
                <w:rFonts w:hint="default" w:ascii="Times New Roman" w:hAnsi="Times New Roman" w:eastAsia="宋体" w:cs="Times New Roman"/>
                <w:szCs w:val="21"/>
              </w:rPr>
            </w:pPr>
            <w:r>
              <w:rPr>
                <w:rFonts w:hint="default" w:ascii="Times New Roman" w:hAnsi="Times New Roman" w:eastAsia="宋体" w:cs="Times New Roman"/>
                <w:szCs w:val="21"/>
              </w:rPr>
              <w:t xml:space="preserve">4.2 </w:t>
            </w:r>
          </w:p>
          <w:p>
            <w:pPr>
              <w:adjustRightInd w:val="0"/>
              <w:snapToGrid w:val="0"/>
              <w:spacing w:line="300" w:lineRule="exact"/>
              <w:rPr>
                <w:rFonts w:hint="default" w:ascii="Times New Roman" w:hAnsi="Times New Roman" w:eastAsia="宋体" w:cs="Times New Roman"/>
                <w:kern w:val="2"/>
                <w:sz w:val="21"/>
                <w:szCs w:val="21"/>
                <w:lang w:val="en-US" w:eastAsia="zh-CN" w:bidi="ar-SA"/>
              </w:rPr>
            </w:pPr>
          </w:p>
        </w:tc>
        <w:tc>
          <w:tcPr>
            <w:tcW w:w="10004" w:type="dxa"/>
            <w:vAlign w:val="top"/>
          </w:tcPr>
          <w:p>
            <w:pPr>
              <w:adjustRightInd w:val="0"/>
              <w:snapToGrid w:val="0"/>
              <w:spacing w:line="300" w:lineRule="exact"/>
              <w:ind w:firstLine="42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查见《管理手册》相关条款，由</w:t>
            </w:r>
            <w:r>
              <w:rPr>
                <w:rFonts w:hint="default" w:ascii="Times New Roman" w:hAnsi="Times New Roman" w:eastAsia="宋体" w:cs="Times New Roman"/>
                <w:szCs w:val="21"/>
                <w:lang w:eastAsia="zh-CN"/>
              </w:rPr>
              <w:t>办公室每年确定与质量、环境和职业健康安全管理体系有关的相关方，</w:t>
            </w:r>
            <w:r>
              <w:rPr>
                <w:rFonts w:hint="default" w:ascii="Times New Roman" w:hAnsi="Times New Roman" w:eastAsia="宋体" w:cs="Times New Roman"/>
                <w:szCs w:val="21"/>
                <w:lang w:val="en-US" w:eastAsia="zh-CN"/>
              </w:rPr>
              <w:t>分析了企业</w:t>
            </w:r>
            <w:r>
              <w:rPr>
                <w:rFonts w:hint="default" w:ascii="Times New Roman" w:hAnsi="Times New Roman" w:eastAsia="宋体" w:cs="Times New Roman"/>
                <w:szCs w:val="21"/>
                <w:lang w:eastAsia="zh-CN"/>
              </w:rPr>
              <w:t>以下相关方：a) 直接顾客； b) 外部提供方； 公司的相关方主要包括：顾客、供方、政府机构、员工、竞争对手、员工</w:t>
            </w:r>
            <w:r>
              <w:rPr>
                <w:rFonts w:hint="default" w:ascii="Times New Roman" w:hAnsi="Times New Roman" w:eastAsia="宋体" w:cs="Times New Roman"/>
                <w:szCs w:val="21"/>
              </w:rPr>
              <w:t>等</w:t>
            </w:r>
          </w:p>
          <w:p>
            <w:pPr>
              <w:adjustRightInd w:val="0"/>
              <w:snapToGrid w:val="0"/>
              <w:spacing w:line="300" w:lineRule="exact"/>
              <w:ind w:firstLine="42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eastAsia="zh-CN"/>
              </w:rPr>
              <w:t>查见《相关方的需求和期望清单》，评审了相关方的需求及监视指标，</w:t>
            </w:r>
          </w:p>
          <w:p>
            <w:pPr>
              <w:adjustRightInd w:val="0"/>
              <w:snapToGrid w:val="0"/>
              <w:spacing w:line="30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lang w:eastAsia="zh-CN"/>
              </w:rPr>
              <w:t>——抽顾客期望</w:t>
            </w:r>
            <w:r>
              <w:rPr>
                <w:rFonts w:hint="default" w:ascii="Times New Roman" w:hAnsi="Times New Roman" w:eastAsia="宋体" w:cs="Times New Roman"/>
                <w:szCs w:val="21"/>
              </w:rPr>
              <w:t>：产品质量、环保、安全符合顾客要求，无安全事故，无环保事故</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提供寿命长，环保效果好、安全系数高的产品</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按时交货</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价格合理</w:t>
            </w:r>
            <w:r>
              <w:rPr>
                <w:rFonts w:hint="default" w:ascii="Times New Roman" w:hAnsi="Times New Roman" w:eastAsia="宋体" w:cs="Times New Roman"/>
                <w:szCs w:val="21"/>
                <w:lang w:eastAsia="zh-CN"/>
              </w:rPr>
              <w:t>。监视指标：顾客满意度</w:t>
            </w:r>
            <w:r>
              <w:rPr>
                <w:rFonts w:hint="default" w:ascii="Times New Roman" w:hAnsi="Times New Roman" w:eastAsia="宋体" w:cs="Times New Roman"/>
                <w:szCs w:val="21"/>
              </w:rPr>
              <w:t>；</w:t>
            </w:r>
          </w:p>
          <w:p>
            <w:pPr>
              <w:adjustRightInd w:val="0"/>
              <w:snapToGrid w:val="0"/>
              <w:spacing w:line="300" w:lineRule="exact"/>
              <w:ind w:firstLine="42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——抽</w:t>
            </w:r>
            <w:r>
              <w:rPr>
                <w:rFonts w:hint="default" w:ascii="Times New Roman" w:hAnsi="Times New Roman" w:eastAsia="宋体" w:cs="Times New Roman"/>
                <w:szCs w:val="21"/>
              </w:rPr>
              <w:t>政府</w:t>
            </w:r>
            <w:r>
              <w:rPr>
                <w:rFonts w:hint="default" w:ascii="Times New Roman" w:hAnsi="Times New Roman" w:eastAsia="宋体" w:cs="Times New Roman"/>
                <w:szCs w:val="21"/>
                <w:lang w:eastAsia="zh-CN"/>
              </w:rPr>
              <w:t>监管机构</w:t>
            </w:r>
            <w:r>
              <w:rPr>
                <w:rFonts w:hint="default" w:ascii="Times New Roman" w:hAnsi="Times New Roman" w:eastAsia="宋体" w:cs="Times New Roman"/>
                <w:szCs w:val="21"/>
              </w:rPr>
              <w:t>：安全经营，无安全事故</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环保经营，无环保事故</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产品质量合格</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及时交税、无偷税漏税</w:t>
            </w:r>
            <w:r>
              <w:rPr>
                <w:rFonts w:hint="default" w:ascii="Times New Roman" w:hAnsi="Times New Roman" w:eastAsia="宋体" w:cs="Times New Roman"/>
                <w:szCs w:val="21"/>
                <w:lang w:eastAsia="zh-CN"/>
              </w:rPr>
              <w:t>。监视指标：无安全事故，无环保事故，产品质量合格，及时交税、无偷税漏税；</w:t>
            </w:r>
          </w:p>
          <w:p>
            <w:pPr>
              <w:adjustRightInd w:val="0"/>
              <w:snapToGrid w:val="0"/>
              <w:spacing w:line="300" w:lineRule="exact"/>
              <w:ind w:firstLine="42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rPr>
              <w:t>另</w:t>
            </w:r>
            <w:r>
              <w:rPr>
                <w:rFonts w:hint="default" w:ascii="Times New Roman" w:hAnsi="Times New Roman" w:eastAsia="宋体" w:cs="Times New Roman"/>
                <w:szCs w:val="21"/>
                <w:lang w:eastAsia="zh-CN"/>
              </w:rPr>
              <w:t>查</w:t>
            </w:r>
            <w:r>
              <w:rPr>
                <w:rFonts w:hint="default" w:ascii="Times New Roman" w:hAnsi="Times New Roman" w:eastAsia="宋体" w:cs="Times New Roman"/>
                <w:szCs w:val="21"/>
              </w:rPr>
              <w:t>其他相关方</w:t>
            </w:r>
            <w:r>
              <w:rPr>
                <w:rFonts w:hint="default" w:ascii="Times New Roman" w:hAnsi="Times New Roman" w:eastAsia="宋体" w:cs="Times New Roman"/>
                <w:szCs w:val="21"/>
                <w:lang w:eastAsia="zh-CN"/>
              </w:rPr>
              <w:t>评审了其</w:t>
            </w:r>
            <w:r>
              <w:rPr>
                <w:rFonts w:hint="default" w:ascii="Times New Roman" w:hAnsi="Times New Roman" w:eastAsia="宋体" w:cs="Times New Roman"/>
                <w:szCs w:val="21"/>
              </w:rPr>
              <w:t>需求，</w:t>
            </w:r>
            <w:r>
              <w:rPr>
                <w:rFonts w:hint="default" w:ascii="Times New Roman" w:hAnsi="Times New Roman" w:eastAsia="宋体" w:cs="Times New Roman"/>
                <w:szCs w:val="21"/>
                <w:lang w:eastAsia="zh-CN"/>
              </w:rPr>
              <w:t>建立了检测指标，</w:t>
            </w:r>
            <w:r>
              <w:rPr>
                <w:rFonts w:hint="default" w:ascii="Times New Roman" w:hAnsi="Times New Roman" w:eastAsia="宋体" w:cs="Times New Roman"/>
                <w:szCs w:val="21"/>
              </w:rPr>
              <w:t>符合要求。</w:t>
            </w:r>
            <w:r>
              <w:rPr>
                <w:rFonts w:hint="default" w:ascii="Times New Roman" w:hAnsi="Times New Roman" w:eastAsia="宋体" w:cs="Times New Roman"/>
                <w:szCs w:val="21"/>
                <w:lang w:eastAsia="zh-CN"/>
              </w:rPr>
              <w:t>制定了《相关方管理制度》，用于对相关方施加影响和管理。</w:t>
            </w:r>
          </w:p>
          <w:p>
            <w:pPr>
              <w:adjustRightInd w:val="0"/>
              <w:snapToGrid w:val="0"/>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目前企业未发生处罚、相关方投诉事件</w:t>
            </w:r>
            <w:r>
              <w:rPr>
                <w:rFonts w:hint="default" w:ascii="Times New Roman" w:hAnsi="Times New Roman" w:eastAsia="宋体" w:cs="Times New Roman"/>
                <w:szCs w:val="21"/>
                <w:lang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确定管理体系的范围</w:t>
            </w:r>
          </w:p>
        </w:tc>
        <w:tc>
          <w:tcPr>
            <w:tcW w:w="960" w:type="dxa"/>
            <w:vAlign w:val="top"/>
          </w:tcPr>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O</w:t>
            </w:r>
            <w:r>
              <w:rPr>
                <w:rFonts w:hint="eastAsia" w:ascii="Times New Roman" w:hAnsi="Times New Roman" w:eastAsia="宋体" w:cs="Times New Roman"/>
                <w:szCs w:val="21"/>
                <w:lang w:eastAsia="zh-CN"/>
              </w:rPr>
              <w:t>：</w:t>
            </w:r>
          </w:p>
          <w:p>
            <w:pPr>
              <w:adjustRightInd w:val="0"/>
              <w:snapToGrid w:val="0"/>
              <w:spacing w:line="300" w:lineRule="exact"/>
              <w:rPr>
                <w:rFonts w:hint="default" w:ascii="Times New Roman" w:hAnsi="Times New Roman" w:eastAsia="宋体" w:cs="Times New Roman"/>
                <w:szCs w:val="21"/>
              </w:rPr>
            </w:pPr>
            <w:r>
              <w:rPr>
                <w:rFonts w:hint="default" w:ascii="Times New Roman" w:hAnsi="Times New Roman" w:eastAsia="宋体" w:cs="Times New Roman"/>
                <w:szCs w:val="21"/>
              </w:rPr>
              <w:t>4.3</w:t>
            </w:r>
          </w:p>
          <w:p>
            <w:pPr>
              <w:adjustRightInd w:val="0"/>
              <w:snapToGrid w:val="0"/>
              <w:spacing w:line="300" w:lineRule="exact"/>
              <w:rPr>
                <w:rFonts w:hint="default" w:ascii="Times New Roman" w:hAnsi="Times New Roman" w:eastAsia="宋体" w:cs="Times New Roman"/>
                <w:kern w:val="2"/>
                <w:sz w:val="21"/>
                <w:szCs w:val="21"/>
                <w:lang w:val="en-US" w:eastAsia="zh-CN" w:bidi="ar-SA"/>
              </w:rPr>
            </w:pPr>
          </w:p>
        </w:tc>
        <w:tc>
          <w:tcPr>
            <w:tcW w:w="10004" w:type="dxa"/>
            <w:vAlign w:val="top"/>
          </w:tcPr>
          <w:p>
            <w:pPr>
              <w:spacing w:line="3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查见公司《管理手册》，发布实施时间：2022年</w:t>
            </w: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lang w:val="en-US" w:eastAsia="zh-CN"/>
              </w:rPr>
              <w:t>月</w:t>
            </w:r>
            <w:r>
              <w:rPr>
                <w:rFonts w:hint="eastAsia" w:cs="Times New Roman"/>
                <w:szCs w:val="21"/>
                <w:lang w:val="en-US" w:eastAsia="zh-CN"/>
              </w:rPr>
              <w:t>1</w:t>
            </w:r>
            <w:r>
              <w:rPr>
                <w:rFonts w:hint="default" w:ascii="Times New Roman" w:hAnsi="Times New Roman" w:eastAsia="宋体" w:cs="Times New Roman"/>
                <w:szCs w:val="21"/>
                <w:lang w:val="en-US" w:eastAsia="zh-CN"/>
              </w:rPr>
              <w:t>日。确定了管理体系的范围及边界。管理手册中明确了体系的范围，管理手册可获得并得到保持，查文件发放回收记录，有发放记录，有签收人签名。</w:t>
            </w:r>
          </w:p>
          <w:p>
            <w:pPr>
              <w:widowControl/>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color w:val="000000"/>
                <w:kern w:val="0"/>
                <w:szCs w:val="21"/>
              </w:rPr>
              <w:t>公</w:t>
            </w:r>
            <w:r>
              <w:rPr>
                <w:rFonts w:hint="default" w:ascii="Times New Roman" w:hAnsi="Times New Roman" w:eastAsia="宋体" w:cs="Times New Roman"/>
                <w:szCs w:val="21"/>
              </w:rPr>
              <w:t>司</w:t>
            </w:r>
            <w:r>
              <w:rPr>
                <w:rFonts w:hint="eastAsia" w:ascii="Times New Roman" w:hAnsi="Times New Roman" w:eastAsia="宋体" w:cs="Times New Roman"/>
                <w:szCs w:val="21"/>
                <w:lang w:val="en-US" w:eastAsia="zh-CN"/>
              </w:rPr>
              <w:t>管理体系</w:t>
            </w:r>
            <w:r>
              <w:rPr>
                <w:rFonts w:hint="default" w:ascii="Times New Roman" w:hAnsi="Times New Roman" w:eastAsia="宋体" w:cs="Times New Roman"/>
                <w:szCs w:val="21"/>
              </w:rPr>
              <w:t>范围是：</w:t>
            </w:r>
          </w:p>
          <w:p>
            <w:pPr>
              <w:pStyle w:val="15"/>
              <w:adjustRightInd w:val="0"/>
              <w:snapToGrid w:val="0"/>
              <w:spacing w:before="0" w:after="0" w:line="300" w:lineRule="exact"/>
              <w:rPr>
                <w:sz w:val="20"/>
              </w:rPr>
            </w:pPr>
            <w:r>
              <w:rPr>
                <w:sz w:val="21"/>
                <w:szCs w:val="21"/>
              </w:rPr>
              <w:t>O：</w:t>
            </w:r>
            <w:r>
              <w:rPr>
                <w:sz w:val="20"/>
              </w:rPr>
              <w:t>风机、工业除尘器、环保设备（消音器）的生产所涉及场所的相关职业健康安全管理活动</w:t>
            </w:r>
          </w:p>
          <w:p>
            <w:pPr>
              <w:pStyle w:val="15"/>
              <w:adjustRightInd w:val="0"/>
              <w:snapToGrid w:val="0"/>
              <w:spacing w:before="0" w:after="0" w:line="300" w:lineRule="exact"/>
              <w:rPr>
                <w:rFonts w:hint="default" w:ascii="Times New Roman" w:hAnsi="Times New Roman" w:eastAsia="宋体" w:cs="Times New Roman"/>
                <w:bCs w:val="0"/>
                <w:spacing w:val="0"/>
                <w:kern w:val="2"/>
                <w:sz w:val="21"/>
                <w:szCs w:val="21"/>
                <w:lang w:val="en-US" w:eastAsia="zh-CN" w:bidi="ar-SA"/>
              </w:rPr>
            </w:pPr>
            <w:r>
              <w:rPr>
                <w:rFonts w:hint="default" w:ascii="Times New Roman" w:hAnsi="Times New Roman" w:eastAsia="宋体" w:cs="Times New Roman"/>
                <w:bCs w:val="0"/>
                <w:szCs w:val="21"/>
              </w:rPr>
              <w:t>注册地址（同营业执照）</w:t>
            </w:r>
            <w:r>
              <w:rPr>
                <w:rFonts w:hint="default" w:ascii="Times New Roman" w:hAnsi="Times New Roman" w:eastAsia="宋体" w:cs="Times New Roman"/>
                <w:bCs w:val="0"/>
                <w:szCs w:val="21"/>
                <w:lang w:eastAsia="zh-CN"/>
              </w:rPr>
              <w:t>：</w:t>
            </w:r>
            <w:bookmarkStart w:id="3" w:name="注册地址"/>
            <w:r>
              <w:rPr>
                <w:rFonts w:asciiTheme="minorEastAsia" w:hAnsiTheme="minorEastAsia" w:eastAsiaTheme="minorEastAsia"/>
                <w:sz w:val="20"/>
              </w:rPr>
              <w:t>河北省保定市高碑店市刘漫撒村539号</w:t>
            </w:r>
            <w:bookmarkEnd w:id="3"/>
          </w:p>
          <w:p>
            <w:pPr>
              <w:pStyle w:val="15"/>
              <w:adjustRightInd w:val="0"/>
              <w:snapToGrid w:val="0"/>
              <w:spacing w:before="0" w:after="0" w:line="300" w:lineRule="exact"/>
              <w:rPr>
                <w:rFonts w:hint="default" w:ascii="Times New Roman" w:hAnsi="Times New Roman" w:eastAsia="宋体" w:cs="Times New Roman"/>
                <w:bCs w:val="0"/>
                <w:spacing w:val="0"/>
                <w:kern w:val="2"/>
                <w:sz w:val="21"/>
                <w:szCs w:val="21"/>
                <w:lang w:val="en-US" w:eastAsia="zh-CN" w:bidi="ar-SA"/>
              </w:rPr>
            </w:pPr>
            <w:r>
              <w:rPr>
                <w:rFonts w:hint="default" w:ascii="Times New Roman" w:hAnsi="Times New Roman" w:eastAsia="宋体" w:cs="Times New Roman"/>
                <w:bCs w:val="0"/>
                <w:spacing w:val="0"/>
                <w:kern w:val="2"/>
                <w:sz w:val="21"/>
                <w:szCs w:val="21"/>
                <w:lang w:val="en-US" w:eastAsia="zh-CN" w:bidi="ar-SA"/>
              </w:rPr>
              <w:t>经营地址（同</w:t>
            </w:r>
            <w:r>
              <w:rPr>
                <w:rFonts w:hint="eastAsia" w:cs="Times New Roman"/>
                <w:bCs w:val="0"/>
                <w:spacing w:val="0"/>
                <w:kern w:val="2"/>
                <w:sz w:val="21"/>
                <w:szCs w:val="21"/>
                <w:lang w:val="en-US" w:eastAsia="zh-CN" w:bidi="ar-SA"/>
              </w:rPr>
              <w:t>企业定位</w:t>
            </w:r>
            <w:r>
              <w:rPr>
                <w:rFonts w:hint="default" w:ascii="Times New Roman" w:hAnsi="Times New Roman" w:eastAsia="宋体" w:cs="Times New Roman"/>
                <w:bCs w:val="0"/>
                <w:spacing w:val="0"/>
                <w:kern w:val="2"/>
                <w:sz w:val="21"/>
                <w:szCs w:val="21"/>
                <w:lang w:val="en-US" w:eastAsia="zh-CN" w:bidi="ar-SA"/>
              </w:rPr>
              <w:t>）：</w:t>
            </w:r>
            <w:r>
              <w:rPr>
                <w:rFonts w:asciiTheme="minorEastAsia" w:hAnsiTheme="minorEastAsia" w:eastAsiaTheme="minorEastAsia"/>
                <w:sz w:val="20"/>
              </w:rPr>
              <w:t>河北省保定市高碑店市刘漫撒村539号</w:t>
            </w:r>
          </w:p>
          <w:p>
            <w:pPr>
              <w:pStyle w:val="15"/>
              <w:adjustRightInd w:val="0"/>
              <w:snapToGrid w:val="0"/>
              <w:spacing w:before="0" w:after="0" w:line="300" w:lineRule="exact"/>
              <w:rPr>
                <w:rFonts w:hint="default" w:ascii="Times New Roman" w:hAnsi="Times New Roman" w:eastAsia="宋体" w:cs="Times New Roman"/>
                <w:bCs w:val="0"/>
                <w:spacing w:val="10"/>
                <w:kern w:val="2"/>
                <w:sz w:val="21"/>
                <w:szCs w:val="21"/>
                <w:lang w:val="en-US" w:eastAsia="zh-CN" w:bidi="ar-SA"/>
              </w:rPr>
            </w:pPr>
            <w:r>
              <w:rPr>
                <w:rFonts w:hint="default" w:ascii="Times New Roman" w:hAnsi="Times New Roman" w:eastAsia="宋体" w:cs="Times New Roman"/>
                <w:bCs w:val="0"/>
                <w:spacing w:val="0"/>
                <w:kern w:val="2"/>
                <w:sz w:val="21"/>
                <w:szCs w:val="21"/>
                <w:lang w:val="en-US" w:eastAsia="zh-CN" w:bidi="ar-SA"/>
              </w:rPr>
              <w:t>在确定</w:t>
            </w:r>
            <w:r>
              <w:rPr>
                <w:rFonts w:hint="eastAsia" w:ascii="Times New Roman" w:hAnsi="Times New Roman" w:eastAsia="宋体" w:cs="Times New Roman"/>
                <w:bCs w:val="0"/>
                <w:spacing w:val="0"/>
                <w:kern w:val="2"/>
                <w:sz w:val="21"/>
                <w:szCs w:val="21"/>
                <w:lang w:val="en-US" w:eastAsia="zh-CN" w:bidi="ar-SA"/>
              </w:rPr>
              <w:t>职业健康安全</w:t>
            </w:r>
            <w:r>
              <w:rPr>
                <w:rFonts w:hint="default" w:ascii="Times New Roman" w:hAnsi="Times New Roman" w:eastAsia="宋体" w:cs="Times New Roman"/>
                <w:bCs w:val="0"/>
                <w:spacing w:val="0"/>
                <w:kern w:val="2"/>
                <w:sz w:val="21"/>
                <w:szCs w:val="21"/>
                <w:lang w:val="en-US" w:eastAsia="zh-CN" w:bidi="ar-SA"/>
              </w:rPr>
              <w:t>管理体系的范围时考虑了公司的内外部因素和相关方的需求和期望，考虑了公司的产品和服务，与公司的宗旨和战略方向一致。符合标准要求。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管理体系及其过程</w:t>
            </w:r>
          </w:p>
        </w:tc>
        <w:tc>
          <w:tcPr>
            <w:tcW w:w="960" w:type="dxa"/>
            <w:vAlign w:val="top"/>
          </w:tcPr>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O</w:t>
            </w:r>
            <w:r>
              <w:rPr>
                <w:rFonts w:hint="eastAsia" w:ascii="Times New Roman" w:hAnsi="Times New Roman" w:eastAsia="宋体" w:cs="Times New Roman"/>
                <w:szCs w:val="21"/>
                <w:lang w:eastAsia="zh-CN"/>
              </w:rPr>
              <w:t>：</w:t>
            </w:r>
          </w:p>
          <w:p>
            <w:pPr>
              <w:adjustRightInd w:val="0"/>
              <w:snapToGrid w:val="0"/>
              <w:spacing w:line="300" w:lineRule="exact"/>
              <w:rPr>
                <w:rFonts w:hint="default" w:ascii="Times New Roman" w:hAnsi="Times New Roman" w:eastAsia="宋体" w:cs="Times New Roman"/>
                <w:szCs w:val="21"/>
              </w:rPr>
            </w:pPr>
            <w:r>
              <w:rPr>
                <w:rFonts w:hint="default" w:ascii="Times New Roman" w:hAnsi="Times New Roman" w:eastAsia="宋体" w:cs="Times New Roman"/>
                <w:szCs w:val="21"/>
              </w:rPr>
              <w:t xml:space="preserve">4.4 </w:t>
            </w:r>
          </w:p>
          <w:p>
            <w:pPr>
              <w:adjustRightInd w:val="0"/>
              <w:snapToGrid w:val="0"/>
              <w:spacing w:line="300" w:lineRule="exact"/>
              <w:rPr>
                <w:rFonts w:hint="default" w:ascii="Times New Roman" w:hAnsi="Times New Roman" w:eastAsia="宋体" w:cs="Times New Roman"/>
                <w:kern w:val="2"/>
                <w:sz w:val="21"/>
                <w:szCs w:val="21"/>
                <w:lang w:val="en-US" w:eastAsia="zh-CN" w:bidi="ar-SA"/>
              </w:rPr>
            </w:pPr>
          </w:p>
        </w:tc>
        <w:tc>
          <w:tcPr>
            <w:tcW w:w="10004" w:type="dxa"/>
            <w:vAlign w:val="top"/>
          </w:tcPr>
          <w:p>
            <w:pPr>
              <w:adjustRightInd w:val="0"/>
              <w:snapToGrid w:val="0"/>
              <w:spacing w:line="30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zh-CN"/>
              </w:rPr>
              <w:t>公司按照GB/T45001-2020</w:t>
            </w:r>
            <w:r>
              <w:rPr>
                <w:rFonts w:hint="default" w:ascii="Times New Roman" w:hAnsi="Times New Roman" w:eastAsia="宋体" w:cs="Times New Roman"/>
                <w:szCs w:val="21"/>
              </w:rPr>
              <w:t>等</w:t>
            </w:r>
            <w:r>
              <w:rPr>
                <w:rFonts w:hint="default" w:ascii="Times New Roman" w:hAnsi="Times New Roman" w:eastAsia="宋体" w:cs="Times New Roman"/>
                <w:szCs w:val="21"/>
                <w:lang w:val="zh-CN"/>
              </w:rPr>
              <w:t>标准的要求，</w:t>
            </w:r>
            <w:r>
              <w:rPr>
                <w:rFonts w:hint="default" w:ascii="Times New Roman" w:hAnsi="Times New Roman" w:eastAsia="宋体" w:cs="Times New Roman"/>
                <w:szCs w:val="21"/>
              </w:rPr>
              <w:t>识别了经营各环节的过程及其相互作用，建立了</w:t>
            </w:r>
            <w:r>
              <w:rPr>
                <w:rFonts w:hint="default" w:ascii="Times New Roman" w:hAnsi="Times New Roman" w:eastAsia="宋体" w:cs="Times New Roman"/>
                <w:szCs w:val="21"/>
                <w:lang w:val="zh-CN"/>
              </w:rPr>
              <w:t>职业健康安全管理体系,</w:t>
            </w:r>
            <w:r>
              <w:rPr>
                <w:rFonts w:hint="default" w:ascii="Times New Roman" w:hAnsi="Times New Roman" w:eastAsia="宋体" w:cs="Times New Roman"/>
                <w:szCs w:val="21"/>
              </w:rPr>
              <w:t>并形成文件，公司全体员工将有效地贯彻执行并持续改进其有效性。</w:t>
            </w:r>
          </w:p>
          <w:p>
            <w:pPr>
              <w:pStyle w:val="15"/>
              <w:adjustRightInd w:val="0"/>
              <w:snapToGrid w:val="0"/>
              <w:spacing w:before="0" w:after="0" w:line="300" w:lineRule="exact"/>
              <w:ind w:firstLine="460" w:firstLineChars="200"/>
              <w:rPr>
                <w:rFonts w:hint="default" w:ascii="Times New Roman" w:hAnsi="Times New Roman" w:eastAsia="宋体" w:cs="Times New Roman"/>
                <w:bCs w:val="0"/>
                <w:szCs w:val="21"/>
              </w:rPr>
            </w:pPr>
            <w:r>
              <w:rPr>
                <w:rFonts w:hint="default" w:ascii="Times New Roman" w:hAnsi="Times New Roman" w:eastAsia="宋体" w:cs="Times New Roman"/>
                <w:bCs w:val="0"/>
                <w:szCs w:val="21"/>
              </w:rPr>
              <w:t>管理体系及其过程：公司于202</w:t>
            </w:r>
            <w:r>
              <w:rPr>
                <w:rFonts w:hint="default" w:ascii="Times New Roman" w:hAnsi="Times New Roman" w:eastAsia="宋体" w:cs="Times New Roman"/>
                <w:bCs w:val="0"/>
                <w:szCs w:val="21"/>
                <w:lang w:val="en-US" w:eastAsia="zh-CN"/>
              </w:rPr>
              <w:t>2</w:t>
            </w:r>
            <w:r>
              <w:rPr>
                <w:rFonts w:hint="default" w:ascii="Times New Roman" w:hAnsi="Times New Roman" w:eastAsia="宋体" w:cs="Times New Roman"/>
                <w:bCs w:val="0"/>
                <w:szCs w:val="21"/>
              </w:rPr>
              <w:t>年对职业健康安全管理体系进行策划，识别了各个过程、环境因素、危险源等，编制了管理手册、程序文件、支持性文件及记录，于202</w:t>
            </w:r>
            <w:r>
              <w:rPr>
                <w:rFonts w:hint="default" w:ascii="Times New Roman" w:hAnsi="Times New Roman" w:eastAsia="宋体" w:cs="Times New Roman"/>
                <w:bCs w:val="0"/>
                <w:szCs w:val="21"/>
                <w:lang w:val="en-US" w:eastAsia="zh-CN"/>
              </w:rPr>
              <w:t>2</w:t>
            </w:r>
            <w:r>
              <w:rPr>
                <w:rFonts w:hint="default" w:ascii="Times New Roman" w:hAnsi="Times New Roman" w:eastAsia="宋体" w:cs="Times New Roman"/>
                <w:bCs w:val="0"/>
                <w:szCs w:val="21"/>
              </w:rPr>
              <w:t>年</w:t>
            </w:r>
            <w:r>
              <w:rPr>
                <w:rFonts w:hint="eastAsia" w:ascii="Times New Roman" w:hAnsi="Times New Roman" w:eastAsia="宋体" w:cs="Times New Roman"/>
                <w:bCs w:val="0"/>
                <w:szCs w:val="21"/>
                <w:lang w:val="en-US" w:eastAsia="zh-CN"/>
              </w:rPr>
              <w:t>7</w:t>
            </w:r>
            <w:r>
              <w:rPr>
                <w:rFonts w:hint="default" w:ascii="Times New Roman" w:hAnsi="Times New Roman" w:eastAsia="宋体" w:cs="Times New Roman"/>
                <w:bCs w:val="0"/>
                <w:szCs w:val="21"/>
              </w:rPr>
              <w:t>月</w:t>
            </w:r>
            <w:r>
              <w:rPr>
                <w:rFonts w:hint="eastAsia" w:cs="Times New Roman"/>
                <w:bCs w:val="0"/>
                <w:szCs w:val="21"/>
                <w:lang w:val="en-US" w:eastAsia="zh-CN"/>
              </w:rPr>
              <w:t>1</w:t>
            </w:r>
            <w:r>
              <w:rPr>
                <w:rFonts w:hint="default" w:ascii="Times New Roman" w:hAnsi="Times New Roman" w:eastAsia="宋体" w:cs="Times New Roman"/>
                <w:bCs w:val="0"/>
                <w:szCs w:val="21"/>
              </w:rPr>
              <w:t>日</w:t>
            </w:r>
            <w:r>
              <w:rPr>
                <w:rFonts w:hint="default" w:ascii="Times New Roman" w:hAnsi="Times New Roman" w:eastAsia="宋体" w:cs="Times New Roman"/>
                <w:bCs w:val="0"/>
                <w:szCs w:val="21"/>
                <w:lang w:val="zh-CN"/>
              </w:rPr>
              <w:t>发布</w:t>
            </w:r>
            <w:r>
              <w:rPr>
                <w:rFonts w:hint="default" w:ascii="Times New Roman" w:hAnsi="Times New Roman" w:eastAsia="宋体" w:cs="Times New Roman"/>
                <w:bCs w:val="0"/>
                <w:szCs w:val="21"/>
              </w:rPr>
              <w:t>并</w:t>
            </w:r>
            <w:r>
              <w:rPr>
                <w:rFonts w:hint="default" w:ascii="Times New Roman" w:hAnsi="Times New Roman" w:eastAsia="宋体" w:cs="Times New Roman"/>
                <w:bCs w:val="0"/>
                <w:szCs w:val="21"/>
                <w:lang w:val="zh-CN"/>
              </w:rPr>
              <w:t>实施。</w:t>
            </w:r>
            <w:r>
              <w:rPr>
                <w:rFonts w:hint="default" w:ascii="Times New Roman" w:hAnsi="Times New Roman" w:eastAsia="宋体" w:cs="Times New Roman"/>
                <w:bCs w:val="0"/>
                <w:szCs w:val="21"/>
              </w:rPr>
              <w:t>经过</w:t>
            </w:r>
            <w:r>
              <w:rPr>
                <w:rFonts w:hint="default" w:ascii="Times New Roman" w:hAnsi="Times New Roman" w:eastAsia="宋体" w:cs="Times New Roman"/>
                <w:bCs w:val="0"/>
                <w:szCs w:val="21"/>
                <w:lang w:eastAsia="zh-CN"/>
              </w:rPr>
              <w:t>近半年</w:t>
            </w:r>
            <w:r>
              <w:rPr>
                <w:rFonts w:hint="default" w:ascii="Times New Roman" w:hAnsi="Times New Roman" w:eastAsia="宋体" w:cs="Times New Roman"/>
                <w:bCs w:val="0"/>
                <w:szCs w:val="21"/>
              </w:rPr>
              <w:t>的运行，管理体系运行正常。</w:t>
            </w:r>
          </w:p>
          <w:p>
            <w:pPr>
              <w:pStyle w:val="15"/>
              <w:adjustRightInd w:val="0"/>
              <w:snapToGrid w:val="0"/>
              <w:spacing w:before="0" w:after="0" w:line="300" w:lineRule="exact"/>
              <w:ind w:firstLine="460" w:firstLineChars="200"/>
              <w:rPr>
                <w:rFonts w:hint="default" w:ascii="Times New Roman" w:hAnsi="Times New Roman" w:eastAsia="宋体" w:cs="Times New Roman"/>
                <w:bCs w:val="0"/>
                <w:spacing w:val="10"/>
                <w:kern w:val="2"/>
                <w:sz w:val="21"/>
                <w:szCs w:val="21"/>
                <w:lang w:val="en-US" w:eastAsia="zh-CN" w:bidi="ar-SA"/>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bCs w:val="0"/>
                <w:szCs w:val="21"/>
                <w:lang w:eastAsia="zh-CN"/>
              </w:rPr>
              <w:t>识别出外包过程：</w:t>
            </w:r>
            <w:r>
              <w:rPr>
                <w:rFonts w:hint="eastAsia" w:ascii="宋体" w:hAnsi="宋体" w:eastAsia="宋体" w:cs="宋体"/>
                <w:sz w:val="21"/>
                <w:szCs w:val="21"/>
                <w:lang w:val="en-US" w:eastAsia="zh-CN"/>
              </w:rPr>
              <w:t>毛坯铸件、焊接、喷漆和动平衡试验</w:t>
            </w:r>
            <w:r>
              <w:rPr>
                <w:rFonts w:hint="default" w:ascii="Times New Roman" w:hAnsi="Times New Roman" w:eastAsia="宋体" w:cs="Times New Roman"/>
                <w:bCs w:val="0"/>
                <w:szCs w:val="21"/>
                <w:lang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领导作用和承诺</w:t>
            </w:r>
          </w:p>
        </w:tc>
        <w:tc>
          <w:tcPr>
            <w:tcW w:w="960" w:type="dxa"/>
            <w:vAlign w:val="top"/>
          </w:tcPr>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O</w:t>
            </w:r>
            <w:r>
              <w:rPr>
                <w:rFonts w:hint="eastAsia" w:ascii="Times New Roman" w:hAnsi="Times New Roman" w:eastAsia="宋体" w:cs="Times New Roman"/>
                <w:szCs w:val="21"/>
                <w:lang w:eastAsia="zh-CN"/>
              </w:rPr>
              <w:t>：</w:t>
            </w:r>
          </w:p>
          <w:p>
            <w:pPr>
              <w:adjustRightInd w:val="0"/>
              <w:snapToGrid w:val="0"/>
              <w:spacing w:line="300" w:lineRule="exact"/>
              <w:rPr>
                <w:rFonts w:hint="default" w:ascii="Times New Roman" w:hAnsi="Times New Roman" w:eastAsia="宋体" w:cs="Times New Roman"/>
                <w:szCs w:val="21"/>
              </w:rPr>
            </w:pPr>
            <w:r>
              <w:rPr>
                <w:rFonts w:hint="default" w:ascii="Times New Roman" w:hAnsi="Times New Roman" w:eastAsia="宋体" w:cs="Times New Roman"/>
                <w:szCs w:val="21"/>
              </w:rPr>
              <w:t>5.1</w:t>
            </w:r>
          </w:p>
          <w:p>
            <w:pPr>
              <w:adjustRightInd w:val="0"/>
              <w:snapToGrid w:val="0"/>
              <w:spacing w:line="300" w:lineRule="exact"/>
              <w:rPr>
                <w:rFonts w:hint="default" w:ascii="Times New Roman" w:hAnsi="Times New Roman" w:eastAsia="宋体" w:cs="Times New Roman"/>
                <w:kern w:val="2"/>
                <w:sz w:val="21"/>
                <w:szCs w:val="21"/>
                <w:lang w:val="en-US" w:eastAsia="zh-CN" w:bidi="ar-SA"/>
              </w:rPr>
            </w:pPr>
          </w:p>
        </w:tc>
        <w:tc>
          <w:tcPr>
            <w:tcW w:w="10004" w:type="dxa"/>
            <w:vAlign w:val="top"/>
          </w:tcPr>
          <w:p>
            <w:pPr>
              <w:adjustRightInd w:val="0"/>
              <w:snapToGrid w:val="0"/>
              <w:spacing w:line="300" w:lineRule="exact"/>
              <w:ind w:firstLine="42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rPr>
              <w:t>公司最高管理者通过以下活动证实其对职业健康安全管理体系的领导作用和承诺：</w:t>
            </w:r>
            <w:r>
              <w:rPr>
                <w:rFonts w:hint="default" w:ascii="Times New Roman" w:hAnsi="Times New Roman" w:eastAsia="宋体" w:cs="Times New Roman"/>
                <w:szCs w:val="21"/>
              </w:rPr>
              <w:br w:type="textWrapping"/>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eastAsia="zh-CN"/>
              </w:rPr>
              <w:t xml:space="preserve">   a)主持制定职业健康安全方针，批准目标和指标，批准管理手册．对公司管理体系的建立、完善、实施和保持负决策责任，对职业健康安全负最终责任；</w:t>
            </w:r>
          </w:p>
          <w:p>
            <w:pPr>
              <w:adjustRightInd w:val="0"/>
              <w:snapToGrid w:val="0"/>
              <w:spacing w:line="300" w:lineRule="exact"/>
              <w:ind w:firstLine="42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 b)向公司传达满足顾客、相关方要求和法律、法规要求的重要性；</w:t>
            </w:r>
          </w:p>
          <w:p>
            <w:pPr>
              <w:adjustRightInd w:val="0"/>
              <w:snapToGrid w:val="0"/>
              <w:spacing w:line="300" w:lineRule="exact"/>
              <w:ind w:firstLine="42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 c)主持管理评审，审批评审报告，确保管理体系的持续适宜性、充分性和有效性；</w:t>
            </w:r>
          </w:p>
          <w:p>
            <w:pPr>
              <w:adjustRightInd w:val="0"/>
              <w:snapToGrid w:val="0"/>
              <w:spacing w:line="300" w:lineRule="exact"/>
              <w:ind w:firstLine="42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 d)任命管理者代表；</w:t>
            </w:r>
          </w:p>
          <w:p>
            <w:pPr>
              <w:adjustRightInd w:val="0"/>
              <w:snapToGrid w:val="0"/>
              <w:spacing w:line="300" w:lineRule="exact"/>
              <w:ind w:firstLine="42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 e)建立组织结构，为管理体系的实施与控制提供必要的资源：</w:t>
            </w:r>
          </w:p>
          <w:p>
            <w:pPr>
              <w:adjustRightInd w:val="0"/>
              <w:snapToGrid w:val="0"/>
              <w:spacing w:line="300" w:lineRule="exact"/>
              <w:ind w:firstLine="42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 f)建立组织内外的适当沟通过程，确保管理体系的有效运行；</w:t>
            </w:r>
          </w:p>
          <w:p>
            <w:pPr>
              <w:adjustRightInd w:val="0"/>
              <w:snapToGrid w:val="0"/>
              <w:spacing w:line="300" w:lineRule="exact"/>
              <w:ind w:firstLine="630" w:firstLineChars="300"/>
              <w:rPr>
                <w:rFonts w:hint="default" w:ascii="Times New Roman" w:hAnsi="Times New Roman" w:eastAsia="宋体" w:cs="Times New Roman"/>
                <w:sz w:val="24"/>
              </w:rPr>
            </w:pPr>
            <w:r>
              <w:rPr>
                <w:rFonts w:hint="default" w:ascii="Times New Roman" w:hAnsi="Times New Roman" w:eastAsia="宋体" w:cs="Times New Roman"/>
                <w:szCs w:val="21"/>
                <w:lang w:eastAsia="zh-CN"/>
              </w:rPr>
              <w:t>g)负责为实现目标指标和管理方案提供技术、财务支持；负责明确职工职业健康安全职责权限，提供必要的资源，包括专项技能、基础设施、技术和财力资源；负责对重大安全事故的调查和处理</w:t>
            </w:r>
            <w:r>
              <w:rPr>
                <w:rFonts w:hint="default" w:ascii="Times New Roman" w:hAnsi="Times New Roman" w:eastAsia="宋体" w:cs="Times New Roman"/>
                <w:sz w:val="24"/>
              </w:rPr>
              <w:t>。</w:t>
            </w:r>
          </w:p>
          <w:p>
            <w:pPr>
              <w:adjustRightInd w:val="0"/>
              <w:snapToGrid w:val="0"/>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eastAsia="zh-CN"/>
              </w:rPr>
              <w:t>与总经理</w:t>
            </w:r>
            <w:r>
              <w:rPr>
                <w:rFonts w:hint="eastAsia" w:ascii="Times New Roman" w:hAnsi="Times New Roman" w:eastAsia="宋体" w:cs="Times New Roman"/>
                <w:szCs w:val="21"/>
                <w:lang w:val="en-US" w:eastAsia="zh-CN"/>
              </w:rPr>
              <w:t>张</w:t>
            </w:r>
            <w:r>
              <w:rPr>
                <w:rFonts w:hint="default" w:ascii="Times New Roman" w:hAnsi="Times New Roman" w:eastAsia="宋体" w:cs="Times New Roman"/>
                <w:szCs w:val="21"/>
                <w:lang w:eastAsia="zh-CN"/>
              </w:rPr>
              <w:t>总沟通，有较强的管意识，能说出自己对于体系的领导作用和承诺，回答基本正确。</w:t>
            </w:r>
            <w:r>
              <w:rPr>
                <w:rFonts w:hint="default" w:ascii="Times New Roman" w:hAnsi="Times New Roman" w:eastAsia="宋体" w:cs="Times New Roman"/>
                <w:szCs w:val="21"/>
              </w:rPr>
              <w:t>公司最高管理者组织相关部门制订发展规划、管理承诺、管理方针及管理目标，</w:t>
            </w:r>
            <w:r>
              <w:rPr>
                <w:rFonts w:hint="default" w:ascii="Times New Roman" w:hAnsi="Times New Roman" w:eastAsia="宋体" w:cs="Times New Roman"/>
                <w:szCs w:val="21"/>
                <w:lang w:eastAsia="zh-CN"/>
              </w:rPr>
              <w:t>始终致力于顾客满意，</w:t>
            </w:r>
            <w:r>
              <w:rPr>
                <w:rFonts w:hint="default" w:ascii="Times New Roman" w:hAnsi="Times New Roman" w:eastAsia="宋体" w:cs="Times New Roman"/>
                <w:szCs w:val="21"/>
              </w:rPr>
              <w:t>提高员工队伍整体素质。</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管理方针</w:t>
            </w:r>
          </w:p>
        </w:tc>
        <w:tc>
          <w:tcPr>
            <w:tcW w:w="960" w:type="dxa"/>
            <w:vAlign w:val="top"/>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O</w:t>
            </w:r>
            <w:r>
              <w:rPr>
                <w:rFonts w:hint="eastAsia" w:ascii="Times New Roman" w:hAnsi="Times New Roman" w:eastAsia="宋体" w:cs="Times New Roman"/>
                <w:szCs w:val="21"/>
                <w:lang w:eastAsia="zh-CN"/>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t>5.2</w:t>
            </w:r>
          </w:p>
          <w:p>
            <w:pPr>
              <w:rPr>
                <w:rFonts w:hint="default" w:ascii="Times New Roman" w:hAnsi="Times New Roman" w:eastAsia="宋体" w:cs="Times New Roman"/>
                <w:kern w:val="2"/>
                <w:sz w:val="21"/>
                <w:szCs w:val="21"/>
                <w:lang w:val="en-US" w:eastAsia="zh-CN" w:bidi="ar-SA"/>
              </w:rPr>
            </w:pPr>
          </w:p>
        </w:tc>
        <w:tc>
          <w:tcPr>
            <w:tcW w:w="10004" w:type="dxa"/>
            <w:vAlign w:val="top"/>
          </w:tcPr>
          <w:p>
            <w:pPr>
              <w:adjustRightInd w:val="0"/>
              <w:snapToGrid w:val="0"/>
              <w:spacing w:line="300" w:lineRule="exact"/>
              <w:rPr>
                <w:rFonts w:hint="default"/>
                <w:lang w:eastAsia="zh-CN"/>
              </w:rPr>
            </w:pPr>
            <w:r>
              <w:rPr>
                <w:rFonts w:hint="default"/>
                <w:lang w:eastAsia="zh-CN"/>
              </w:rPr>
              <w:t>查见《</w:t>
            </w:r>
            <w:r>
              <w:rPr>
                <w:rFonts w:hint="default"/>
              </w:rPr>
              <w:t>管</w:t>
            </w:r>
            <w:r>
              <w:rPr>
                <w:rFonts w:hint="default"/>
                <w:lang w:eastAsia="zh-CN"/>
              </w:rPr>
              <w:t>理手册》，制定了企业的管理方针，其中</w:t>
            </w:r>
            <w:r>
              <w:rPr>
                <w:rFonts w:hint="eastAsia"/>
                <w:lang w:val="en-US" w:eastAsia="zh-CN"/>
              </w:rPr>
              <w:t>管理</w:t>
            </w:r>
            <w:r>
              <w:rPr>
                <w:rFonts w:hint="default"/>
                <w:lang w:eastAsia="zh-CN"/>
              </w:rPr>
              <w:t>方针：</w:t>
            </w:r>
            <w:r>
              <w:rPr>
                <w:rFonts w:hint="eastAsia" w:ascii="宋体" w:hAnsi="宋体" w:cs="黑体"/>
                <w:bCs/>
                <w:kern w:val="0"/>
                <w:sz w:val="21"/>
                <w:szCs w:val="21"/>
              </w:rPr>
              <w:t>创新求精，不断提升产品与服务质量，促进快速发展</w:t>
            </w:r>
            <w:r>
              <w:rPr>
                <w:rFonts w:hint="eastAsia" w:ascii="宋体" w:hAnsi="宋体" w:cs="黑体"/>
                <w:bCs/>
                <w:kern w:val="0"/>
                <w:sz w:val="21"/>
                <w:szCs w:val="21"/>
                <w:lang w:eastAsia="zh-CN"/>
              </w:rPr>
              <w:t>；</w:t>
            </w:r>
            <w:r>
              <w:rPr>
                <w:rFonts w:hint="eastAsia" w:ascii="宋体" w:hAnsi="宋体" w:cs="黑体"/>
                <w:bCs/>
                <w:kern w:val="0"/>
                <w:sz w:val="21"/>
                <w:szCs w:val="21"/>
              </w:rPr>
              <w:t>节能降耗，注重环境保护与污染预防，促进协调发展</w:t>
            </w:r>
            <w:r>
              <w:rPr>
                <w:rFonts w:hint="eastAsia" w:ascii="宋体" w:hAnsi="宋体" w:cs="黑体"/>
                <w:bCs/>
                <w:kern w:val="0"/>
                <w:sz w:val="21"/>
                <w:szCs w:val="21"/>
                <w:lang w:eastAsia="zh-CN"/>
              </w:rPr>
              <w:t>；</w:t>
            </w:r>
            <w:r>
              <w:rPr>
                <w:rFonts w:hint="eastAsia" w:ascii="宋体" w:hAnsi="宋体" w:cs="黑体"/>
                <w:bCs/>
                <w:kern w:val="0"/>
                <w:sz w:val="21"/>
                <w:szCs w:val="21"/>
              </w:rPr>
              <w:t>以人为本，确保职业健康与劳动安全，促进和谐发展</w:t>
            </w:r>
            <w:r>
              <w:rPr>
                <w:rFonts w:hint="eastAsia" w:ascii="宋体" w:hAnsi="宋体" w:cs="黑体"/>
                <w:bCs/>
                <w:kern w:val="0"/>
                <w:sz w:val="21"/>
                <w:szCs w:val="21"/>
                <w:lang w:eastAsia="zh-CN"/>
              </w:rPr>
              <w:t>；</w:t>
            </w:r>
            <w:r>
              <w:rPr>
                <w:rFonts w:hint="eastAsia" w:ascii="宋体" w:hAnsi="宋体" w:cs="黑体"/>
                <w:bCs/>
                <w:kern w:val="0"/>
                <w:sz w:val="21"/>
                <w:szCs w:val="21"/>
              </w:rPr>
              <w:t>守法诚信，坚持预防为主与持续改进，追求卓越绩效</w:t>
            </w:r>
            <w:r>
              <w:rPr>
                <w:rFonts w:hint="eastAsia" w:ascii="宋体" w:hAnsi="宋体" w:cs="黑体"/>
                <w:bCs/>
                <w:kern w:val="0"/>
                <w:sz w:val="21"/>
                <w:szCs w:val="21"/>
                <w:lang w:eastAsia="zh-CN"/>
              </w:rPr>
              <w:t>。</w:t>
            </w:r>
          </w:p>
          <w:p>
            <w:pPr>
              <w:rPr>
                <w:rFonts w:hint="default"/>
              </w:rPr>
            </w:pPr>
            <w:r>
              <w:rPr>
                <w:rFonts w:hint="default"/>
              </w:rPr>
              <w:t>公司的管理方针记录在</w:t>
            </w:r>
            <w:r>
              <w:rPr>
                <w:rFonts w:hint="default"/>
                <w:lang w:eastAsia="zh-CN"/>
              </w:rPr>
              <w:t>《</w:t>
            </w:r>
            <w:r>
              <w:rPr>
                <w:rFonts w:hint="default"/>
              </w:rPr>
              <w:t>管理手册</w:t>
            </w:r>
            <w:r>
              <w:rPr>
                <w:rFonts w:hint="default"/>
                <w:lang w:eastAsia="zh-CN"/>
              </w:rPr>
              <w:t>》</w:t>
            </w:r>
            <w:r>
              <w:rPr>
                <w:rFonts w:hint="default"/>
              </w:rPr>
              <w:t>中，并在组织内部得到广泛的宣传、沟通。方针是管理层共同研究决定的，结合了公司</w:t>
            </w:r>
            <w:r>
              <w:rPr>
                <w:rFonts w:hint="default"/>
                <w:lang w:eastAsia="zh-CN"/>
              </w:rPr>
              <w:t>服务</w:t>
            </w:r>
            <w:r>
              <w:rPr>
                <w:rFonts w:hint="default"/>
              </w:rPr>
              <w:t>特点和目前的实际状况。方针初步制定后，由公司员工进行讨论，在公司</w:t>
            </w:r>
            <w:r>
              <w:rPr>
                <w:rFonts w:hint="default"/>
                <w:lang w:eastAsia="zh-CN"/>
              </w:rPr>
              <w:t>管理</w:t>
            </w:r>
            <w:r>
              <w:rPr>
                <w:rFonts w:hint="default"/>
              </w:rPr>
              <w:t>体系文件的发布会上，对管理方针和目标进行了讲解，使全体员工能够理解。同时，</w:t>
            </w:r>
            <w:r>
              <w:rPr>
                <w:rFonts w:hint="default"/>
                <w:lang w:eastAsia="zh-CN"/>
              </w:rPr>
              <w:t>通过贯标培训</w:t>
            </w:r>
            <w:r>
              <w:rPr>
                <w:rFonts w:hint="default"/>
              </w:rPr>
              <w:t>、文件下发，内部理解，实施过程中，始终强调方针的意义的内涵。</w:t>
            </w:r>
          </w:p>
          <w:p>
            <w:pPr>
              <w:rPr>
                <w:rFonts w:hint="default"/>
              </w:rPr>
            </w:pPr>
            <w:r>
              <w:rPr>
                <w:rFonts w:hint="default"/>
              </w:rPr>
              <w:t>通过文件、告知书、合同（与投标文件中提到）等物理介质或电子方式向相关方提供。</w:t>
            </w:r>
          </w:p>
          <w:p>
            <w:pPr>
              <w:rPr>
                <w:rFonts w:hint="default" w:ascii="Times New Roman" w:hAnsi="Times New Roman" w:eastAsia="宋体" w:cs="Times New Roman"/>
                <w:bCs/>
                <w:spacing w:val="10"/>
                <w:kern w:val="2"/>
                <w:sz w:val="21"/>
                <w:lang w:val="en-US" w:eastAsia="zh-CN" w:bidi="ar-SA"/>
              </w:rPr>
            </w:pPr>
            <w:r>
              <w:rPr>
                <w:rFonts w:hint="default"/>
              </w:rPr>
              <w:t>经202</w:t>
            </w:r>
            <w:r>
              <w:rPr>
                <w:rFonts w:hint="default"/>
                <w:lang w:val="en-US" w:eastAsia="zh-CN"/>
              </w:rPr>
              <w:t>2</w:t>
            </w:r>
            <w:r>
              <w:rPr>
                <w:rFonts w:hint="default"/>
              </w:rPr>
              <w:t>年</w:t>
            </w:r>
            <w:r>
              <w:rPr>
                <w:rFonts w:hint="eastAsia"/>
                <w:lang w:val="en-US" w:eastAsia="zh-CN"/>
              </w:rPr>
              <w:t>10</w:t>
            </w:r>
            <w:r>
              <w:rPr>
                <w:rFonts w:hint="default"/>
              </w:rPr>
              <w:t>月</w:t>
            </w:r>
            <w:r>
              <w:rPr>
                <w:rFonts w:hint="eastAsia"/>
                <w:lang w:val="en-US" w:eastAsia="zh-CN"/>
              </w:rPr>
              <w:t>27</w:t>
            </w:r>
            <w:r>
              <w:rPr>
                <w:rFonts w:hint="default"/>
              </w:rPr>
              <w:t>日</w:t>
            </w:r>
            <w:r>
              <w:rPr>
                <w:rFonts w:hint="default"/>
                <w:lang w:eastAsia="zh-CN"/>
              </w:rPr>
              <w:t>召开</w:t>
            </w:r>
            <w:r>
              <w:rPr>
                <w:rFonts w:hint="default"/>
              </w:rPr>
              <w:t>的管理评审</w:t>
            </w:r>
            <w:r>
              <w:rPr>
                <w:rFonts w:hint="default"/>
                <w:lang w:eastAsia="zh-CN"/>
              </w:rPr>
              <w:t>会议</w:t>
            </w:r>
            <w:r>
              <w:rPr>
                <w:rFonts w:hint="default"/>
              </w:rPr>
              <w:t>，管理方针适应其宗旨和环境并支持其长远战略方向；为制定管理目标提供框架；包括满足适用要求的承诺和持续改进质量管理体系的承诺。方针基本能够满足标准的要求。基本符合要求。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组织的岗位、职责和权限</w:t>
            </w:r>
          </w:p>
        </w:tc>
        <w:tc>
          <w:tcPr>
            <w:tcW w:w="960" w:type="dxa"/>
            <w:vAlign w:val="top"/>
          </w:tcPr>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O</w:t>
            </w:r>
            <w:r>
              <w:rPr>
                <w:rFonts w:hint="eastAsia" w:ascii="Times New Roman" w:hAnsi="Times New Roman" w:eastAsia="宋体" w:cs="Times New Roman"/>
                <w:szCs w:val="21"/>
                <w:lang w:eastAsia="zh-CN"/>
              </w:rPr>
              <w:t>：</w:t>
            </w:r>
          </w:p>
          <w:p>
            <w:pPr>
              <w:adjustRightInd w:val="0"/>
              <w:snapToGrid w:val="0"/>
              <w:spacing w:line="300" w:lineRule="exact"/>
              <w:rPr>
                <w:rFonts w:hint="default" w:ascii="Times New Roman" w:hAnsi="Times New Roman" w:eastAsia="宋体" w:cs="Times New Roman"/>
                <w:szCs w:val="21"/>
              </w:rPr>
            </w:pPr>
            <w:r>
              <w:rPr>
                <w:rFonts w:hint="default" w:ascii="Times New Roman" w:hAnsi="Times New Roman" w:eastAsia="宋体" w:cs="Times New Roman"/>
                <w:szCs w:val="21"/>
              </w:rPr>
              <w:t>5.3</w:t>
            </w:r>
          </w:p>
          <w:p>
            <w:pPr>
              <w:adjustRightInd w:val="0"/>
              <w:snapToGrid w:val="0"/>
              <w:spacing w:line="300" w:lineRule="exact"/>
              <w:rPr>
                <w:rFonts w:hint="default" w:ascii="Times New Roman" w:hAnsi="Times New Roman" w:eastAsia="宋体" w:cs="Times New Roman"/>
                <w:kern w:val="2"/>
                <w:sz w:val="21"/>
                <w:szCs w:val="21"/>
                <w:lang w:val="en-US" w:eastAsia="zh-CN" w:bidi="ar-SA"/>
              </w:rPr>
            </w:pPr>
          </w:p>
        </w:tc>
        <w:tc>
          <w:tcPr>
            <w:tcW w:w="10004" w:type="dxa"/>
            <w:vAlign w:val="top"/>
          </w:tcPr>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rPr>
              <w:t>为了有效的实施职业健康安全管理，公司确定了公司结构：</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——公司总经理、体系负责人为公司的管理层。</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——公司设置管理部门如下：</w:t>
            </w:r>
            <w:r>
              <w:rPr>
                <w:rFonts w:hint="eastAsia" w:cs="Times New Roman"/>
                <w:szCs w:val="21"/>
                <w:lang w:val="en-US" w:eastAsia="zh-CN"/>
              </w:rPr>
              <w:t>办公室、供销部、生产技术部</w:t>
            </w:r>
            <w:r>
              <w:rPr>
                <w:rFonts w:hint="default" w:ascii="Times New Roman" w:hAnsi="Times New Roman" w:eastAsia="宋体" w:cs="Times New Roman"/>
                <w:szCs w:val="21"/>
              </w:rPr>
              <w:t>。</w:t>
            </w:r>
          </w:p>
          <w:p>
            <w:pPr>
              <w:adjustRightInd w:val="0"/>
              <w:snapToGrid w:val="0"/>
              <w:spacing w:line="300" w:lineRule="exact"/>
              <w:ind w:firstLine="210" w:firstLineChars="100"/>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eastAsia="zh-CN"/>
              </w:rPr>
              <w:t>提供了《部门管理人员任命书》，部门经理，管理者代表，员工代表均由总经理进行了任命。</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eastAsia="zh-CN"/>
              </w:rPr>
              <w:t>《管理手册》</w:t>
            </w:r>
            <w:r>
              <w:rPr>
                <w:rFonts w:hint="default" w:ascii="Times New Roman" w:hAnsi="Times New Roman" w:eastAsia="宋体" w:cs="Times New Roman"/>
                <w:szCs w:val="21"/>
              </w:rPr>
              <w:t>规定了各级各岗位人员职责、权限和相互关系，并在公司内对各级员工进行了必要的传达；</w:t>
            </w:r>
            <w:r>
              <w:rPr>
                <w:rFonts w:hint="default" w:ascii="Times New Roman" w:hAnsi="Times New Roman" w:eastAsia="宋体" w:cs="Times New Roman"/>
                <w:szCs w:val="21"/>
                <w:lang w:eastAsia="zh-CN"/>
              </w:rPr>
              <w:t>制定了《岗位人员任职要求》，</w:t>
            </w:r>
            <w:r>
              <w:rPr>
                <w:rFonts w:hint="default" w:ascii="Times New Roman" w:hAnsi="Times New Roman" w:eastAsia="宋体" w:cs="Times New Roman"/>
                <w:szCs w:val="21"/>
              </w:rPr>
              <w:t>规定了各岗位职责及权限，对本公司各主要岗位职责权限进行了确定</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以：</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a) 确保职业健康安全管理体系符合本标准的要求；</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b) 确保各过程获得其预期输出；</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c) 报告职业健康安全管理体系绩效及其改进机遇，特别向总经理报告；</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d) 确保在整个公司推动以顾客为关注焦点；</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e) 确保在策划和实施职业健康安全管理体系变更时，保持其完整性。</w:t>
            </w:r>
          </w:p>
          <w:p>
            <w:pPr>
              <w:adjustRightInd w:val="0"/>
              <w:snapToGrid w:val="0"/>
              <w:spacing w:line="300" w:lineRule="exact"/>
              <w:ind w:firstLine="210" w:firstLineChars="100"/>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组织的角色、职责和权限基本得到有效沟通和贯彻实施。</w:t>
            </w:r>
          </w:p>
          <w:p>
            <w:pPr>
              <w:adjustRightInd w:val="0"/>
              <w:snapToGrid w:val="0"/>
              <w:spacing w:line="300" w:lineRule="exact"/>
              <w:ind w:firstLine="210" w:firstLineChars="1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eastAsia="zh-CN"/>
              </w:rPr>
              <w:t>具体</w:t>
            </w:r>
            <w:r>
              <w:rPr>
                <w:rFonts w:hint="default" w:ascii="Times New Roman" w:hAnsi="Times New Roman" w:eastAsia="宋体" w:cs="Times New Roman"/>
                <w:szCs w:val="21"/>
              </w:rPr>
              <w:t>岗位职责及权限见</w:t>
            </w:r>
            <w:r>
              <w:rPr>
                <w:rFonts w:hint="default" w:ascii="Times New Roman" w:hAnsi="Times New Roman" w:eastAsia="宋体" w:cs="Times New Roman"/>
                <w:szCs w:val="21"/>
                <w:lang w:eastAsia="zh-CN"/>
              </w:rPr>
              <w:t>各部门审核记录</w:t>
            </w:r>
            <w:r>
              <w:rPr>
                <w:rFonts w:hint="default" w:ascii="Times New Roman" w:hAnsi="Times New Roman" w:eastAsia="宋体" w:cs="Times New Roman"/>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Times New Roman" w:hAnsi="Times New Roman" w:cs="Times New Roman"/>
                <w:sz w:val="21"/>
                <w:szCs w:val="21"/>
              </w:rPr>
              <w:t>应对风险和机</w:t>
            </w:r>
            <w:r>
              <w:rPr>
                <w:rFonts w:hint="eastAsia" w:ascii="Times New Roman" w:hAnsi="Times New Roman" w:cs="Times New Roman"/>
                <w:sz w:val="21"/>
                <w:szCs w:val="21"/>
                <w:lang w:val="en-US" w:eastAsia="zh-CN"/>
              </w:rPr>
              <w:t>遇</w:t>
            </w:r>
            <w:r>
              <w:rPr>
                <w:rFonts w:hint="eastAsia" w:ascii="Times New Roman" w:hAnsi="Times New Roman" w:cs="Times New Roman"/>
                <w:sz w:val="21"/>
                <w:szCs w:val="21"/>
              </w:rPr>
              <w:t>的</w:t>
            </w:r>
            <w:r>
              <w:rPr>
                <w:rFonts w:hint="eastAsia" w:ascii="Times New Roman" w:hAnsi="Times New Roman" w:cs="Times New Roman"/>
                <w:sz w:val="21"/>
                <w:szCs w:val="21"/>
                <w:lang w:val="en-US" w:eastAsia="zh-CN"/>
              </w:rPr>
              <w:t>措施</w:t>
            </w:r>
          </w:p>
        </w:tc>
        <w:tc>
          <w:tcPr>
            <w:tcW w:w="960" w:type="dxa"/>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O:</w:t>
            </w:r>
          </w:p>
          <w:p>
            <w:r>
              <w:rPr>
                <w:rFonts w:hint="eastAsia" w:ascii="Times New Roman" w:hAnsi="Times New Roman" w:cs="Times New Roman"/>
                <w:sz w:val="21"/>
                <w:szCs w:val="21"/>
              </w:rPr>
              <w:t>6.1.1</w:t>
            </w:r>
          </w:p>
        </w:tc>
        <w:tc>
          <w:tcPr>
            <w:tcW w:w="10004" w:type="dxa"/>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查见《风险与机遇控制计划》，确定了组织需应对的风险和机遇</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并制定了措施</w:t>
            </w:r>
            <w:r>
              <w:rPr>
                <w:rFonts w:hint="eastAsia" w:ascii="Times New Roman" w:hAnsi="Times New Roman" w:cs="Times New Roman"/>
                <w:sz w:val="21"/>
                <w:szCs w:val="21"/>
              </w:rPr>
              <w:t>。如：适用</w:t>
            </w:r>
            <w:r>
              <w:rPr>
                <w:rFonts w:hint="eastAsia" w:ascii="Times New Roman" w:hAnsi="Times New Roman" w:cs="Times New Roman"/>
                <w:sz w:val="21"/>
                <w:szCs w:val="21"/>
                <w:lang w:val="en-US" w:eastAsia="zh-CN"/>
              </w:rPr>
              <w:t>安全</w:t>
            </w:r>
            <w:r>
              <w:rPr>
                <w:rFonts w:hint="eastAsia" w:ascii="Times New Roman" w:hAnsi="Times New Roman" w:cs="Times New Roman"/>
                <w:sz w:val="21"/>
                <w:szCs w:val="21"/>
              </w:rPr>
              <w:t>法律法规的识别、收集及宣传不够，相对应公司内部活动及环境因素不够明确，部分员工守法意识淡薄</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措施：加强识别、收集，定期更新，重要条款予以培训或纳入制度中</w:t>
            </w:r>
            <w:r>
              <w:rPr>
                <w:rFonts w:hint="eastAsia" w:ascii="Times New Roman" w:hAnsi="Times New Roman" w:cs="Times New Roman"/>
                <w:sz w:val="21"/>
                <w:szCs w:val="21"/>
              </w:rPr>
              <w:t>。组织在确定这些风险和机遇时，考虑了员工岗位技能、生产能力、市场需求等内外部因素及</w:t>
            </w:r>
            <w:r>
              <w:rPr>
                <w:rFonts w:hint="eastAsia" w:ascii="Times New Roman" w:hAnsi="Times New Roman" w:cs="Times New Roman"/>
                <w:sz w:val="21"/>
                <w:szCs w:val="21"/>
                <w:lang w:val="en-US" w:eastAsia="zh-CN"/>
              </w:rPr>
              <w:t>相关方</w:t>
            </w:r>
            <w:r>
              <w:rPr>
                <w:rFonts w:hint="eastAsia" w:ascii="Times New Roman" w:hAnsi="Times New Roman" w:cs="Times New Roman"/>
                <w:sz w:val="21"/>
                <w:szCs w:val="21"/>
              </w:rPr>
              <w:t>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评审情况均为符合发展要求.</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评审人：</w:t>
            </w:r>
            <w:r>
              <w:rPr>
                <w:rFonts w:hint="eastAsia" w:ascii="Times New Roman" w:hAnsi="Times New Roman" w:cs="Times New Roman"/>
                <w:sz w:val="21"/>
                <w:szCs w:val="21"/>
                <w:lang w:val="en-US" w:eastAsia="zh-CN"/>
              </w:rPr>
              <w:t>张元磊 202</w:t>
            </w:r>
            <w:r>
              <w:rPr>
                <w:rFonts w:hint="eastAsia" w:cs="Times New Roman"/>
                <w:sz w:val="21"/>
                <w:szCs w:val="21"/>
                <w:lang w:val="en-US" w:eastAsia="zh-CN"/>
              </w:rPr>
              <w:t>2</w:t>
            </w:r>
            <w:r>
              <w:rPr>
                <w:rFonts w:hint="eastAsia" w:ascii="Times New Roman" w:hAnsi="Times New Roman" w:cs="Times New Roman"/>
                <w:sz w:val="21"/>
                <w:szCs w:val="21"/>
                <w:lang w:val="en-US" w:eastAsia="zh-CN"/>
              </w:rPr>
              <w:t>.7.</w:t>
            </w:r>
            <w:r>
              <w:rPr>
                <w:rFonts w:hint="eastAsia" w:cs="Times New Roman"/>
                <w:sz w:val="21"/>
                <w:szCs w:val="21"/>
                <w:lang w:val="en-US" w:eastAsia="zh-CN"/>
              </w:rPr>
              <w:t>8</w:t>
            </w:r>
          </w:p>
          <w:p>
            <w:r>
              <w:rPr>
                <w:rFonts w:hint="eastAsia" w:ascii="Times New Roman" w:hAnsi="Times New Roman" w:cs="Times New Roman"/>
                <w:sz w:val="21"/>
                <w:szCs w:val="21"/>
              </w:rPr>
              <w:t>措施正在实施中。</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sz w:val="21"/>
                <w:szCs w:val="21"/>
              </w:rPr>
              <w:t>策划措施</w:t>
            </w:r>
          </w:p>
        </w:tc>
        <w:tc>
          <w:tcPr>
            <w:tcW w:w="960" w:type="dxa"/>
            <w:vAlign w:val="top"/>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6.1.4</w:t>
            </w:r>
          </w:p>
        </w:tc>
        <w:tc>
          <w:tcPr>
            <w:tcW w:w="1000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sz w:val="21"/>
                <w:szCs w:val="21"/>
              </w:rPr>
              <w:t>组织管理层策划关于开展</w:t>
            </w:r>
            <w:r>
              <w:rPr>
                <w:rFonts w:hint="eastAsia" w:ascii="Times New Roman" w:hAnsi="Times New Roman" w:cs="Times New Roman"/>
                <w:sz w:val="21"/>
                <w:szCs w:val="21"/>
                <w:lang w:val="en-US" w:eastAsia="zh-CN"/>
              </w:rPr>
              <w:t>职业健康安全</w:t>
            </w:r>
            <w:r>
              <w:rPr>
                <w:rFonts w:hint="eastAsia" w:ascii="Times New Roman" w:hAnsi="Times New Roman" w:cs="Times New Roman"/>
                <w:sz w:val="21"/>
                <w:szCs w:val="21"/>
              </w:rPr>
              <w:t>管理体系中所采取措施，以便管理</w:t>
            </w:r>
            <w:r>
              <w:rPr>
                <w:rFonts w:hint="eastAsia" w:ascii="Times New Roman" w:hAnsi="Times New Roman" w:cs="Times New Roman"/>
                <w:sz w:val="21"/>
                <w:szCs w:val="21"/>
                <w:lang w:val="en-US" w:eastAsia="zh-CN"/>
              </w:rPr>
              <w:t>职业健康安全目标、危险源、</w:t>
            </w:r>
            <w:r>
              <w:rPr>
                <w:rFonts w:hint="eastAsia" w:ascii="Times New Roman" w:hAnsi="Times New Roman" w:cs="Times New Roman"/>
                <w:sz w:val="21"/>
                <w:szCs w:val="21"/>
              </w:rPr>
              <w:t>合规性义务、</w:t>
            </w:r>
            <w:r>
              <w:rPr>
                <w:rFonts w:hint="eastAsia" w:ascii="Times New Roman" w:hAnsi="Times New Roman" w:cs="Times New Roman"/>
                <w:sz w:val="21"/>
                <w:szCs w:val="21"/>
                <w:lang w:val="en-US" w:eastAsia="zh-CN"/>
              </w:rPr>
              <w:t>法律法规要求、</w:t>
            </w:r>
            <w:r>
              <w:rPr>
                <w:rFonts w:hint="eastAsia" w:ascii="Times New Roman" w:hAnsi="Times New Roman" w:cs="Times New Roman"/>
                <w:sz w:val="21"/>
                <w:szCs w:val="21"/>
              </w:rPr>
              <w:t>组织识别的风险等等。通过合规性评价、目标考核、运行方案、管理评审、内外部沟通等方式以保证管理体系达到预期结果。具体见各部门审核记录。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160" w:type="dxa"/>
            <w:vAlign w:val="top"/>
          </w:tcPr>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目标及其实现的策划</w:t>
            </w:r>
          </w:p>
        </w:tc>
        <w:tc>
          <w:tcPr>
            <w:tcW w:w="960" w:type="dxa"/>
            <w:vAlign w:val="top"/>
          </w:tcPr>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QEO</w:t>
            </w:r>
            <w:r>
              <w:rPr>
                <w:rFonts w:hint="eastAsia" w:ascii="Times New Roman" w:hAnsi="Times New Roman" w:eastAsia="宋体" w:cs="Times New Roman"/>
                <w:szCs w:val="21"/>
                <w:lang w:eastAsia="zh-CN"/>
              </w:rPr>
              <w:t>：</w:t>
            </w:r>
          </w:p>
          <w:p>
            <w:pPr>
              <w:adjustRightInd w:val="0"/>
              <w:snapToGrid w:val="0"/>
              <w:spacing w:line="300" w:lineRule="exact"/>
              <w:rPr>
                <w:rFonts w:hint="default" w:ascii="Times New Roman" w:hAnsi="Times New Roman" w:eastAsia="宋体" w:cs="Times New Roman"/>
                <w:szCs w:val="21"/>
              </w:rPr>
            </w:pPr>
            <w:r>
              <w:rPr>
                <w:rFonts w:hint="default" w:ascii="Times New Roman" w:hAnsi="Times New Roman" w:eastAsia="宋体" w:cs="Times New Roman"/>
                <w:szCs w:val="21"/>
              </w:rPr>
              <w:t xml:space="preserve">6.2 </w:t>
            </w:r>
          </w:p>
          <w:p>
            <w:pPr>
              <w:adjustRightInd w:val="0"/>
              <w:snapToGrid w:val="0"/>
              <w:spacing w:line="300" w:lineRule="exact"/>
              <w:rPr>
                <w:rFonts w:hint="default" w:ascii="Times New Roman" w:hAnsi="Times New Roman" w:eastAsia="宋体" w:cs="Times New Roman"/>
                <w:kern w:val="2"/>
                <w:sz w:val="21"/>
                <w:szCs w:val="21"/>
                <w:lang w:val="en-US" w:eastAsia="zh-CN" w:bidi="ar-SA"/>
              </w:rPr>
            </w:pPr>
          </w:p>
        </w:tc>
        <w:tc>
          <w:tcPr>
            <w:tcW w:w="10004" w:type="dxa"/>
            <w:vAlign w:val="top"/>
          </w:tcPr>
          <w:p>
            <w:pPr>
              <w:pStyle w:val="4"/>
              <w:snapToGrid w:val="0"/>
              <w:ind w:firstLine="457" w:firstLineChars="218"/>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查看</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管理手册</w:t>
            </w:r>
            <w:r>
              <w:rPr>
                <w:rFonts w:hint="default" w:ascii="Times New Roman" w:hAnsi="Times New Roman" w:eastAsia="宋体" w:cs="Times New Roman"/>
                <w:szCs w:val="21"/>
                <w:lang w:eastAsia="zh-CN"/>
              </w:rPr>
              <w:t>》</w:t>
            </w:r>
            <w:r>
              <w:rPr>
                <w:rFonts w:hint="default" w:ascii="Times New Roman" w:hAnsi="Times New Roman" w:eastAsia="宋体" w:cs="Times New Roman"/>
                <w:color w:val="000000"/>
                <w:kern w:val="0"/>
                <w:szCs w:val="21"/>
                <w:lang w:eastAsia="zh-CN"/>
              </w:rPr>
              <w:t>，</w:t>
            </w:r>
            <w:r>
              <w:rPr>
                <w:rFonts w:hint="default" w:ascii="Times New Roman" w:hAnsi="Times New Roman" w:eastAsia="宋体" w:cs="Times New Roman"/>
                <w:szCs w:val="21"/>
                <w:lang w:val="zh-CN"/>
              </w:rPr>
              <w:t>公司管理层以公司的质量/环境/职业健康安全方针为框架，结合公司的实际运营情况，制定公司总的管理目标：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1306"/>
              <w:gridCol w:w="244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dxa"/>
                </w:tcPr>
                <w:p>
                  <w:pPr>
                    <w:widowControl/>
                    <w:spacing w:before="40"/>
                    <w:jc w:val="left"/>
                    <w:rPr>
                      <w:color w:val="000000"/>
                      <w:szCs w:val="18"/>
                    </w:rPr>
                  </w:pPr>
                  <w:r>
                    <w:rPr>
                      <w:rFonts w:hint="eastAsia"/>
                      <w:color w:val="000000"/>
                      <w:szCs w:val="18"/>
                    </w:rPr>
                    <w:t>目标</w:t>
                  </w:r>
                </w:p>
              </w:tc>
              <w:tc>
                <w:tcPr>
                  <w:tcW w:w="1306" w:type="dxa"/>
                </w:tcPr>
                <w:p>
                  <w:pPr>
                    <w:widowControl/>
                    <w:spacing w:before="40"/>
                    <w:jc w:val="left"/>
                    <w:rPr>
                      <w:color w:val="000000"/>
                      <w:szCs w:val="18"/>
                    </w:rPr>
                  </w:pPr>
                  <w:r>
                    <w:rPr>
                      <w:rFonts w:hint="eastAsia"/>
                      <w:color w:val="000000"/>
                      <w:szCs w:val="18"/>
                    </w:rPr>
                    <w:t>考核频次</w:t>
                  </w:r>
                </w:p>
              </w:tc>
              <w:tc>
                <w:tcPr>
                  <w:tcW w:w="2444" w:type="dxa"/>
                </w:tcPr>
                <w:p>
                  <w:pPr>
                    <w:widowControl/>
                    <w:spacing w:before="40"/>
                    <w:jc w:val="left"/>
                    <w:rPr>
                      <w:color w:val="000000"/>
                      <w:szCs w:val="18"/>
                    </w:rPr>
                  </w:pPr>
                  <w:r>
                    <w:rPr>
                      <w:rFonts w:hint="eastAsia"/>
                      <w:color w:val="000000"/>
                      <w:szCs w:val="18"/>
                    </w:rPr>
                    <w:t>计算方法</w:t>
                  </w:r>
                </w:p>
              </w:tc>
              <w:tc>
                <w:tcPr>
                  <w:tcW w:w="3140" w:type="dxa"/>
                </w:tcPr>
                <w:p>
                  <w:pPr>
                    <w:widowControl/>
                    <w:spacing w:before="40"/>
                    <w:jc w:val="left"/>
                    <w:rPr>
                      <w:color w:val="000000"/>
                      <w:szCs w:val="18"/>
                    </w:rPr>
                  </w:pPr>
                  <w:r>
                    <w:rPr>
                      <w:rFonts w:hint="eastAsia"/>
                      <w:color w:val="000000"/>
                      <w:szCs w:val="18"/>
                    </w:rPr>
                    <w:t>完成情况（</w:t>
                  </w:r>
                  <w:r>
                    <w:rPr>
                      <w:rFonts w:hint="eastAsia"/>
                      <w:color w:val="000000"/>
                      <w:szCs w:val="18"/>
                      <w:lang w:val="en-US" w:eastAsia="zh-CN"/>
                    </w:rPr>
                    <w:t>第3季度</w:t>
                  </w:r>
                  <w:r>
                    <w:rPr>
                      <w:rFonts w:hint="eastAsia"/>
                      <w:color w:val="000000"/>
                      <w:szCs w:val="18"/>
                    </w:rPr>
                    <w:t>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dxa"/>
                </w:tcPr>
                <w:p>
                  <w:pPr>
                    <w:widowControl/>
                    <w:spacing w:before="40"/>
                    <w:jc w:val="left"/>
                    <w:rPr>
                      <w:color w:val="000000"/>
                      <w:sz w:val="21"/>
                      <w:szCs w:val="21"/>
                      <w:highlight w:val="cyan"/>
                    </w:rPr>
                  </w:pPr>
                  <w:r>
                    <w:rPr>
                      <w:rFonts w:hint="eastAsia" w:ascii="宋体" w:hAnsi="宋体" w:cs="黑体"/>
                      <w:bCs/>
                      <w:kern w:val="0"/>
                      <w:sz w:val="21"/>
                      <w:szCs w:val="21"/>
                    </w:rPr>
                    <w:t>产品交付一次合格率≥</w:t>
                  </w:r>
                  <w:r>
                    <w:rPr>
                      <w:rFonts w:ascii="宋体" w:hAnsi="宋体" w:cs="黑体"/>
                      <w:bCs/>
                      <w:kern w:val="0"/>
                      <w:sz w:val="21"/>
                      <w:szCs w:val="21"/>
                    </w:rPr>
                    <w:t>9</w:t>
                  </w:r>
                  <w:r>
                    <w:rPr>
                      <w:rFonts w:hint="eastAsia" w:ascii="宋体" w:hAnsi="宋体" w:cs="黑体"/>
                      <w:bCs/>
                      <w:kern w:val="0"/>
                      <w:sz w:val="21"/>
                      <w:szCs w:val="21"/>
                    </w:rPr>
                    <w:t>5</w:t>
                  </w:r>
                  <w:r>
                    <w:rPr>
                      <w:rFonts w:ascii="宋体" w:hAnsi="宋体" w:cs="黑体"/>
                      <w:bCs/>
                      <w:kern w:val="0"/>
                      <w:sz w:val="21"/>
                      <w:szCs w:val="21"/>
                    </w:rPr>
                    <w:t>%</w:t>
                  </w:r>
                </w:p>
              </w:tc>
              <w:tc>
                <w:tcPr>
                  <w:tcW w:w="1306" w:type="dxa"/>
                </w:tcPr>
                <w:p>
                  <w:pPr>
                    <w:widowControl/>
                    <w:spacing w:before="40"/>
                    <w:jc w:val="left"/>
                    <w:rPr>
                      <w:rFonts w:hint="eastAsia" w:eastAsia="宋体"/>
                      <w:color w:val="000000"/>
                      <w:szCs w:val="18"/>
                      <w:highlight w:val="cyan"/>
                      <w:lang w:val="en-US" w:eastAsia="zh-CN"/>
                    </w:rPr>
                  </w:pPr>
                  <w:r>
                    <w:rPr>
                      <w:rFonts w:hint="eastAsia"/>
                      <w:color w:val="000000"/>
                      <w:szCs w:val="18"/>
                      <w:highlight w:val="none"/>
                      <w:lang w:val="en-US" w:eastAsia="zh-CN"/>
                    </w:rPr>
                    <w:t>一季度一次</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产品交付一次合格产品数/产品交付数量*100%</w:t>
                  </w:r>
                </w:p>
              </w:tc>
              <w:tc>
                <w:tcPr>
                  <w:tcW w:w="3140" w:type="dxa"/>
                </w:tcPr>
                <w:p>
                  <w:pPr>
                    <w:widowControl/>
                    <w:spacing w:before="40"/>
                    <w:jc w:val="left"/>
                    <w:rPr>
                      <w:rFonts w:hint="eastAsia" w:eastAsia="宋体"/>
                      <w:color w:val="000000"/>
                      <w:szCs w:val="18"/>
                      <w:highlight w:val="cyan"/>
                      <w:lang w:val="en-US" w:eastAsia="zh-CN"/>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dxa"/>
                </w:tcPr>
                <w:p>
                  <w:pPr>
                    <w:widowControl/>
                    <w:spacing w:before="40"/>
                    <w:jc w:val="left"/>
                    <w:rPr>
                      <w:color w:val="000000"/>
                      <w:sz w:val="21"/>
                      <w:szCs w:val="21"/>
                      <w:highlight w:val="cyan"/>
                    </w:rPr>
                  </w:pPr>
                  <w:r>
                    <w:rPr>
                      <w:rFonts w:hint="eastAsia" w:ascii="宋体" w:hAnsi="宋体" w:cs="黑体"/>
                      <w:bCs/>
                      <w:kern w:val="0"/>
                      <w:sz w:val="21"/>
                      <w:szCs w:val="21"/>
                    </w:rPr>
                    <w:t>顾客满意率≥</w:t>
                  </w:r>
                  <w:r>
                    <w:rPr>
                      <w:rFonts w:ascii="宋体" w:hAnsi="宋体" w:cs="黑体"/>
                      <w:bCs/>
                      <w:kern w:val="0"/>
                      <w:sz w:val="21"/>
                      <w:szCs w:val="21"/>
                    </w:rPr>
                    <w:t>9</w:t>
                  </w:r>
                  <w:r>
                    <w:rPr>
                      <w:rFonts w:hint="eastAsia" w:ascii="宋体" w:hAnsi="宋体" w:cs="黑体"/>
                      <w:bCs/>
                      <w:kern w:val="0"/>
                      <w:sz w:val="21"/>
                      <w:szCs w:val="21"/>
                    </w:rPr>
                    <w:t>5</w:t>
                  </w:r>
                  <w:r>
                    <w:rPr>
                      <w:rFonts w:ascii="宋体" w:hAnsi="宋体" w:cs="黑体"/>
                      <w:bCs/>
                      <w:kern w:val="0"/>
                      <w:sz w:val="21"/>
                      <w:szCs w:val="21"/>
                    </w:rPr>
                    <w:t>%</w:t>
                  </w:r>
                </w:p>
              </w:tc>
              <w:tc>
                <w:tcPr>
                  <w:tcW w:w="1306" w:type="dxa"/>
                </w:tcPr>
                <w:p>
                  <w:pPr>
                    <w:widowControl/>
                    <w:spacing w:before="40"/>
                    <w:jc w:val="left"/>
                    <w:rPr>
                      <w:color w:val="000000"/>
                      <w:szCs w:val="18"/>
                      <w:highlight w:val="cyan"/>
                    </w:rPr>
                  </w:pPr>
                  <w:r>
                    <w:rPr>
                      <w:rFonts w:hint="eastAsia"/>
                      <w:color w:val="000000"/>
                      <w:szCs w:val="18"/>
                      <w:highlight w:val="none"/>
                      <w:lang w:val="en-US" w:eastAsia="zh-CN"/>
                    </w:rPr>
                    <w:t>一季度一次</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顾客满意度加权得分</w:t>
                  </w:r>
                </w:p>
              </w:tc>
              <w:tc>
                <w:tcPr>
                  <w:tcW w:w="3140" w:type="dxa"/>
                </w:tcPr>
                <w:p>
                  <w:pPr>
                    <w:widowControl/>
                    <w:spacing w:before="40"/>
                    <w:jc w:val="left"/>
                    <w:rPr>
                      <w:color w:val="000000"/>
                      <w:szCs w:val="18"/>
                      <w:highlight w:val="cyan"/>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dxa"/>
                </w:tcPr>
                <w:p>
                  <w:pPr>
                    <w:widowControl/>
                    <w:spacing w:before="40"/>
                    <w:jc w:val="left"/>
                    <w:rPr>
                      <w:color w:val="000000"/>
                      <w:sz w:val="21"/>
                      <w:szCs w:val="21"/>
                      <w:highlight w:val="cyan"/>
                    </w:rPr>
                  </w:pPr>
                  <w:r>
                    <w:rPr>
                      <w:rFonts w:hint="eastAsia" w:ascii="宋体" w:hAnsi="宋体" w:cs="黑体"/>
                      <w:bCs/>
                      <w:kern w:val="0"/>
                      <w:sz w:val="21"/>
                      <w:szCs w:val="21"/>
                    </w:rPr>
                    <w:t>废弃物</w:t>
                  </w:r>
                  <w:r>
                    <w:rPr>
                      <w:rFonts w:ascii="宋体" w:hAnsi="宋体" w:cs="黑体"/>
                      <w:bCs/>
                      <w:kern w:val="0"/>
                      <w:sz w:val="21"/>
                      <w:szCs w:val="21"/>
                    </w:rPr>
                    <w:t>100%</w:t>
                  </w:r>
                  <w:r>
                    <w:rPr>
                      <w:rFonts w:hint="eastAsia" w:ascii="宋体" w:hAnsi="宋体" w:cs="黑体"/>
                      <w:bCs/>
                      <w:kern w:val="0"/>
                      <w:sz w:val="21"/>
                      <w:szCs w:val="21"/>
                    </w:rPr>
                    <w:t>实现分类存放，合理处置</w:t>
                  </w:r>
                </w:p>
              </w:tc>
              <w:tc>
                <w:tcPr>
                  <w:tcW w:w="1306" w:type="dxa"/>
                </w:tcPr>
                <w:p>
                  <w:pPr>
                    <w:widowControl/>
                    <w:spacing w:before="40"/>
                    <w:jc w:val="left"/>
                    <w:rPr>
                      <w:color w:val="000000"/>
                      <w:szCs w:val="18"/>
                      <w:highlight w:val="cyan"/>
                    </w:rPr>
                  </w:pPr>
                  <w:r>
                    <w:rPr>
                      <w:rFonts w:hint="eastAsia"/>
                      <w:color w:val="000000"/>
                      <w:szCs w:val="18"/>
                      <w:highlight w:val="none"/>
                      <w:lang w:val="en-US" w:eastAsia="zh-CN"/>
                    </w:rPr>
                    <w:t>一季度一次</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定期统计</w:t>
                  </w:r>
                </w:p>
              </w:tc>
              <w:tc>
                <w:tcPr>
                  <w:tcW w:w="3140" w:type="dxa"/>
                </w:tcPr>
                <w:p>
                  <w:pPr>
                    <w:widowControl/>
                    <w:spacing w:before="40"/>
                    <w:jc w:val="left"/>
                    <w:rPr>
                      <w:color w:val="000000"/>
                      <w:szCs w:val="18"/>
                      <w:highlight w:val="cyan"/>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dxa"/>
                </w:tcPr>
                <w:p>
                  <w:pPr>
                    <w:widowControl/>
                    <w:spacing w:before="40"/>
                    <w:jc w:val="left"/>
                    <w:rPr>
                      <w:color w:val="000000"/>
                      <w:sz w:val="21"/>
                      <w:szCs w:val="21"/>
                      <w:highlight w:val="cyan"/>
                    </w:rPr>
                  </w:pPr>
                  <w:r>
                    <w:rPr>
                      <w:rFonts w:hint="eastAsia" w:ascii="宋体" w:hAnsi="宋体" w:cs="黑体"/>
                      <w:bCs/>
                      <w:kern w:val="0"/>
                      <w:sz w:val="21"/>
                      <w:szCs w:val="21"/>
                    </w:rPr>
                    <w:t>杜绝发生重大污染事故</w:t>
                  </w:r>
                </w:p>
              </w:tc>
              <w:tc>
                <w:tcPr>
                  <w:tcW w:w="1306" w:type="dxa"/>
                </w:tcPr>
                <w:p>
                  <w:pPr>
                    <w:widowControl/>
                    <w:spacing w:before="40"/>
                    <w:jc w:val="left"/>
                    <w:rPr>
                      <w:color w:val="000000"/>
                      <w:szCs w:val="18"/>
                      <w:highlight w:val="cyan"/>
                    </w:rPr>
                  </w:pPr>
                  <w:r>
                    <w:rPr>
                      <w:rFonts w:hint="eastAsia"/>
                      <w:color w:val="000000"/>
                      <w:szCs w:val="18"/>
                      <w:highlight w:val="none"/>
                      <w:lang w:val="en-US" w:eastAsia="zh-CN"/>
                    </w:rPr>
                    <w:t>一季度一次</w:t>
                  </w:r>
                </w:p>
              </w:tc>
              <w:tc>
                <w:tcPr>
                  <w:tcW w:w="2444" w:type="dxa"/>
                </w:tcPr>
                <w:p>
                  <w:pPr>
                    <w:widowControl/>
                    <w:spacing w:before="40"/>
                    <w:jc w:val="left"/>
                    <w:rPr>
                      <w:color w:val="000000"/>
                      <w:szCs w:val="18"/>
                      <w:highlight w:val="none"/>
                    </w:rPr>
                  </w:pPr>
                  <w:r>
                    <w:rPr>
                      <w:rFonts w:hint="eastAsia"/>
                      <w:color w:val="000000"/>
                      <w:szCs w:val="18"/>
                      <w:highlight w:val="none"/>
                      <w:lang w:val="en-US" w:eastAsia="zh-CN"/>
                    </w:rPr>
                    <w:t>定期统计</w:t>
                  </w:r>
                </w:p>
              </w:tc>
              <w:tc>
                <w:tcPr>
                  <w:tcW w:w="3140" w:type="dxa"/>
                </w:tcPr>
                <w:p>
                  <w:pPr>
                    <w:widowControl/>
                    <w:spacing w:before="40"/>
                    <w:jc w:val="left"/>
                    <w:rPr>
                      <w:color w:val="000000"/>
                      <w:szCs w:val="18"/>
                      <w:highlight w:val="cyan"/>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dxa"/>
                </w:tcPr>
                <w:p>
                  <w:pPr>
                    <w:widowControl/>
                    <w:spacing w:before="40"/>
                    <w:jc w:val="left"/>
                    <w:rPr>
                      <w:color w:val="000000"/>
                      <w:sz w:val="21"/>
                      <w:szCs w:val="21"/>
                      <w:highlight w:val="cyan"/>
                    </w:rPr>
                  </w:pPr>
                  <w:r>
                    <w:rPr>
                      <w:rFonts w:hint="eastAsia" w:ascii="宋体" w:hAnsi="宋体" w:cs="黑体"/>
                      <w:bCs/>
                      <w:kern w:val="0"/>
                      <w:sz w:val="21"/>
                      <w:szCs w:val="21"/>
                    </w:rPr>
                    <w:t>杜绝发生重伤、死亡事故</w:t>
                  </w:r>
                </w:p>
              </w:tc>
              <w:tc>
                <w:tcPr>
                  <w:tcW w:w="1306" w:type="dxa"/>
                </w:tcPr>
                <w:p>
                  <w:pPr>
                    <w:widowControl/>
                    <w:spacing w:before="40"/>
                    <w:jc w:val="left"/>
                    <w:rPr>
                      <w:color w:val="000000"/>
                      <w:szCs w:val="18"/>
                      <w:highlight w:val="cyan"/>
                    </w:rPr>
                  </w:pPr>
                  <w:r>
                    <w:rPr>
                      <w:rFonts w:hint="eastAsia"/>
                      <w:color w:val="000000"/>
                      <w:szCs w:val="18"/>
                      <w:highlight w:val="none"/>
                      <w:lang w:val="en-US" w:eastAsia="zh-CN"/>
                    </w:rPr>
                    <w:t>一季度一次</w:t>
                  </w:r>
                </w:p>
              </w:tc>
              <w:tc>
                <w:tcPr>
                  <w:tcW w:w="2444" w:type="dxa"/>
                </w:tcPr>
                <w:p>
                  <w:pPr>
                    <w:widowControl/>
                    <w:spacing w:before="40"/>
                    <w:jc w:val="left"/>
                    <w:rPr>
                      <w:color w:val="000000"/>
                      <w:szCs w:val="18"/>
                      <w:highlight w:val="none"/>
                    </w:rPr>
                  </w:pPr>
                  <w:r>
                    <w:rPr>
                      <w:rFonts w:hint="eastAsia"/>
                      <w:color w:val="000000"/>
                      <w:szCs w:val="18"/>
                      <w:highlight w:val="none"/>
                      <w:lang w:val="en-US" w:eastAsia="zh-CN"/>
                    </w:rPr>
                    <w:t>定期统计</w:t>
                  </w:r>
                </w:p>
              </w:tc>
              <w:tc>
                <w:tcPr>
                  <w:tcW w:w="3140" w:type="dxa"/>
                </w:tcPr>
                <w:p>
                  <w:pPr>
                    <w:widowControl/>
                    <w:spacing w:before="40"/>
                    <w:jc w:val="left"/>
                    <w:rPr>
                      <w:color w:val="000000"/>
                      <w:szCs w:val="18"/>
                      <w:highlight w:val="cyan"/>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dxa"/>
                </w:tcPr>
                <w:p>
                  <w:pPr>
                    <w:widowControl/>
                    <w:spacing w:before="40"/>
                    <w:jc w:val="left"/>
                    <w:rPr>
                      <w:color w:val="000000"/>
                      <w:sz w:val="21"/>
                      <w:szCs w:val="21"/>
                      <w:highlight w:val="cyan"/>
                    </w:rPr>
                  </w:pPr>
                  <w:r>
                    <w:rPr>
                      <w:rFonts w:hint="eastAsia" w:ascii="宋体" w:hAnsi="宋体" w:cs="黑体"/>
                      <w:bCs/>
                      <w:kern w:val="0"/>
                      <w:sz w:val="21"/>
                      <w:szCs w:val="21"/>
                    </w:rPr>
                    <w:t>轻伤每年不超过</w:t>
                  </w:r>
                  <w:r>
                    <w:rPr>
                      <w:rFonts w:ascii="宋体" w:hAnsi="宋体" w:cs="黑体"/>
                      <w:bCs/>
                      <w:kern w:val="0"/>
                      <w:sz w:val="21"/>
                      <w:szCs w:val="21"/>
                    </w:rPr>
                    <w:t>3</w:t>
                  </w:r>
                  <w:r>
                    <w:rPr>
                      <w:rFonts w:hint="eastAsia" w:ascii="宋体" w:hAnsi="宋体" w:cs="黑体"/>
                      <w:bCs/>
                      <w:kern w:val="0"/>
                      <w:sz w:val="21"/>
                      <w:szCs w:val="21"/>
                    </w:rPr>
                    <w:t>起</w:t>
                  </w:r>
                </w:p>
              </w:tc>
              <w:tc>
                <w:tcPr>
                  <w:tcW w:w="1306" w:type="dxa"/>
                </w:tcPr>
                <w:p>
                  <w:pPr>
                    <w:widowControl/>
                    <w:spacing w:before="40"/>
                    <w:jc w:val="left"/>
                    <w:rPr>
                      <w:color w:val="000000"/>
                      <w:szCs w:val="18"/>
                      <w:highlight w:val="cyan"/>
                    </w:rPr>
                  </w:pPr>
                  <w:r>
                    <w:rPr>
                      <w:rFonts w:hint="eastAsia"/>
                      <w:color w:val="000000"/>
                      <w:szCs w:val="18"/>
                      <w:highlight w:val="none"/>
                      <w:lang w:val="en-US" w:eastAsia="zh-CN"/>
                    </w:rPr>
                    <w:t>一季度一次</w:t>
                  </w:r>
                </w:p>
              </w:tc>
              <w:tc>
                <w:tcPr>
                  <w:tcW w:w="2444" w:type="dxa"/>
                </w:tcPr>
                <w:p>
                  <w:pPr>
                    <w:widowControl/>
                    <w:spacing w:before="40"/>
                    <w:jc w:val="left"/>
                    <w:rPr>
                      <w:color w:val="000000"/>
                      <w:szCs w:val="18"/>
                      <w:highlight w:val="none"/>
                    </w:rPr>
                  </w:pPr>
                  <w:r>
                    <w:rPr>
                      <w:rFonts w:hint="eastAsia"/>
                      <w:color w:val="000000"/>
                      <w:szCs w:val="18"/>
                      <w:highlight w:val="none"/>
                      <w:lang w:val="en-US" w:eastAsia="zh-CN"/>
                    </w:rPr>
                    <w:t>定期统计</w:t>
                  </w:r>
                </w:p>
              </w:tc>
              <w:tc>
                <w:tcPr>
                  <w:tcW w:w="3140" w:type="dxa"/>
                </w:tcPr>
                <w:p>
                  <w:pPr>
                    <w:widowControl/>
                    <w:spacing w:before="40"/>
                    <w:jc w:val="left"/>
                    <w:rPr>
                      <w:color w:val="000000"/>
                      <w:szCs w:val="18"/>
                      <w:highlight w:val="cyan"/>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dxa"/>
                </w:tcPr>
                <w:p>
                  <w:pPr>
                    <w:widowControl/>
                    <w:spacing w:before="40"/>
                    <w:jc w:val="left"/>
                    <w:rPr>
                      <w:color w:val="000000"/>
                      <w:sz w:val="21"/>
                      <w:szCs w:val="21"/>
                      <w:highlight w:val="cyan"/>
                    </w:rPr>
                  </w:pPr>
                  <w:r>
                    <w:rPr>
                      <w:rFonts w:hint="eastAsia" w:ascii="宋体" w:hAnsi="宋体" w:cs="黑体"/>
                      <w:bCs/>
                      <w:kern w:val="0"/>
                      <w:sz w:val="21"/>
                      <w:szCs w:val="21"/>
                    </w:rPr>
                    <w:t>火灾事故发生率为</w:t>
                  </w:r>
                  <w:r>
                    <w:rPr>
                      <w:rFonts w:ascii="宋体" w:hAnsi="宋体" w:cs="黑体"/>
                      <w:bCs/>
                      <w:kern w:val="0"/>
                      <w:sz w:val="21"/>
                      <w:szCs w:val="21"/>
                    </w:rPr>
                    <w:t>0</w:t>
                  </w:r>
                </w:p>
              </w:tc>
              <w:tc>
                <w:tcPr>
                  <w:tcW w:w="1306" w:type="dxa"/>
                </w:tcPr>
                <w:p>
                  <w:pPr>
                    <w:widowControl/>
                    <w:spacing w:before="40"/>
                    <w:jc w:val="left"/>
                    <w:rPr>
                      <w:color w:val="000000"/>
                      <w:szCs w:val="18"/>
                      <w:highlight w:val="cyan"/>
                    </w:rPr>
                  </w:pPr>
                  <w:r>
                    <w:rPr>
                      <w:rFonts w:hint="eastAsia"/>
                      <w:color w:val="000000"/>
                      <w:szCs w:val="18"/>
                      <w:highlight w:val="none"/>
                      <w:lang w:val="en-US" w:eastAsia="zh-CN"/>
                    </w:rPr>
                    <w:t>一季度一次</w:t>
                  </w:r>
                </w:p>
              </w:tc>
              <w:tc>
                <w:tcPr>
                  <w:tcW w:w="2444" w:type="dxa"/>
                </w:tcPr>
                <w:p>
                  <w:pPr>
                    <w:widowControl/>
                    <w:spacing w:before="40"/>
                    <w:jc w:val="left"/>
                    <w:rPr>
                      <w:color w:val="000000"/>
                      <w:szCs w:val="18"/>
                      <w:highlight w:val="none"/>
                    </w:rPr>
                  </w:pPr>
                  <w:r>
                    <w:rPr>
                      <w:rFonts w:hint="eastAsia"/>
                      <w:color w:val="000000"/>
                      <w:szCs w:val="18"/>
                      <w:highlight w:val="none"/>
                      <w:lang w:val="en-US" w:eastAsia="zh-CN"/>
                    </w:rPr>
                    <w:t>定期统计</w:t>
                  </w:r>
                </w:p>
              </w:tc>
              <w:tc>
                <w:tcPr>
                  <w:tcW w:w="3140" w:type="dxa"/>
                </w:tcPr>
                <w:p>
                  <w:pPr>
                    <w:widowControl/>
                    <w:spacing w:before="40"/>
                    <w:jc w:val="left"/>
                    <w:rPr>
                      <w:color w:val="000000"/>
                      <w:szCs w:val="18"/>
                      <w:highlight w:val="cyan"/>
                    </w:rPr>
                  </w:pPr>
                  <w:r>
                    <w:rPr>
                      <w:rFonts w:hint="eastAsia"/>
                      <w:color w:val="000000"/>
                      <w:szCs w:val="18"/>
                      <w:highlight w:val="none"/>
                      <w:lang w:val="en-US" w:eastAsia="zh-CN"/>
                    </w:rPr>
                    <w:t>已完成</w:t>
                  </w:r>
                </w:p>
              </w:tc>
            </w:tr>
          </w:tbl>
          <w:p>
            <w:pPr>
              <w:ind w:firstLine="42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为确保目标的实现，对管理目标进行了分解，并规定了考核办法</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由办公室组织有关人员对各部门质量目标实现情况进行测评，结果报总经理。应在每次管理评审前由办公室对目标的完成情况进行监视、测量并输入管理评审。</w:t>
            </w:r>
          </w:p>
          <w:p>
            <w:pPr>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eastAsia="zh-CN"/>
              </w:rPr>
              <w:t>为确保环境目标指标和安全目标指标的实现，编制了管理方案，落实了各项管理计划和资金投入，并进行了阶段性验收，具体目标指标考核情况见各部门详细审核记录。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资源</w:t>
            </w:r>
          </w:p>
        </w:tc>
        <w:tc>
          <w:tcPr>
            <w:tcW w:w="960" w:type="dxa"/>
            <w:vAlign w:val="top"/>
          </w:tcPr>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QEO</w:t>
            </w:r>
            <w:r>
              <w:rPr>
                <w:rFonts w:hint="eastAsia" w:ascii="Times New Roman" w:hAnsi="Times New Roman" w:eastAsia="宋体" w:cs="Times New Roman"/>
                <w:szCs w:val="21"/>
                <w:lang w:eastAsia="zh-CN"/>
              </w:rPr>
              <w:t>：</w:t>
            </w:r>
          </w:p>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7.1</w:t>
            </w:r>
          </w:p>
        </w:tc>
        <w:tc>
          <w:tcPr>
            <w:tcW w:w="10004" w:type="dxa"/>
            <w:vAlign w:val="top"/>
          </w:tcPr>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公司确定并提供为建立、实施、保持和持续改进质量、环境、职业健康安全管理体系所需的资源。</w:t>
            </w:r>
          </w:p>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人力资源：目前职工人数</w:t>
            </w:r>
            <w:r>
              <w:rPr>
                <w:rFonts w:hint="eastAsia" w:cs="Times New Roman"/>
                <w:szCs w:val="21"/>
                <w:lang w:val="en-US" w:eastAsia="zh-CN"/>
              </w:rPr>
              <w:t>20</w:t>
            </w:r>
            <w:r>
              <w:rPr>
                <w:rFonts w:hint="default" w:ascii="Times New Roman" w:hAnsi="Times New Roman" w:eastAsia="宋体" w:cs="Times New Roman"/>
                <w:szCs w:val="21"/>
                <w:lang w:val="en-US" w:eastAsia="zh-CN"/>
              </w:rPr>
              <w:t>人。有公司的销售网络和固定的客户群。与总经理</w:t>
            </w:r>
            <w:r>
              <w:rPr>
                <w:rFonts w:hint="eastAsia" w:cs="Times New Roman"/>
                <w:szCs w:val="21"/>
                <w:lang w:val="en-US" w:eastAsia="zh-CN"/>
              </w:rPr>
              <w:t>张</w:t>
            </w:r>
            <w:r>
              <w:rPr>
                <w:rFonts w:hint="default" w:ascii="Times New Roman" w:hAnsi="Times New Roman" w:eastAsia="宋体" w:cs="Times New Roman"/>
                <w:szCs w:val="21"/>
                <w:lang w:val="en-US" w:eastAsia="zh-CN"/>
              </w:rPr>
              <w:t>总沟通，202</w:t>
            </w: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lang w:val="en-US" w:eastAsia="zh-CN"/>
              </w:rPr>
              <w:t>年上半年计划招备业务人员2人，开拓市场，目前正在实施中，由办公室负责。</w:t>
            </w:r>
          </w:p>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2）基础设施：</w:t>
            </w:r>
            <w:r>
              <w:rPr>
                <w:rFonts w:hint="eastAsia" w:cs="Times New Roman"/>
                <w:szCs w:val="21"/>
                <w:lang w:val="en-US" w:eastAsia="zh-CN"/>
              </w:rPr>
              <w:t>视频查看</w:t>
            </w:r>
            <w:r>
              <w:rPr>
                <w:rFonts w:hint="default" w:ascii="Times New Roman" w:hAnsi="Times New Roman" w:eastAsia="宋体" w:cs="Times New Roman"/>
                <w:szCs w:val="21"/>
                <w:lang w:val="en-US" w:eastAsia="zh-CN"/>
              </w:rPr>
              <w:t>，</w:t>
            </w:r>
            <w:r>
              <w:rPr>
                <w:rFonts w:hint="eastAsia" w:cs="Times New Roman"/>
                <w:szCs w:val="21"/>
                <w:lang w:val="en-US" w:eastAsia="zh-CN"/>
              </w:rPr>
              <w:t>结合杨总介绍，公司厂房</w:t>
            </w:r>
            <w:r>
              <w:rPr>
                <w:rFonts w:hint="default" w:ascii="Times New Roman" w:hAnsi="Times New Roman" w:eastAsia="宋体" w:cs="Times New Roman"/>
                <w:szCs w:val="21"/>
                <w:lang w:val="en-US" w:eastAsia="zh-CN"/>
              </w:rPr>
              <w:t>面积约</w:t>
            </w:r>
            <w:r>
              <w:rPr>
                <w:rFonts w:hint="eastAsia" w:cs="Times New Roman"/>
                <w:szCs w:val="21"/>
                <w:lang w:val="en-US" w:eastAsia="zh-CN"/>
              </w:rPr>
              <w:t>1000</w:t>
            </w:r>
            <w:r>
              <w:rPr>
                <w:rFonts w:hint="default" w:ascii="Times New Roman" w:hAnsi="Times New Roman" w:eastAsia="宋体" w:cs="Times New Roman"/>
                <w:szCs w:val="21"/>
                <w:lang w:val="en-US" w:eastAsia="zh-CN"/>
              </w:rPr>
              <w:t>平，配备有</w:t>
            </w:r>
            <w:r>
              <w:rPr>
                <w:rFonts w:hint="eastAsia" w:cs="Times New Roman"/>
                <w:szCs w:val="21"/>
                <w:lang w:val="en-US" w:eastAsia="zh-CN"/>
              </w:rPr>
              <w:t>1个车间1个库房，</w:t>
            </w:r>
            <w:r>
              <w:rPr>
                <w:rFonts w:hint="default" w:ascii="Times New Roman" w:hAnsi="Times New Roman" w:eastAsia="宋体" w:cs="Times New Roman"/>
                <w:szCs w:val="21"/>
                <w:lang w:val="en-US" w:eastAsia="zh-CN"/>
              </w:rPr>
              <w:t>整体环境良好，干净整洁。</w:t>
            </w:r>
          </w:p>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3）水电供应由</w:t>
            </w:r>
            <w:r>
              <w:rPr>
                <w:rFonts w:hint="eastAsia" w:cs="Times New Roman"/>
                <w:szCs w:val="21"/>
                <w:lang w:val="en-US" w:eastAsia="zh-CN"/>
              </w:rPr>
              <w:t>办公室</w:t>
            </w:r>
            <w:r>
              <w:rPr>
                <w:rFonts w:hint="default" w:ascii="Times New Roman" w:hAnsi="Times New Roman" w:eastAsia="宋体" w:cs="Times New Roman"/>
                <w:szCs w:val="21"/>
                <w:lang w:val="en-US" w:eastAsia="zh-CN"/>
              </w:rPr>
              <w:t>负责，各部门按《节能降耗控制办法》的规定使用水、电等能源资源。</w:t>
            </w:r>
          </w:p>
          <w:p>
            <w:pPr>
              <w:adjustRightInd w:val="0"/>
              <w:snapToGrid w:val="0"/>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此外，创造无歧视、和谐稳定、无对抗的工作氛围，采取措施舒缓心理压力、预防过度疲劳、保护个人情感也是过程运行环境管理的重要组成部分。</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eastAsia="宋体"/>
                <w:lang w:val="en-US" w:eastAsia="zh-CN"/>
              </w:rPr>
            </w:pPr>
            <w:r>
              <w:rPr>
                <w:rFonts w:hint="eastAsia"/>
                <w:lang w:val="en-US" w:eastAsia="zh-CN"/>
              </w:rPr>
              <w:t>管理评审</w:t>
            </w:r>
          </w:p>
        </w:tc>
        <w:tc>
          <w:tcPr>
            <w:tcW w:w="960" w:type="dxa"/>
            <w:vAlign w:val="top"/>
          </w:tcPr>
          <w:p>
            <w:pPr>
              <w:adjustRightInd w:val="0"/>
              <w:snapToGrid w:val="0"/>
              <w:spacing w:line="30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QEO</w:t>
            </w:r>
            <w:r>
              <w:rPr>
                <w:rFonts w:hint="eastAsia" w:ascii="Times New Roman" w:hAnsi="Times New Roman" w:eastAsia="宋体" w:cs="Times New Roman"/>
                <w:lang w:val="en-US" w:eastAsia="zh-CN"/>
              </w:rPr>
              <w:t>：</w:t>
            </w:r>
          </w:p>
          <w:p>
            <w:pPr>
              <w:pStyle w:val="2"/>
              <w:rPr>
                <w:rFonts w:hint="default" w:ascii="Times New Roman" w:hAnsi="Times New Roman" w:eastAsia="宋体" w:cs="Times New Roman"/>
                <w:kern w:val="2"/>
                <w:sz w:val="24"/>
                <w:lang w:val="en-US" w:eastAsia="zh-CN" w:bidi="ar-SA"/>
              </w:rPr>
            </w:pPr>
            <w:r>
              <w:rPr>
                <w:rFonts w:hint="default" w:ascii="Times New Roman" w:hAnsi="Times New Roman" w:eastAsia="宋体" w:cs="Times New Roman"/>
                <w:sz w:val="21"/>
                <w:szCs w:val="21"/>
                <w:lang w:val="en-US" w:eastAsia="zh-CN"/>
              </w:rPr>
              <w:t>9.3</w:t>
            </w:r>
          </w:p>
        </w:tc>
        <w:tc>
          <w:tcPr>
            <w:tcW w:w="10004" w:type="dxa"/>
            <w:vAlign w:val="top"/>
          </w:tcPr>
          <w:p>
            <w:pPr>
              <w:adjustRightInd w:val="0"/>
              <w:snapToGrid w:val="0"/>
              <w:spacing w:line="300" w:lineRule="exact"/>
              <w:ind w:firstLine="420" w:firstLineChars="200"/>
              <w:rPr>
                <w:rFonts w:hint="default"/>
                <w:lang w:val="en-US" w:eastAsia="zh-CN"/>
              </w:rPr>
            </w:pPr>
            <w:r>
              <w:rPr>
                <w:rFonts w:hint="default"/>
                <w:lang w:val="en-US" w:eastAsia="zh-CN"/>
              </w:rPr>
              <w:t>执行《管理评审</w:t>
            </w:r>
            <w:r>
              <w:rPr>
                <w:rFonts w:hint="eastAsia"/>
                <w:lang w:val="en-US" w:eastAsia="zh-CN"/>
              </w:rPr>
              <w:t>控制</w:t>
            </w:r>
            <w:r>
              <w:rPr>
                <w:rFonts w:hint="default"/>
                <w:lang w:val="en-US" w:eastAsia="zh-CN"/>
              </w:rPr>
              <w:t>程序》，按程序要求进行管理评审，每年至少一次，总经理主持。</w:t>
            </w:r>
          </w:p>
          <w:p>
            <w:pPr>
              <w:adjustRightInd w:val="0"/>
              <w:snapToGrid w:val="0"/>
              <w:spacing w:line="300" w:lineRule="exact"/>
              <w:ind w:firstLine="420" w:firstLineChars="200"/>
              <w:rPr>
                <w:rFonts w:hint="default"/>
                <w:lang w:val="en-US" w:eastAsia="zh-CN"/>
              </w:rPr>
            </w:pPr>
            <w:r>
              <w:rPr>
                <w:rFonts w:hint="default"/>
                <w:lang w:val="en-US" w:eastAsia="zh-CN"/>
              </w:rPr>
              <w:t>查最近一次管理评审，提供了管理评审计划、会议签到表、质量环境职业健康安全管理体系运行报告、各部门的汇报材料、管理评审报告、改进计划</w:t>
            </w:r>
          </w:p>
          <w:p>
            <w:pPr>
              <w:adjustRightInd w:val="0"/>
              <w:snapToGrid w:val="0"/>
              <w:spacing w:line="300" w:lineRule="exact"/>
              <w:ind w:firstLine="420" w:firstLineChars="200"/>
              <w:rPr>
                <w:rFonts w:hint="default"/>
                <w:lang w:val="en-US" w:eastAsia="zh-CN"/>
              </w:rPr>
            </w:pPr>
            <w:r>
              <w:rPr>
                <w:rFonts w:hint="default"/>
                <w:lang w:val="en-US" w:eastAsia="zh-CN"/>
              </w:rPr>
              <w:t>1.查《管理评审计划》，明确了评审目的、范围、地点、主持人、参加评审的人员、评审的内容和各部门需准备的评审材料。</w:t>
            </w:r>
          </w:p>
          <w:p>
            <w:pPr>
              <w:adjustRightInd w:val="0"/>
              <w:snapToGrid w:val="0"/>
              <w:spacing w:line="300" w:lineRule="exact"/>
              <w:ind w:firstLine="420" w:firstLineChars="200"/>
              <w:rPr>
                <w:rFonts w:hint="default"/>
                <w:lang w:val="en-US" w:eastAsia="zh-CN"/>
              </w:rPr>
            </w:pPr>
            <w:r>
              <w:rPr>
                <w:rFonts w:hint="default"/>
                <w:lang w:val="en-US" w:eastAsia="zh-CN"/>
              </w:rPr>
              <w:t>2.实际执行：于2022年</w:t>
            </w:r>
            <w:r>
              <w:rPr>
                <w:rFonts w:hint="eastAsia"/>
                <w:lang w:val="en-US" w:eastAsia="zh-CN"/>
              </w:rPr>
              <w:t>10</w:t>
            </w:r>
            <w:r>
              <w:rPr>
                <w:rFonts w:hint="default"/>
                <w:lang w:val="en-US" w:eastAsia="zh-CN"/>
              </w:rPr>
              <w:t>月</w:t>
            </w:r>
            <w:r>
              <w:rPr>
                <w:rFonts w:hint="eastAsia"/>
                <w:lang w:val="en-US" w:eastAsia="zh-CN"/>
              </w:rPr>
              <w:t>27</w:t>
            </w:r>
            <w:r>
              <w:rPr>
                <w:rFonts w:hint="default"/>
                <w:lang w:val="en-US" w:eastAsia="zh-CN"/>
              </w:rPr>
              <w:t>日在公司会议室由总经理</w:t>
            </w:r>
            <w:r>
              <w:rPr>
                <w:rFonts w:hint="eastAsia"/>
                <w:lang w:val="en-US" w:eastAsia="zh-CN"/>
              </w:rPr>
              <w:t>张元磊</w:t>
            </w:r>
            <w:r>
              <w:rPr>
                <w:rFonts w:hint="default"/>
                <w:lang w:val="en-US" w:eastAsia="zh-CN"/>
              </w:rPr>
              <w:t>召开主持了管理评审。</w:t>
            </w:r>
          </w:p>
          <w:p>
            <w:pPr>
              <w:adjustRightInd w:val="0"/>
              <w:snapToGrid w:val="0"/>
              <w:spacing w:line="300" w:lineRule="exact"/>
              <w:rPr>
                <w:rFonts w:hint="default"/>
                <w:lang w:val="en-US" w:eastAsia="zh-CN"/>
              </w:rPr>
            </w:pPr>
            <w:r>
              <w:rPr>
                <w:rFonts w:hint="default"/>
                <w:lang w:val="en-US" w:eastAsia="zh-CN"/>
              </w:rPr>
              <w:t>提供了管理评审会议记录、各部门领导所做的部门体系运行工作汇报。现场询问总经理</w:t>
            </w:r>
            <w:r>
              <w:rPr>
                <w:rFonts w:hint="eastAsia"/>
                <w:lang w:val="en-US" w:eastAsia="zh-CN"/>
              </w:rPr>
              <w:t>张元磊</w:t>
            </w:r>
            <w:r>
              <w:rPr>
                <w:rFonts w:hint="default"/>
                <w:lang w:val="en-US" w:eastAsia="zh-CN"/>
              </w:rPr>
              <w:t>，均参加了管理评审会议。</w:t>
            </w:r>
          </w:p>
          <w:p>
            <w:pPr>
              <w:adjustRightInd w:val="0"/>
              <w:snapToGrid w:val="0"/>
              <w:spacing w:line="300" w:lineRule="exact"/>
              <w:ind w:firstLine="420" w:firstLineChars="200"/>
              <w:rPr>
                <w:rFonts w:hint="default"/>
                <w:lang w:val="en-US" w:eastAsia="zh-CN"/>
              </w:rPr>
            </w:pPr>
            <w:r>
              <w:rPr>
                <w:rFonts w:hint="default"/>
                <w:lang w:val="en-US" w:eastAsia="zh-CN"/>
              </w:rPr>
              <w:t>3.查《管理评审报告》，评审结论：</w:t>
            </w:r>
            <w:r>
              <w:rPr>
                <w:rFonts w:hint="eastAsia"/>
                <w:lang w:val="en-US" w:eastAsia="zh-CN"/>
              </w:rPr>
              <w:t>公司已按照GB/T19001-2016、GB/T24001-2016、GB/T45001-2020标准建立了符合本公司实际的管理体系，体系是持续适宜的、充分的和有效的。基本能够得到实施和保持。方针、目标和指标是适应的，正在通过体系的运行不断实现。通过本次管理评审，确保了质量、环境和职业健康安全方针、目标和管理体系持续的适宜性、充分性和有效性，达到了持续改进的目的，为下一步外审工作奠定了良好的基础</w:t>
            </w:r>
            <w:r>
              <w:rPr>
                <w:rFonts w:hint="default"/>
                <w:lang w:val="en-US" w:eastAsia="zh-CN"/>
              </w:rPr>
              <w:t>。</w:t>
            </w:r>
          </w:p>
          <w:p>
            <w:pPr>
              <w:adjustRightInd w:val="0"/>
              <w:snapToGrid w:val="0"/>
              <w:spacing w:line="300" w:lineRule="exact"/>
              <w:ind w:firstLine="420" w:firstLineChars="200"/>
              <w:rPr>
                <w:rFonts w:hint="default"/>
                <w:lang w:val="en-US" w:eastAsia="zh-CN"/>
              </w:rPr>
            </w:pPr>
            <w:r>
              <w:rPr>
                <w:rFonts w:hint="default"/>
                <w:lang w:val="en-US" w:eastAsia="zh-CN"/>
              </w:rPr>
              <w:t>4.管理评审改进内容及要求：</w:t>
            </w:r>
            <w:r>
              <w:rPr>
                <w:rFonts w:hint="eastAsia" w:ascii="宋体" w:hAnsi="宋体"/>
                <w:snapToGrid w:val="0"/>
                <w:kern w:val="0"/>
                <w:lang w:val="en-US" w:eastAsia="zh-CN"/>
              </w:rPr>
              <w:t>招聘业务人员</w:t>
            </w:r>
            <w:r>
              <w:rPr>
                <w:rFonts w:hint="default"/>
                <w:lang w:val="en-US" w:eastAsia="zh-CN"/>
              </w:rPr>
              <w:t>。</w:t>
            </w:r>
          </w:p>
          <w:p>
            <w:pPr>
              <w:adjustRightInd w:val="0"/>
              <w:snapToGrid w:val="0"/>
              <w:spacing w:line="300" w:lineRule="exact"/>
              <w:ind w:firstLine="420" w:firstLineChars="200"/>
              <w:rPr>
                <w:rFonts w:hint="eastAsia" w:ascii="Times New Roman" w:hAnsi="Times New Roman" w:eastAsia="宋体" w:cs="Times New Roman"/>
                <w:bCs/>
                <w:spacing w:val="10"/>
                <w:kern w:val="2"/>
                <w:sz w:val="21"/>
                <w:lang w:val="en-US" w:eastAsia="zh-CN" w:bidi="ar-SA"/>
              </w:rPr>
            </w:pPr>
            <w:r>
              <w:rPr>
                <w:rFonts w:hint="default"/>
                <w:lang w:val="en-US" w:eastAsia="zh-CN"/>
              </w:rPr>
              <w:t>管理评审提出的改进措施已培训完成，目前已实施完成。</w:t>
            </w:r>
            <w:r>
              <w:rPr>
                <w:rFonts w:hint="eastAsia"/>
                <w:lang w:val="en-US" w:eastAsia="zh-CN"/>
              </w:rPr>
              <w:t xml:space="preserve"> </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0" w:type="dxa"/>
            <w:vAlign w:val="top"/>
          </w:tcPr>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持续改进</w:t>
            </w:r>
          </w:p>
        </w:tc>
        <w:tc>
          <w:tcPr>
            <w:tcW w:w="960" w:type="dxa"/>
            <w:vAlign w:val="top"/>
          </w:tcPr>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QEO</w:t>
            </w:r>
            <w:r>
              <w:rPr>
                <w:rFonts w:hint="eastAsia" w:ascii="Times New Roman" w:hAnsi="Times New Roman" w:eastAsia="宋体" w:cs="Times New Roman"/>
                <w:szCs w:val="21"/>
                <w:lang w:eastAsia="zh-CN"/>
              </w:rPr>
              <w:t>：</w:t>
            </w:r>
          </w:p>
          <w:p>
            <w:pPr>
              <w:adjustRightInd w:val="0"/>
              <w:snapToGrid w:val="0"/>
              <w:spacing w:line="300" w:lineRule="exact"/>
              <w:rPr>
                <w:rFonts w:hint="default" w:ascii="Times New Roman" w:hAnsi="Times New Roman" w:eastAsia="宋体" w:cs="Times New Roman"/>
                <w:szCs w:val="21"/>
              </w:rPr>
            </w:pPr>
            <w:r>
              <w:rPr>
                <w:rFonts w:hint="default" w:ascii="Times New Roman" w:hAnsi="Times New Roman" w:eastAsia="宋体" w:cs="Times New Roman"/>
                <w:szCs w:val="21"/>
              </w:rPr>
              <w:t>10.1</w:t>
            </w:r>
          </w:p>
          <w:p>
            <w:pPr>
              <w:adjustRightInd w:val="0"/>
              <w:snapToGrid w:val="0"/>
              <w:spacing w:line="300" w:lineRule="exact"/>
              <w:rPr>
                <w:rFonts w:hint="default" w:ascii="Times New Roman" w:hAnsi="Times New Roman" w:eastAsia="宋体" w:cs="Times New Roman"/>
                <w:kern w:val="2"/>
                <w:sz w:val="21"/>
                <w:szCs w:val="21"/>
                <w:lang w:val="en-US" w:eastAsia="zh-CN" w:bidi="ar-SA"/>
              </w:rPr>
            </w:pPr>
          </w:p>
        </w:tc>
        <w:tc>
          <w:tcPr>
            <w:tcW w:w="10004" w:type="dxa"/>
            <w:vAlign w:val="center"/>
          </w:tcPr>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编制并执行《</w:t>
            </w:r>
            <w:r>
              <w:rPr>
                <w:rFonts w:hint="eastAsia" w:ascii="宋体" w:hAnsi="宋体" w:cs="宋体"/>
                <w:bCs/>
                <w:sz w:val="21"/>
                <w:szCs w:val="21"/>
              </w:rPr>
              <w:t>事件调查、不符合、纠正及预防措施控制程序</w:t>
            </w:r>
            <w:r>
              <w:rPr>
                <w:rFonts w:hint="default" w:ascii="Times New Roman" w:hAnsi="Times New Roman" w:eastAsia="宋体" w:cs="Times New Roman"/>
                <w:szCs w:val="21"/>
                <w:lang w:val="en-US" w:eastAsia="zh-CN"/>
              </w:rPr>
              <w:t>》。</w:t>
            </w:r>
          </w:p>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企业通过建立管理方针、质量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企业充分识别和评价存在的改进机会，以持续满足顾客和相关方要求改进的方法措施包括：</w:t>
            </w:r>
          </w:p>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1）引导创新、修改和改进现有过程或实施新过程的突破项目；</w:t>
            </w:r>
          </w:p>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2）在现有过程中开展渐进、持续的改进活动；</w:t>
            </w:r>
          </w:p>
          <w:p>
            <w:pPr>
              <w:adjustRightInd w:val="0"/>
              <w:snapToGrid w:val="0"/>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3）纠正所存在不符合的原因等。</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eastAsia="zh-CN"/>
              </w:rPr>
              <w:t>预防和纠正措施</w:t>
            </w:r>
          </w:p>
        </w:tc>
        <w:tc>
          <w:tcPr>
            <w:tcW w:w="960" w:type="dxa"/>
            <w:vAlign w:val="top"/>
          </w:tcPr>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QEO</w:t>
            </w:r>
            <w:r>
              <w:rPr>
                <w:rFonts w:hint="eastAsia" w:ascii="Times New Roman" w:hAnsi="Times New Roman" w:eastAsia="宋体" w:cs="Times New Roman"/>
                <w:szCs w:val="21"/>
                <w:lang w:eastAsia="zh-CN"/>
              </w:rPr>
              <w:t>：</w:t>
            </w:r>
          </w:p>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10.3</w:t>
            </w:r>
          </w:p>
        </w:tc>
        <w:tc>
          <w:tcPr>
            <w:tcW w:w="10004" w:type="dxa"/>
            <w:vAlign w:val="center"/>
          </w:tcPr>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执行《</w:t>
            </w:r>
            <w:r>
              <w:rPr>
                <w:rFonts w:hint="eastAsia" w:ascii="宋体" w:hAnsi="宋体" w:cs="宋体"/>
                <w:bCs/>
                <w:sz w:val="21"/>
                <w:szCs w:val="21"/>
              </w:rPr>
              <w:t>事件调查、不符合、纠正及预防措施控制程序</w:t>
            </w:r>
            <w:r>
              <w:rPr>
                <w:rFonts w:hint="default" w:ascii="Times New Roman" w:hAnsi="Times New Roman" w:eastAsia="宋体" w:cs="Times New Roman"/>
                <w:szCs w:val="21"/>
                <w:lang w:val="en-US" w:eastAsia="zh-CN"/>
              </w:rPr>
              <w:t>》。</w:t>
            </w:r>
          </w:p>
          <w:p>
            <w:pPr>
              <w:adjustRightInd w:val="0"/>
              <w:snapToGrid w:val="0"/>
              <w:spacing w:line="30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测评和服务过程质量和管理体系绩效。</w:t>
            </w:r>
          </w:p>
          <w:p>
            <w:pPr>
              <w:adjustRightInd w:val="0"/>
              <w:snapToGrid w:val="0"/>
              <w:spacing w:line="30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日常监视和测量过程中发现的不合格、不符合要求相关责任部门及时制定相应的改进、纠正和纠正措施，以实现管理体系的持续改进。</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范围的确认、资质的确认、法律法规执行情况、质量抽查及顾客投诉情况、一阶段不符合验证</w:t>
            </w:r>
          </w:p>
        </w:tc>
        <w:tc>
          <w:tcPr>
            <w:tcW w:w="960" w:type="dxa"/>
            <w:vAlign w:val="center"/>
          </w:tcPr>
          <w:p>
            <w:pPr>
              <w:adjustRightInd w:val="0"/>
              <w:snapToGrid w:val="0"/>
              <w:spacing w:line="300" w:lineRule="exact"/>
              <w:rPr>
                <w:rFonts w:hint="default" w:ascii="Times New Roman" w:hAnsi="Times New Roman" w:eastAsia="宋体" w:cs="Times New Roman"/>
                <w:kern w:val="2"/>
                <w:sz w:val="21"/>
                <w:szCs w:val="21"/>
                <w:lang w:val="en-US" w:eastAsia="zh-CN" w:bidi="ar-SA"/>
              </w:rPr>
            </w:pPr>
          </w:p>
        </w:tc>
        <w:tc>
          <w:tcPr>
            <w:tcW w:w="10004" w:type="dxa"/>
            <w:vAlign w:val="center"/>
          </w:tcPr>
          <w:p>
            <w:pPr>
              <w:adjustRightInd w:val="0"/>
              <w:snapToGrid w:val="0"/>
              <w:spacing w:line="3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范围的确认：见4.3条款审核记录，符合要求</w:t>
            </w:r>
          </w:p>
          <w:p>
            <w:pPr>
              <w:adjustRightInd w:val="0"/>
              <w:snapToGrid w:val="0"/>
              <w:spacing w:line="3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资质的确认：见4.1条款审核记录，符合要求</w:t>
            </w:r>
          </w:p>
          <w:p>
            <w:pPr>
              <w:adjustRightInd w:val="0"/>
              <w:snapToGrid w:val="0"/>
              <w:spacing w:line="3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法律法规执行情况：进行了合规性评价，符合要求；</w:t>
            </w:r>
          </w:p>
          <w:p>
            <w:pPr>
              <w:adjustRightInd w:val="0"/>
              <w:snapToGrid w:val="0"/>
              <w:spacing w:line="3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质量抽查及顾客投诉情况：经询问自公司成立以来未发生过质量、安全和环境事故。</w:t>
            </w:r>
          </w:p>
          <w:p>
            <w:pPr>
              <w:adjustRightInd w:val="0"/>
              <w:snapToGrid w:val="0"/>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一阶段不符合验证：一阶段</w:t>
            </w:r>
            <w:r>
              <w:rPr>
                <w:rFonts w:hint="eastAsia" w:ascii="Times New Roman" w:hAnsi="Times New Roman" w:eastAsia="宋体" w:cs="Times New Roman"/>
                <w:szCs w:val="21"/>
                <w:lang w:val="en-US" w:eastAsia="zh-CN"/>
              </w:rPr>
              <w:t>没有不符合</w:t>
            </w:r>
            <w:r>
              <w:rPr>
                <w:rFonts w:hint="default" w:ascii="Times New Roman" w:hAnsi="Times New Roman" w:eastAsia="宋体" w:cs="Times New Roman"/>
                <w:szCs w:val="21"/>
                <w:lang w:val="en-US" w:eastAsia="zh-CN"/>
              </w:rPr>
              <w:t>。</w:t>
            </w:r>
          </w:p>
        </w:tc>
        <w:tc>
          <w:tcPr>
            <w:tcW w:w="1585" w:type="dxa"/>
          </w:tcPr>
          <w:p>
            <w:pPr>
              <w:rPr>
                <w:rFonts w:hint="default"/>
                <w:lang w:val="en-US" w:eastAsia="zh-CN"/>
              </w:rPr>
            </w:pPr>
            <w:r>
              <w:rPr>
                <w:rFonts w:hint="eastAsia"/>
                <w:lang w:val="en-US" w:eastAsia="zh-CN"/>
              </w:rPr>
              <w:t>Y</w:t>
            </w:r>
          </w:p>
        </w:tc>
      </w:tr>
    </w:tbl>
    <w:p>
      <w:r>
        <w:ptab w:relativeTo="margin" w:alignment="center" w:leader="none"/>
      </w:r>
    </w:p>
    <w:p/>
    <w:p>
      <w:pPr>
        <w:pStyle w:val="15"/>
      </w:pPr>
    </w:p>
    <w:p>
      <w:pPr>
        <w:pStyle w:val="15"/>
      </w:pPr>
    </w:p>
    <w:p>
      <w:pPr>
        <w:pStyle w:val="15"/>
      </w:pPr>
    </w:p>
    <w:p>
      <w:pPr>
        <w:pStyle w:val="15"/>
      </w:pPr>
    </w:p>
    <w:p>
      <w:pPr>
        <w:pStyle w:val="15"/>
      </w:pPr>
    </w:p>
    <w:p>
      <w:pPr>
        <w:pStyle w:val="15"/>
      </w:pPr>
    </w:p>
    <w:p>
      <w:pPr>
        <w:pStyle w:val="15"/>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15"/>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过程与活动、</w:t>
            </w:r>
          </w:p>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抽样计划</w:t>
            </w:r>
          </w:p>
        </w:tc>
        <w:tc>
          <w:tcPr>
            <w:tcW w:w="960" w:type="dxa"/>
            <w:vMerge w:val="restart"/>
            <w:vAlign w:val="center"/>
          </w:tcPr>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涉及</w:t>
            </w:r>
          </w:p>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条款</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受审核部门：</w:t>
            </w:r>
            <w:r>
              <w:rPr>
                <w:rFonts w:hint="eastAsia" w:ascii="Times New Roman" w:hAnsi="Times New Roman" w:cs="Times New Roman"/>
                <w:sz w:val="21"/>
                <w:szCs w:val="21"/>
                <w:lang w:val="en-US" w:eastAsia="zh-CN"/>
              </w:rPr>
              <w:t>办公室</w:t>
            </w:r>
            <w:r>
              <w:rPr>
                <w:rFonts w:hint="eastAsia" w:ascii="Times New Roman" w:hAnsi="Times New Roman" w:cs="Times New Roman"/>
                <w:sz w:val="21"/>
                <w:szCs w:val="21"/>
              </w:rPr>
              <w:t xml:space="preserve"> </w:t>
            </w:r>
            <w:r>
              <w:rPr>
                <w:rFonts w:hint="default" w:ascii="Times New Roman" w:hAnsi="Times New Roman" w:cs="Times New Roman"/>
                <w:sz w:val="21"/>
                <w:szCs w:val="21"/>
              </w:rPr>
              <w:t xml:space="preserve">       </w:t>
            </w:r>
            <w:r>
              <w:rPr>
                <w:rFonts w:hint="eastAsia" w:ascii="Times New Roman" w:hAnsi="Times New Roman" w:cs="Times New Roman"/>
                <w:sz w:val="21"/>
                <w:szCs w:val="21"/>
              </w:rPr>
              <w:t>主管领导：</w:t>
            </w:r>
            <w:r>
              <w:rPr>
                <w:rFonts w:hint="eastAsia" w:ascii="Times New Roman" w:hAnsi="Times New Roman" w:cs="Times New Roman"/>
                <w:sz w:val="21"/>
                <w:szCs w:val="21"/>
                <w:lang w:val="en-US" w:eastAsia="zh-CN"/>
              </w:rPr>
              <w:t>张元磊</w:t>
            </w:r>
            <w:r>
              <w:rPr>
                <w:rFonts w:hint="eastAsia" w:ascii="Times New Roman" w:hAnsi="Times New Roman" w:cs="Times New Roman"/>
                <w:sz w:val="21"/>
                <w:szCs w:val="21"/>
              </w:rPr>
              <w:t xml:space="preserve"> </w:t>
            </w:r>
            <w:r>
              <w:rPr>
                <w:rFonts w:hint="default" w:ascii="Times New Roman" w:hAnsi="Times New Roman" w:cs="Times New Roman"/>
                <w:sz w:val="21"/>
                <w:szCs w:val="21"/>
              </w:rPr>
              <w:t xml:space="preserve">             </w:t>
            </w:r>
            <w:r>
              <w:rPr>
                <w:rFonts w:hint="eastAsia" w:ascii="Times New Roman" w:hAnsi="Times New Roman" w:cs="Times New Roman"/>
                <w:sz w:val="21"/>
                <w:szCs w:val="21"/>
              </w:rPr>
              <w:t>陪同人员：</w:t>
            </w:r>
            <w:r>
              <w:rPr>
                <w:rFonts w:hint="eastAsia" w:cs="Times New Roman"/>
                <w:sz w:val="21"/>
                <w:szCs w:val="21"/>
                <w:lang w:val="en-US" w:eastAsia="zh-CN"/>
              </w:rPr>
              <w:t>于晓娟</w:t>
            </w:r>
          </w:p>
        </w:tc>
        <w:tc>
          <w:tcPr>
            <w:tcW w:w="1585" w:type="dxa"/>
            <w:vMerge w:val="restart"/>
            <w:vAlign w:val="center"/>
          </w:tcPr>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after="0" w:line="240" w:lineRule="auto"/>
              <w:rPr>
                <w:rFonts w:hint="default" w:ascii="Times New Roman" w:hAnsi="Times New Roman" w:cs="Times New Roman"/>
                <w:sz w:val="21"/>
                <w:szCs w:val="21"/>
              </w:rPr>
            </w:pPr>
          </w:p>
        </w:tc>
        <w:tc>
          <w:tcPr>
            <w:tcW w:w="960" w:type="dxa"/>
            <w:vMerge w:val="continue"/>
            <w:vAlign w:val="center"/>
          </w:tcPr>
          <w:p>
            <w:pPr>
              <w:spacing w:after="0" w:line="240" w:lineRule="auto"/>
              <w:rPr>
                <w:rFonts w:hint="default" w:ascii="Times New Roman" w:hAnsi="Times New Roman" w:cs="Times New Roman"/>
                <w:sz w:val="21"/>
                <w:szCs w:val="21"/>
              </w:rPr>
            </w:pPr>
          </w:p>
        </w:tc>
        <w:tc>
          <w:tcPr>
            <w:tcW w:w="10004" w:type="dxa"/>
            <w:vAlign w:val="center"/>
          </w:tcPr>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审核员：</w:t>
            </w:r>
            <w:r>
              <w:rPr>
                <w:rFonts w:hint="eastAsia" w:cs="Times New Roman"/>
                <w:sz w:val="21"/>
                <w:szCs w:val="21"/>
                <w:lang w:val="en-US" w:eastAsia="zh-CN"/>
              </w:rPr>
              <w:t>范玲玲</w:t>
            </w:r>
            <w:r>
              <w:rPr>
                <w:rFonts w:hint="eastAsia" w:ascii="Times New Roman" w:hAnsi="Times New Roman" w:cs="Times New Roman"/>
                <w:sz w:val="21"/>
                <w:szCs w:val="21"/>
              </w:rPr>
              <w:t xml:space="preserve"> </w:t>
            </w:r>
            <w:r>
              <w:rPr>
                <w:rFonts w:hint="default" w:ascii="Times New Roman" w:hAnsi="Times New Roman" w:cs="Times New Roman"/>
                <w:sz w:val="21"/>
                <w:szCs w:val="21"/>
              </w:rPr>
              <w:t xml:space="preserve">             </w:t>
            </w:r>
            <w:r>
              <w:rPr>
                <w:rFonts w:hint="eastAsia" w:ascii="Times New Roman" w:hAnsi="Times New Roman" w:cs="Times New Roman"/>
                <w:sz w:val="21"/>
                <w:szCs w:val="21"/>
              </w:rPr>
              <w:t>审核时间：</w:t>
            </w:r>
            <w:r>
              <w:rPr>
                <w:rFonts w:hint="default" w:ascii="Times New Roman" w:hAnsi="Times New Roman" w:cs="Times New Roman"/>
                <w:sz w:val="21"/>
                <w:szCs w:val="21"/>
              </w:rPr>
              <w:t>202</w:t>
            </w:r>
            <w:r>
              <w:rPr>
                <w:rFonts w:hint="eastAsia" w:cs="Times New Roman"/>
                <w:sz w:val="21"/>
                <w:szCs w:val="21"/>
                <w:lang w:val="en-US" w:eastAsia="zh-CN"/>
              </w:rPr>
              <w:t>2</w:t>
            </w:r>
            <w:r>
              <w:rPr>
                <w:rFonts w:hint="default" w:ascii="Times New Roman" w:hAnsi="Times New Roman" w:cs="Times New Roman"/>
                <w:sz w:val="21"/>
                <w:szCs w:val="21"/>
              </w:rPr>
              <w:t>年</w:t>
            </w:r>
            <w:r>
              <w:rPr>
                <w:rFonts w:hint="eastAsia" w:cs="Times New Roman"/>
                <w:sz w:val="21"/>
                <w:szCs w:val="21"/>
                <w:lang w:val="en-US" w:eastAsia="zh-CN"/>
              </w:rPr>
              <w:t>12</w:t>
            </w:r>
            <w:r>
              <w:rPr>
                <w:rFonts w:hint="default" w:ascii="Times New Roman" w:hAnsi="Times New Roman" w:cs="Times New Roman"/>
                <w:sz w:val="21"/>
                <w:szCs w:val="21"/>
              </w:rPr>
              <w:t>月</w:t>
            </w:r>
            <w:r>
              <w:rPr>
                <w:rFonts w:hint="eastAsia" w:cs="Times New Roman"/>
                <w:sz w:val="21"/>
                <w:szCs w:val="21"/>
                <w:lang w:val="en-US" w:eastAsia="zh-CN"/>
              </w:rPr>
              <w:t>20</w:t>
            </w:r>
            <w:r>
              <w:rPr>
                <w:rFonts w:hint="default" w:ascii="Times New Roman" w:hAnsi="Times New Roman" w:cs="Times New Roman"/>
                <w:sz w:val="21"/>
                <w:szCs w:val="21"/>
              </w:rPr>
              <w:t xml:space="preserve">日 </w:t>
            </w:r>
          </w:p>
        </w:tc>
        <w:tc>
          <w:tcPr>
            <w:tcW w:w="1585" w:type="dxa"/>
            <w:vMerge w:val="continue"/>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after="0" w:line="240" w:lineRule="auto"/>
              <w:rPr>
                <w:rFonts w:hint="default" w:ascii="Times New Roman" w:hAnsi="Times New Roman" w:cs="Times New Roman"/>
                <w:sz w:val="21"/>
                <w:szCs w:val="21"/>
              </w:rPr>
            </w:pPr>
          </w:p>
        </w:tc>
        <w:tc>
          <w:tcPr>
            <w:tcW w:w="960" w:type="dxa"/>
            <w:vMerge w:val="continue"/>
            <w:vAlign w:val="center"/>
          </w:tcPr>
          <w:p>
            <w:pPr>
              <w:spacing w:after="0" w:line="240" w:lineRule="auto"/>
              <w:rPr>
                <w:rFonts w:hint="default" w:ascii="Times New Roman" w:hAnsi="Times New Roman" w:cs="Times New Roman"/>
                <w:sz w:val="21"/>
                <w:szCs w:val="21"/>
              </w:rPr>
            </w:pPr>
          </w:p>
        </w:tc>
        <w:tc>
          <w:tcPr>
            <w:tcW w:w="10004" w:type="dxa"/>
            <w:vAlign w:val="center"/>
          </w:tcPr>
          <w:p>
            <w:pPr>
              <w:pStyle w:val="15"/>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rPr>
              <w:t>审核条款：</w:t>
            </w:r>
            <w:r>
              <w:rPr>
                <w:rFonts w:hint="eastAsia" w:cs="Times New Roman"/>
                <w:sz w:val="21"/>
                <w:szCs w:val="21"/>
                <w:highlight w:val="none"/>
                <w:lang w:val="en-US" w:eastAsia="zh-CN"/>
              </w:rPr>
              <w:t>O</w:t>
            </w:r>
            <w:r>
              <w:rPr>
                <w:rFonts w:hint="default" w:ascii="Times New Roman" w:hAnsi="Times New Roman" w:eastAsia="宋体" w:cs="Times New Roman"/>
                <w:sz w:val="21"/>
                <w:szCs w:val="21"/>
                <w:highlight w:val="none"/>
                <w:lang w:val="en-US" w:eastAsia="zh-CN"/>
              </w:rPr>
              <w:t>5.3</w:t>
            </w:r>
            <w:r>
              <w:rPr>
                <w:rFonts w:hint="default" w:ascii="Times New Roman" w:hAnsi="Times New Roman" w:eastAsia="宋体" w:cs="Times New Roman"/>
                <w:sz w:val="21"/>
                <w:szCs w:val="21"/>
                <w:highlight w:val="none"/>
              </w:rPr>
              <w:t>/</w:t>
            </w:r>
            <w:r>
              <w:rPr>
                <w:rFonts w:hint="eastAsia" w:ascii="Times New Roman" w:hAnsi="Times New Roman" w:cs="Times New Roman"/>
                <w:sz w:val="21"/>
                <w:szCs w:val="21"/>
                <w:highlight w:val="none"/>
                <w:lang w:val="en-US" w:eastAsia="zh-CN"/>
              </w:rPr>
              <w:t>6.2</w:t>
            </w:r>
            <w:r>
              <w:rPr>
                <w:rFonts w:hint="eastAsia" w:ascii="Times New Roman" w:hAnsi="Times New Roman" w:eastAsia="宋体" w:cs="Times New Roman"/>
                <w:sz w:val="21"/>
                <w:szCs w:val="21"/>
                <w:highlight w:val="none"/>
                <w:lang w:val="en-US" w:eastAsia="zh-CN"/>
              </w:rPr>
              <w:t>/</w:t>
            </w:r>
            <w:r>
              <w:rPr>
                <w:rFonts w:hint="eastAsia" w:cs="Times New Roman"/>
                <w:sz w:val="21"/>
                <w:szCs w:val="21"/>
                <w:highlight w:val="none"/>
                <w:lang w:val="en-US" w:eastAsia="zh-CN"/>
              </w:rPr>
              <w:t>6.1.2/</w:t>
            </w:r>
            <w:r>
              <w:rPr>
                <w:rFonts w:hint="eastAsia" w:ascii="Times New Roman" w:hAnsi="Times New Roman" w:eastAsia="宋体" w:cs="Times New Roman"/>
                <w:sz w:val="21"/>
                <w:szCs w:val="21"/>
                <w:highlight w:val="none"/>
                <w:lang w:val="en-US" w:eastAsia="zh-CN"/>
              </w:rPr>
              <w:t>6.1.3/</w:t>
            </w:r>
            <w:r>
              <w:rPr>
                <w:rFonts w:hint="default" w:ascii="Times New Roman" w:hAnsi="Times New Roman" w:eastAsia="宋体" w:cs="Times New Roman"/>
                <w:sz w:val="21"/>
                <w:szCs w:val="21"/>
                <w:highlight w:val="none"/>
              </w:rPr>
              <w:t>7.3/7.5</w:t>
            </w:r>
            <w:r>
              <w:rPr>
                <w:rFonts w:hint="eastAsia" w:ascii="Times New Roman" w:hAnsi="Times New Roman" w:eastAsia="宋体" w:cs="Times New Roman"/>
                <w:sz w:val="21"/>
                <w:szCs w:val="21"/>
                <w:highlight w:val="none"/>
                <w:lang w:val="en-US" w:eastAsia="zh-CN"/>
              </w:rPr>
              <w:t>/</w:t>
            </w:r>
            <w:r>
              <w:rPr>
                <w:rFonts w:hint="eastAsia" w:cs="Times New Roman"/>
                <w:sz w:val="21"/>
                <w:szCs w:val="21"/>
                <w:highlight w:val="none"/>
                <w:lang w:val="en-US" w:eastAsia="zh-CN"/>
              </w:rPr>
              <w:t>8.1/</w:t>
            </w:r>
            <w:r>
              <w:rPr>
                <w:rFonts w:hint="eastAsia" w:ascii="Times New Roman" w:hAnsi="Times New Roman" w:eastAsia="宋体" w:cs="Times New Roman"/>
                <w:sz w:val="21"/>
                <w:szCs w:val="21"/>
                <w:highlight w:val="none"/>
                <w:lang w:val="en-US" w:eastAsia="zh-CN"/>
              </w:rPr>
              <w:t>8.2/9.1</w:t>
            </w:r>
            <w:r>
              <w:rPr>
                <w:rFonts w:hint="eastAsia" w:cs="Times New Roman"/>
                <w:sz w:val="21"/>
                <w:szCs w:val="21"/>
                <w:highlight w:val="none"/>
                <w:lang w:val="en-US" w:eastAsia="zh-CN"/>
              </w:rPr>
              <w:t>.2</w:t>
            </w:r>
            <w:r>
              <w:rPr>
                <w:rFonts w:hint="eastAsia" w:ascii="Times New Roman" w:hAnsi="Times New Roman" w:eastAsia="宋体" w:cs="Times New Roman"/>
                <w:sz w:val="21"/>
                <w:szCs w:val="21"/>
                <w:highlight w:val="none"/>
                <w:lang w:eastAsia="zh-CN"/>
              </w:rPr>
              <w:t>；</w:t>
            </w:r>
          </w:p>
          <w:p>
            <w:pPr>
              <w:spacing w:after="0" w:line="240" w:lineRule="auto"/>
              <w:rPr>
                <w:rFonts w:hint="default" w:ascii="Times New Roman" w:hAnsi="Times New Roman" w:cs="Times New Roman"/>
                <w:sz w:val="21"/>
                <w:szCs w:val="21"/>
              </w:rPr>
            </w:pPr>
            <w:r>
              <w:rPr>
                <w:rFonts w:hint="eastAsia" w:cs="Times New Roman"/>
                <w:sz w:val="21"/>
                <w:szCs w:val="21"/>
                <w:highlight w:val="none"/>
                <w:lang w:val="en-US" w:eastAsia="zh-CN"/>
              </w:rPr>
              <w:t>O5.4    QEO:9.2/10.2/7.2/7.4/7.5</w:t>
            </w:r>
          </w:p>
        </w:tc>
        <w:tc>
          <w:tcPr>
            <w:tcW w:w="1585" w:type="dxa"/>
            <w:vMerge w:val="continue"/>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组织的岗位、职责权限</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5.3</w:t>
            </w:r>
          </w:p>
        </w:tc>
        <w:tc>
          <w:tcPr>
            <w:tcW w:w="10004" w:type="dxa"/>
            <w:vAlign w:val="center"/>
          </w:tcPr>
          <w:p>
            <w:pPr>
              <w:spacing w:after="0" w:line="240" w:lineRule="auto"/>
              <w:rPr>
                <w:rFonts w:hint="eastAsia" w:ascii="Times New Roman" w:hAnsi="Times New Roman" w:cs="Times New Roman"/>
                <w:sz w:val="21"/>
                <w:szCs w:val="21"/>
                <w:lang w:eastAsia="zh-CN"/>
              </w:rPr>
            </w:pPr>
            <w:r>
              <w:rPr>
                <w:rFonts w:hint="eastAsia" w:ascii="Times New Roman" w:hAnsi="Times New Roman" w:cs="Times New Roman"/>
                <w:sz w:val="21"/>
                <w:szCs w:val="21"/>
              </w:rPr>
              <w:t>部门负责人：</w:t>
            </w:r>
            <w:r>
              <w:rPr>
                <w:rFonts w:hint="eastAsia" w:ascii="Times New Roman" w:hAnsi="Times New Roman" w:cs="Times New Roman"/>
                <w:sz w:val="21"/>
                <w:szCs w:val="21"/>
                <w:lang w:val="en-US" w:eastAsia="zh-CN"/>
              </w:rPr>
              <w:t>张元磊</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危险源，对办公区的危险源进行控制管理方面的工作等。</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职责明确，回答基本完整。</w:t>
            </w:r>
          </w:p>
        </w:tc>
        <w:tc>
          <w:tcPr>
            <w:tcW w:w="1585" w:type="dxa"/>
          </w:tcPr>
          <w:p>
            <w:pPr>
              <w:spacing w:after="0" w:line="240" w:lineRule="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目标</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6.2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 xml:space="preserve">部门目标：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考核情况</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火灾事故发生率为0。</w:t>
            </w:r>
            <w:r>
              <w:rPr>
                <w:rFonts w:hint="eastAsia" w:ascii="Times New Roman" w:hAnsi="Times New Roman" w:cs="Times New Roman"/>
                <w:sz w:val="21"/>
                <w:szCs w:val="21"/>
                <w:lang w:val="en-US" w:eastAsia="zh-CN"/>
              </w:rPr>
              <w:t xml:space="preserve">                    0</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每</w:t>
            </w:r>
            <w:r>
              <w:rPr>
                <w:rFonts w:hint="eastAsia" w:ascii="Times New Roman" w:hAnsi="Times New Roman" w:cs="Times New Roman"/>
                <w:sz w:val="21"/>
                <w:szCs w:val="21"/>
                <w:lang w:val="en-US" w:eastAsia="zh-CN"/>
              </w:rPr>
              <w:t>季度</w:t>
            </w:r>
            <w:r>
              <w:rPr>
                <w:rFonts w:hint="eastAsia" w:ascii="Times New Roman" w:hAnsi="Times New Roman" w:cs="Times New Roman"/>
                <w:sz w:val="21"/>
                <w:szCs w:val="21"/>
              </w:rPr>
              <w:t>进行一次考核，目标基本实现。考核人：</w:t>
            </w:r>
            <w:r>
              <w:rPr>
                <w:rFonts w:hint="eastAsia" w:ascii="Times New Roman" w:hAnsi="Times New Roman" w:cs="Times New Roman"/>
                <w:sz w:val="21"/>
                <w:szCs w:val="21"/>
                <w:lang w:val="en-US" w:eastAsia="zh-CN"/>
              </w:rPr>
              <w:t>张元磊</w:t>
            </w:r>
            <w:r>
              <w:rPr>
                <w:rFonts w:hint="eastAsia" w:ascii="Times New Roman" w:hAnsi="Times New Roman" w:cs="Times New Roman"/>
                <w:sz w:val="21"/>
                <w:szCs w:val="21"/>
              </w:rPr>
              <w:t xml:space="preserve">  20</w:t>
            </w:r>
            <w:r>
              <w:rPr>
                <w:rFonts w:hint="eastAsia" w:ascii="Times New Roman" w:hAnsi="Times New Roman" w:cs="Times New Roman"/>
                <w:sz w:val="21"/>
                <w:szCs w:val="21"/>
                <w:lang w:val="en-US" w:eastAsia="zh-CN"/>
              </w:rPr>
              <w:t>2</w:t>
            </w:r>
            <w:r>
              <w:rPr>
                <w:rFonts w:hint="eastAsia" w:cs="Times New Roman"/>
                <w:sz w:val="21"/>
                <w:szCs w:val="21"/>
                <w:lang w:val="en-US" w:eastAsia="zh-CN"/>
              </w:rPr>
              <w:t>2</w:t>
            </w:r>
            <w:r>
              <w:rPr>
                <w:rFonts w:hint="eastAsia" w:ascii="Times New Roman" w:hAnsi="Times New Roman" w:cs="Times New Roman"/>
                <w:sz w:val="21"/>
                <w:szCs w:val="21"/>
                <w:lang w:val="en-US" w:eastAsia="zh-CN"/>
              </w:rPr>
              <w:t>.</w:t>
            </w:r>
            <w:r>
              <w:rPr>
                <w:rFonts w:hint="eastAsia" w:cs="Times New Roman"/>
                <w:sz w:val="21"/>
                <w:szCs w:val="21"/>
                <w:lang w:val="en-US" w:eastAsia="zh-CN"/>
              </w:rPr>
              <w:t>9</w:t>
            </w:r>
            <w:r>
              <w:rPr>
                <w:rFonts w:hint="eastAsia" w:ascii="Times New Roman" w:hAnsi="Times New Roman" w:cs="Times New Roman"/>
                <w:sz w:val="21"/>
                <w:szCs w:val="21"/>
                <w:lang w:val="en-US" w:eastAsia="zh-CN"/>
              </w:rPr>
              <w:t>.30</w:t>
            </w:r>
          </w:p>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抽查管理方案情况</w:t>
            </w:r>
            <w:r>
              <w:rPr>
                <w:rFonts w:hint="eastAsia" w:ascii="Times New Roman" w:hAnsi="Times New Roman" w:cs="Times New Roman"/>
                <w:sz w:val="21"/>
                <w:szCs w:val="21"/>
                <w:lang w:eastAsia="zh-CN"/>
              </w:rPr>
              <w:t>，</w:t>
            </w:r>
            <w:r>
              <w:rPr>
                <w:rFonts w:hint="default" w:ascii="Times New Roman" w:hAnsi="Times New Roman" w:cs="Times New Roman"/>
                <w:sz w:val="21"/>
                <w:szCs w:val="21"/>
              </w:rPr>
              <w:t>目标指标：</w:t>
            </w:r>
            <w:r>
              <w:rPr>
                <w:rFonts w:hint="eastAsia" w:ascii="Times New Roman" w:hAnsi="Times New Roman" w:cs="Times New Roman"/>
                <w:sz w:val="21"/>
                <w:szCs w:val="21"/>
              </w:rPr>
              <w:t>火灾事故</w:t>
            </w:r>
            <w:r>
              <w:rPr>
                <w:rFonts w:hint="eastAsia" w:ascii="Times New Roman" w:hAnsi="Times New Roman" w:cs="Times New Roman"/>
                <w:sz w:val="21"/>
                <w:szCs w:val="21"/>
                <w:lang w:val="en-US" w:eastAsia="zh-CN"/>
              </w:rPr>
              <w:t>发生率为0</w:t>
            </w:r>
            <w:r>
              <w:rPr>
                <w:rFonts w:hint="default" w:ascii="Times New Roman" w:hAnsi="Times New Roman" w:cs="Times New Roman"/>
                <w:sz w:val="21"/>
                <w:szCs w:val="21"/>
              </w:rPr>
              <w:t>。</w:t>
            </w:r>
          </w:p>
          <w:p>
            <w:pPr>
              <w:spacing w:after="0"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管理方案：1.严格落实公司电气安全安全检查、整改制度；2.定期进行电气线路检查，发现问题及时解决；3.组织</w:t>
            </w:r>
            <w:r>
              <w:rPr>
                <w:rFonts w:hint="eastAsia" w:ascii="Times New Roman" w:hAnsi="Times New Roman" w:cs="Times New Roman"/>
                <w:sz w:val="21"/>
                <w:szCs w:val="21"/>
                <w:lang w:val="en-US" w:eastAsia="zh-CN"/>
              </w:rPr>
              <w:t>火灾</w:t>
            </w:r>
            <w:r>
              <w:rPr>
                <w:rFonts w:hint="default" w:ascii="Times New Roman" w:hAnsi="Times New Roman" w:cs="Times New Roman"/>
                <w:sz w:val="21"/>
                <w:szCs w:val="21"/>
              </w:rPr>
              <w:t>事故应急救援演练、评价；</w:t>
            </w:r>
            <w:r>
              <w:rPr>
                <w:rFonts w:hint="eastAsia" w:ascii="Times New Roman" w:hAnsi="Times New Roman" w:cs="Times New Roman"/>
                <w:sz w:val="21"/>
                <w:szCs w:val="21"/>
                <w:lang w:val="en-US" w:eastAsia="zh-CN"/>
              </w:rPr>
              <w:t>4、配置消防器材；</w:t>
            </w:r>
          </w:p>
          <w:p>
            <w:pPr>
              <w:spacing w:after="0" w:line="240" w:lineRule="auto"/>
              <w:rPr>
                <w:rFonts w:hint="eastAsia" w:ascii="Times New Roman" w:hAnsi="Times New Roman" w:cs="Times New Roman"/>
                <w:sz w:val="21"/>
                <w:szCs w:val="21"/>
              </w:rPr>
            </w:pPr>
            <w:r>
              <w:rPr>
                <w:rFonts w:hint="default" w:ascii="Times New Roman" w:hAnsi="Times New Roman" w:cs="Times New Roman"/>
                <w:sz w:val="21"/>
                <w:szCs w:val="21"/>
              </w:rPr>
              <w:t>责任部门：</w:t>
            </w:r>
            <w:r>
              <w:rPr>
                <w:rFonts w:hint="default" w:ascii="Times New Roman" w:hAnsi="Times New Roman" w:cs="Times New Roman"/>
                <w:sz w:val="21"/>
                <w:szCs w:val="21"/>
                <w:lang w:val="en-US" w:eastAsia="zh-CN"/>
              </w:rPr>
              <w:t>办公室</w:t>
            </w:r>
            <w:r>
              <w:rPr>
                <w:rFonts w:hint="default" w:ascii="Times New Roman" w:hAnsi="Times New Roman" w:cs="Times New Roman"/>
                <w:sz w:val="21"/>
                <w:szCs w:val="21"/>
              </w:rPr>
              <w:t>，费用：</w:t>
            </w:r>
            <w:r>
              <w:rPr>
                <w:rFonts w:hint="eastAsia" w:ascii="Times New Roman" w:hAnsi="Times New Roman" w:cs="Times New Roman"/>
                <w:sz w:val="21"/>
                <w:szCs w:val="21"/>
                <w:lang w:val="en-US" w:eastAsia="zh-CN"/>
              </w:rPr>
              <w:t>2000</w:t>
            </w:r>
            <w:r>
              <w:rPr>
                <w:rFonts w:hint="default" w:ascii="Times New Roman" w:hAnsi="Times New Roman" w:cs="Times New Roman"/>
                <w:sz w:val="21"/>
                <w:szCs w:val="21"/>
              </w:rPr>
              <w:t>元，起止时间：20</w:t>
            </w:r>
            <w:r>
              <w:rPr>
                <w:rFonts w:hint="eastAsia" w:ascii="Times New Roman" w:hAnsi="Times New Roman" w:cs="Times New Roman"/>
                <w:sz w:val="21"/>
                <w:szCs w:val="21"/>
                <w:lang w:val="en-US" w:eastAsia="zh-CN"/>
              </w:rPr>
              <w:t>2</w:t>
            </w:r>
            <w:r>
              <w:rPr>
                <w:rFonts w:hint="eastAsia" w:cs="Times New Roman"/>
                <w:sz w:val="21"/>
                <w:szCs w:val="21"/>
                <w:lang w:val="en-US" w:eastAsia="zh-CN"/>
              </w:rPr>
              <w:t>2</w:t>
            </w:r>
            <w:r>
              <w:rPr>
                <w:rFonts w:hint="eastAsia" w:ascii="Times New Roman" w:hAnsi="Times New Roman" w:cs="Times New Roman"/>
                <w:sz w:val="21"/>
                <w:szCs w:val="21"/>
                <w:lang w:val="en-US" w:eastAsia="zh-CN"/>
              </w:rPr>
              <w:t>.7-12</w:t>
            </w:r>
          </w:p>
          <w:p>
            <w:pPr>
              <w:spacing w:after="0"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经查符合要求。</w:t>
            </w:r>
          </w:p>
        </w:tc>
        <w:tc>
          <w:tcPr>
            <w:tcW w:w="1585" w:type="dxa"/>
          </w:tcPr>
          <w:p>
            <w:pPr>
              <w:spacing w:after="0" w:line="240" w:lineRule="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危险源识别</w:t>
            </w:r>
          </w:p>
        </w:tc>
        <w:tc>
          <w:tcPr>
            <w:tcW w:w="960"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6.1.2</w:t>
            </w:r>
          </w:p>
          <w:p>
            <w:pPr>
              <w:spacing w:after="0" w:line="240" w:lineRule="auto"/>
              <w:rPr>
                <w:rFonts w:hint="eastAsia" w:ascii="Times New Roman" w:hAnsi="Times New Roman" w:cs="Times New Roman"/>
                <w:sz w:val="21"/>
                <w:szCs w:val="21"/>
                <w:lang w:val="en-US" w:eastAsia="zh-CN"/>
              </w:rPr>
            </w:pP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提供《危险源识别清单》，按照活动、区域进行了识别，其中包括：电脑、打印机、复印机产生的辐射；电源电器老化损坏、违章用电、地面油污水滑跌倒、障碍物挡路、火灾、触电、</w:t>
            </w:r>
            <w:r>
              <w:rPr>
                <w:rFonts w:hint="eastAsia" w:ascii="Times New Roman" w:hAnsi="Times New Roman" w:cs="Times New Roman"/>
                <w:sz w:val="21"/>
                <w:szCs w:val="21"/>
                <w:lang w:val="en-US" w:eastAsia="zh-CN"/>
              </w:rPr>
              <w:t>车辆</w:t>
            </w:r>
            <w:r>
              <w:rPr>
                <w:rFonts w:hint="eastAsia" w:ascii="Times New Roman" w:hAnsi="Times New Roman" w:cs="Times New Roman"/>
                <w:sz w:val="21"/>
                <w:szCs w:val="21"/>
              </w:rPr>
              <w:t>伤害等，评价基本全面</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提供《重大危险源及其控制清单》，其中重大危险源：</w:t>
            </w:r>
            <w:r>
              <w:rPr>
                <w:rFonts w:hint="default" w:ascii="Times New Roman" w:hAnsi="Times New Roman" w:cs="Times New Roman"/>
                <w:sz w:val="21"/>
                <w:szCs w:val="21"/>
              </w:rPr>
              <w:t>火灾、触电</w:t>
            </w:r>
            <w:r>
              <w:rPr>
                <w:rFonts w:hint="eastAsia" w:ascii="Times New Roman" w:hAnsi="Times New Roman" w:cs="Times New Roman"/>
                <w:sz w:val="21"/>
                <w:szCs w:val="21"/>
              </w:rPr>
              <w:t>，评价准确。</w:t>
            </w:r>
          </w:p>
        </w:tc>
        <w:tc>
          <w:tcPr>
            <w:tcW w:w="1585" w:type="dxa"/>
          </w:tcPr>
          <w:p>
            <w:pPr>
              <w:spacing w:after="0" w:line="240" w:lineRule="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合规义务</w:t>
            </w:r>
            <w:r>
              <w:rPr>
                <w:rFonts w:hint="eastAsia" w:ascii="Times New Roman" w:hAnsi="Times New Roman" w:cs="Times New Roman"/>
                <w:sz w:val="21"/>
                <w:szCs w:val="21"/>
                <w:lang w:eastAsia="zh-CN"/>
              </w:rPr>
              <w:t>、法律法规及其他要求</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6.1.3</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提供公司适用的法律法规及要求清单，主要有</w:t>
            </w:r>
            <w:r>
              <w:rPr>
                <w:rFonts w:hint="eastAsia" w:ascii="Times New Roman" w:hAnsi="Times New Roman" w:cs="Times New Roman"/>
                <w:sz w:val="21"/>
                <w:szCs w:val="21"/>
                <w:lang w:val="en-US" w:eastAsia="zh-CN"/>
              </w:rPr>
              <w:t>安全生产法、民法典</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劳动法、消防法、仓库防火安全管理规则、劳动保护用品管理规定</w:t>
            </w:r>
            <w:r>
              <w:rPr>
                <w:rFonts w:hint="default" w:ascii="Times New Roman" w:hAnsi="Times New Roman" w:cs="Times New Roman"/>
                <w:sz w:val="21"/>
                <w:szCs w:val="21"/>
              </w:rPr>
              <w:t>、《职业健康安全管理体系 要求</w:t>
            </w:r>
            <w:r>
              <w:rPr>
                <w:rFonts w:hint="eastAsia" w:ascii="Times New Roman" w:hAnsi="Times New Roman" w:cs="Times New Roman"/>
                <w:sz w:val="21"/>
                <w:szCs w:val="21"/>
                <w:lang w:val="en-US" w:eastAsia="zh-CN"/>
              </w:rPr>
              <w:t>及使用指南</w:t>
            </w:r>
            <w:r>
              <w:rPr>
                <w:rFonts w:hint="default" w:ascii="Times New Roman" w:hAnsi="Times New Roman" w:cs="Times New Roman"/>
                <w:sz w:val="21"/>
                <w:szCs w:val="21"/>
              </w:rPr>
              <w:t>》</w:t>
            </w:r>
            <w:r>
              <w:rPr>
                <w:rFonts w:hint="eastAsia" w:ascii="Times New Roman" w:hAnsi="Times New Roman" w:cs="Times New Roman"/>
                <w:sz w:val="21"/>
                <w:szCs w:val="21"/>
              </w:rPr>
              <w:t>等，</w:t>
            </w:r>
            <w:r>
              <w:rPr>
                <w:rFonts w:hint="eastAsia" w:ascii="Times New Roman" w:hAnsi="Times New Roman" w:cs="Times New Roman"/>
                <w:sz w:val="21"/>
                <w:szCs w:val="21"/>
                <w:lang w:val="en-US" w:eastAsia="zh-CN"/>
              </w:rPr>
              <w:t>识别</w:t>
            </w:r>
            <w:r>
              <w:rPr>
                <w:rFonts w:hint="eastAsia" w:ascii="Times New Roman" w:hAnsi="Times New Roman" w:cs="Times New Roman"/>
                <w:sz w:val="21"/>
                <w:szCs w:val="21"/>
              </w:rPr>
              <w:t>充分。</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法律法规及其他要求在办公室存档一份，并已电子版的形式发到各部门电脑上。定期在网上查看法规的更新情况，目前均为最新版本。</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明确了法律法规及其他要求对公司危险源的应用，明确了相应的适用条款。</w:t>
            </w:r>
          </w:p>
        </w:tc>
        <w:tc>
          <w:tcPr>
            <w:tcW w:w="0" w:type="auto"/>
          </w:tcPr>
          <w:p>
            <w:pPr>
              <w:spacing w:after="0" w:line="240" w:lineRule="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能力</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QEO:</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7.2</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编制了《人力资源</w:t>
            </w:r>
            <w:r>
              <w:rPr>
                <w:rFonts w:hint="eastAsia" w:ascii="Times New Roman" w:hAnsi="Times New Roman" w:cs="Times New Roman"/>
                <w:sz w:val="21"/>
                <w:szCs w:val="21"/>
                <w:lang w:val="en-US" w:eastAsia="zh-CN"/>
              </w:rPr>
              <w:t>控制</w:t>
            </w:r>
            <w:r>
              <w:rPr>
                <w:rFonts w:hint="eastAsia" w:ascii="Times New Roman" w:hAnsi="Times New Roman" w:cs="Times New Roman"/>
                <w:sz w:val="21"/>
                <w:szCs w:val="21"/>
              </w:rPr>
              <w:t>程序》，规定了从事安全管理方面人员的资源需求、岗位能力要求、职权的规定、培训需求以及对人员的培训管理等，确保人员能满足体系的运行要求，基本有效。</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岗位职责和能力要求”，规定了公司领导、部门领导、各级人员等关于职业健康安全工作的任职要求以及岗位职责等，对整体人员需求、能力要求及作用进行规定，其中对重要岗位人员的能力要求进行了评定，确保人员满足岗位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抽办公室主任、</w:t>
            </w:r>
            <w:r>
              <w:rPr>
                <w:rFonts w:hint="eastAsia" w:ascii="Times New Roman" w:hAnsi="Times New Roman" w:cs="Times New Roman"/>
                <w:sz w:val="21"/>
                <w:szCs w:val="21"/>
                <w:lang w:val="en-US" w:eastAsia="zh-CN"/>
              </w:rPr>
              <w:t>销售</w:t>
            </w:r>
            <w:r>
              <w:rPr>
                <w:rFonts w:hint="eastAsia" w:ascii="Times New Roman" w:hAnsi="Times New Roman" w:cs="Times New Roman"/>
                <w:sz w:val="21"/>
                <w:szCs w:val="21"/>
              </w:rPr>
              <w:t>部经理等岗位，符合规定。查内审员经培训考核合格上岗。查对公司目前人员的评价记录，也经过管理评审，确认目前人员能满足岗位要求。主要对关键工序特殊工序操作人员以及公司各级管理人员等进行了评价。提供员工能力考核表。</w:t>
            </w:r>
          </w:p>
          <w:p>
            <w:pPr>
              <w:pStyle w:val="15"/>
              <w:rPr>
                <w:rFonts w:hint="default" w:eastAsia="宋体"/>
                <w:lang w:val="en-US" w:eastAsia="zh-CN"/>
              </w:rPr>
            </w:pPr>
            <w:r>
              <w:rPr>
                <w:rFonts w:hint="eastAsia"/>
                <w:lang w:val="en-US" w:eastAsia="zh-CN"/>
              </w:rPr>
              <w:t>经识别公司无特岗人员。</w:t>
            </w:r>
          </w:p>
          <w:p>
            <w:pPr>
              <w:tabs>
                <w:tab w:val="left" w:pos="1825"/>
              </w:tabs>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提供《2022年度培训计划》，及《培训记录》。截至目前已按计划实施。</w:t>
            </w:r>
          </w:p>
          <w:p>
            <w:pPr>
              <w:tabs>
                <w:tab w:val="left" w:pos="1825"/>
              </w:tabs>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查培训记录：。</w:t>
            </w:r>
          </w:p>
          <w:p>
            <w:pPr>
              <w:tabs>
                <w:tab w:val="left" w:pos="1825"/>
              </w:tabs>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——抽培训记录：质量、环境、职业健康安全标准培训，培训时间：2022.</w:t>
            </w:r>
            <w:r>
              <w:rPr>
                <w:rFonts w:hint="eastAsia" w:cs="Times New Roman"/>
                <w:color w:val="auto"/>
                <w:szCs w:val="21"/>
                <w:lang w:val="en-US" w:eastAsia="zh-CN"/>
              </w:rPr>
              <w:t>6</w:t>
            </w:r>
            <w:r>
              <w:rPr>
                <w:rFonts w:hint="default"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lang w:val="en-US" w:eastAsia="zh-CN"/>
              </w:rPr>
              <w:t>，培训效果：通过培训，公司员工对新标准的内容基本理解和明确，达到预期目的。公司已建立了比较适宜的管理体系文件（包括管理方针、目标）。</w:t>
            </w:r>
            <w:r>
              <w:rPr>
                <w:rFonts w:hint="eastAsia" w:ascii="Times New Roman" w:hAnsi="Times New Roman" w:eastAsia="宋体" w:cs="Times New Roman"/>
                <w:color w:val="auto"/>
                <w:szCs w:val="21"/>
                <w:lang w:val="en-US" w:eastAsia="zh-CN"/>
              </w:rPr>
              <w:t>培训效果评价</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张老师</w:t>
            </w:r>
            <w:r>
              <w:rPr>
                <w:rFonts w:hint="default" w:ascii="Times New Roman" w:hAnsi="Times New Roman" w:eastAsia="宋体" w:cs="Times New Roman"/>
                <w:color w:val="auto"/>
                <w:szCs w:val="21"/>
                <w:lang w:val="en-US" w:eastAsia="zh-CN"/>
              </w:rPr>
              <w:t>。</w:t>
            </w:r>
          </w:p>
          <w:p>
            <w:pP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——抽培训记录：</w:t>
            </w:r>
            <w:r>
              <w:rPr>
                <w:rFonts w:hint="eastAsia"/>
                <w:sz w:val="21"/>
                <w:szCs w:val="21"/>
              </w:rPr>
              <w:t>消防知识、应急预案及安全意识培训</w:t>
            </w:r>
            <w:r>
              <w:rPr>
                <w:rFonts w:hint="default" w:ascii="Times New Roman" w:hAnsi="Times New Roman" w:eastAsia="宋体" w:cs="Times New Roman"/>
                <w:color w:val="auto"/>
                <w:szCs w:val="21"/>
                <w:lang w:val="en-US" w:eastAsia="zh-CN"/>
              </w:rPr>
              <w:t>，培训时间：2022.</w:t>
            </w:r>
            <w:r>
              <w:rPr>
                <w:rFonts w:hint="eastAsia" w:cs="Times New Roman"/>
                <w:color w:val="auto"/>
                <w:szCs w:val="21"/>
                <w:lang w:val="en-US" w:eastAsia="zh-CN"/>
              </w:rPr>
              <w:t>9</w:t>
            </w:r>
            <w:r>
              <w:rPr>
                <w:rFonts w:hint="default" w:ascii="Times New Roman" w:hAnsi="Times New Roman" w:eastAsia="宋体" w:cs="Times New Roman"/>
                <w:color w:val="auto"/>
                <w:szCs w:val="21"/>
                <w:lang w:val="en-US" w:eastAsia="zh-CN"/>
              </w:rPr>
              <w:t>.1</w:t>
            </w:r>
            <w:r>
              <w:rPr>
                <w:rFonts w:hint="eastAsia" w:cs="Times New Roman"/>
                <w:color w:val="auto"/>
                <w:szCs w:val="21"/>
                <w:lang w:val="en-US" w:eastAsia="zh-CN"/>
              </w:rPr>
              <w:t>5</w:t>
            </w:r>
            <w:r>
              <w:rPr>
                <w:rFonts w:hint="default" w:ascii="Times New Roman" w:hAnsi="Times New Roman" w:eastAsia="宋体" w:cs="Times New Roman"/>
                <w:color w:val="auto"/>
                <w:szCs w:val="21"/>
                <w:lang w:val="en-US" w:eastAsia="zh-CN"/>
              </w:rPr>
              <w:t>，培训效果：</w:t>
            </w:r>
            <w:r>
              <w:rPr>
                <w:rFonts w:hint="eastAsia"/>
                <w:sz w:val="21"/>
                <w:szCs w:val="21"/>
              </w:rPr>
              <w:t>通过培训，大家对消防灭火知识，逃生知识、 公司应急预案管理制度有了进一步认识，提高了自我保护能力及安全意识</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培训效果评价</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任哲誉</w:t>
            </w:r>
          </w:p>
          <w:p>
            <w:pPr>
              <w:tabs>
                <w:tab w:val="left" w:pos="1825"/>
              </w:tabs>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——抽培训内容：内审知识培训，培训时间：2022.</w:t>
            </w:r>
            <w:r>
              <w:rPr>
                <w:rFonts w:hint="eastAsia" w:cs="Times New Roman"/>
                <w:color w:val="auto"/>
                <w:szCs w:val="21"/>
                <w:lang w:val="en-US" w:eastAsia="zh-CN"/>
              </w:rPr>
              <w:t>8</w:t>
            </w:r>
            <w:r>
              <w:rPr>
                <w:rFonts w:hint="default" w:ascii="Times New Roman" w:hAnsi="Times New Roman" w:eastAsia="宋体" w:cs="Times New Roman"/>
                <w:color w:val="auto"/>
                <w:szCs w:val="21"/>
                <w:lang w:val="en-US" w:eastAsia="zh-CN"/>
              </w:rPr>
              <w:t>.</w:t>
            </w:r>
            <w:r>
              <w:rPr>
                <w:rFonts w:hint="eastAsia" w:cs="Times New Roman"/>
                <w:color w:val="auto"/>
                <w:szCs w:val="21"/>
                <w:lang w:val="en-US" w:eastAsia="zh-CN"/>
              </w:rPr>
              <w:t>12</w:t>
            </w:r>
            <w:r>
              <w:rPr>
                <w:rFonts w:hint="default" w:ascii="Times New Roman" w:hAnsi="Times New Roman" w:eastAsia="宋体" w:cs="Times New Roman"/>
                <w:color w:val="auto"/>
                <w:szCs w:val="21"/>
                <w:lang w:val="en-US" w:eastAsia="zh-CN"/>
              </w:rPr>
              <w:t>，培训内容：1、标准中与内部审核有关内容的学习；2、公司管理体系文件中与内部审核有关内容的学习；3、内部审核的理解，内部审核一般步骤，内部审核策划及实施，内部审核的要点及方法，审核跟踪；内部审核的注意事项等，通过本次的培训学习，公司的内审人员获得内审员证，能胜任内审工作。</w:t>
            </w:r>
            <w:r>
              <w:rPr>
                <w:rFonts w:hint="eastAsia" w:ascii="Times New Roman" w:hAnsi="Times New Roman" w:eastAsia="宋体" w:cs="Times New Roman"/>
                <w:color w:val="auto"/>
                <w:szCs w:val="21"/>
                <w:lang w:val="en-US" w:eastAsia="zh-CN"/>
              </w:rPr>
              <w:t>培训效果评价</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张老师</w:t>
            </w:r>
          </w:p>
          <w:p>
            <w:pPr>
              <w:tabs>
                <w:tab w:val="left" w:pos="1825"/>
              </w:tabs>
              <w:jc w:val="left"/>
              <w:rPr>
                <w:rFonts w:hint="default" w:ascii="Times New Roman" w:hAnsi="Times New Roman" w:cs="Times New Roman"/>
                <w:sz w:val="21"/>
                <w:szCs w:val="21"/>
                <w:lang w:val="en-US" w:eastAsia="zh-CN"/>
              </w:rPr>
            </w:pPr>
            <w:r>
              <w:rPr>
                <w:rFonts w:hint="eastAsia" w:ascii="Times New Roman" w:hAnsi="Times New Roman" w:eastAsia="宋体" w:cs="Times New Roman"/>
                <w:color w:val="auto"/>
                <w:szCs w:val="21"/>
                <w:lang w:val="en-US" w:eastAsia="zh-CN"/>
              </w:rPr>
              <w:t>经查符合要求。</w:t>
            </w:r>
          </w:p>
        </w:tc>
        <w:tc>
          <w:tcPr>
            <w:tcW w:w="0" w:type="auto"/>
          </w:tcPr>
          <w:p>
            <w:pPr>
              <w:spacing w:after="0" w:line="240" w:lineRule="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意识</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7.3</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主要</w:t>
            </w:r>
            <w:r>
              <w:rPr>
                <w:rFonts w:hint="eastAsia" w:ascii="Times New Roman" w:hAnsi="Times New Roman" w:cs="Times New Roman"/>
                <w:sz w:val="21"/>
                <w:szCs w:val="21"/>
              </w:rPr>
              <w:t>通过培训提高岗位作业水平</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职业健康安全</w:t>
            </w:r>
            <w:r>
              <w:rPr>
                <w:rFonts w:hint="eastAsia" w:ascii="Times New Roman" w:hAnsi="Times New Roman" w:cs="Times New Roman"/>
                <w:sz w:val="21"/>
                <w:szCs w:val="21"/>
              </w:rPr>
              <w:t>意识，明确各岗位要求，自身工作对</w:t>
            </w:r>
            <w:r>
              <w:rPr>
                <w:rFonts w:hint="eastAsia" w:ascii="Times New Roman" w:hAnsi="Times New Roman" w:cs="Times New Roman"/>
                <w:sz w:val="21"/>
                <w:szCs w:val="21"/>
                <w:lang w:val="en-US" w:eastAsia="zh-CN"/>
              </w:rPr>
              <w:t>职业健康安全</w:t>
            </w:r>
            <w:r>
              <w:rPr>
                <w:rFonts w:hint="eastAsia" w:ascii="Times New Roman" w:hAnsi="Times New Roman" w:cs="Times New Roman"/>
                <w:sz w:val="21"/>
                <w:szCs w:val="21"/>
              </w:rPr>
              <w:t>目标的影响，以及如何通过培训和互相交流提高</w:t>
            </w:r>
            <w:r>
              <w:rPr>
                <w:rFonts w:hint="eastAsia" w:ascii="Times New Roman" w:hAnsi="Times New Roman" w:cs="Times New Roman"/>
                <w:sz w:val="21"/>
                <w:szCs w:val="21"/>
                <w:lang w:val="en-US" w:eastAsia="zh-CN"/>
              </w:rPr>
              <w:t>职业健康安全</w:t>
            </w:r>
            <w:r>
              <w:rPr>
                <w:rFonts w:hint="eastAsia" w:ascii="Times New Roman" w:hAnsi="Times New Roman" w:cs="Times New Roman"/>
                <w:sz w:val="21"/>
                <w:szCs w:val="21"/>
              </w:rPr>
              <w:t>绩效等。现场</w:t>
            </w:r>
            <w:r>
              <w:rPr>
                <w:rFonts w:hint="eastAsia" w:ascii="Times New Roman" w:hAnsi="Times New Roman" w:cs="Times New Roman"/>
                <w:sz w:val="21"/>
                <w:szCs w:val="21"/>
                <w:lang w:val="en-US" w:eastAsia="zh-CN"/>
              </w:rPr>
              <w:t>询问办公室人员，清楚与其相关的职业健康安全目标及职业健康安全风险。</w:t>
            </w:r>
          </w:p>
        </w:tc>
        <w:tc>
          <w:tcPr>
            <w:tcW w:w="0" w:type="auto"/>
          </w:tcPr>
          <w:p>
            <w:pPr>
              <w:spacing w:after="0" w:line="240" w:lineRule="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沟通、</w:t>
            </w:r>
            <w:r>
              <w:rPr>
                <w:rFonts w:hint="eastAsia" w:ascii="Times New Roman" w:hAnsi="Times New Roman" w:cs="Times New Roman"/>
                <w:sz w:val="21"/>
                <w:szCs w:val="21"/>
                <w:lang w:val="en-US" w:eastAsia="zh-CN"/>
              </w:rPr>
              <w:t>员工的协商和参与</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QEO:</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7.4</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O:5.4</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策划编制的程序文件《</w:t>
            </w:r>
            <w:r>
              <w:rPr>
                <w:rFonts w:hint="eastAsia" w:ascii="宋体" w:hAnsi="宋体" w:cs="宋体"/>
                <w:b w:val="0"/>
                <w:bCs w:val="0"/>
                <w:sz w:val="21"/>
                <w:szCs w:val="21"/>
              </w:rPr>
              <w:t>信息交流、协商和沟通控制程序</w:t>
            </w:r>
            <w:r>
              <w:rPr>
                <w:rFonts w:hint="eastAsia" w:ascii="Times New Roman" w:hAnsi="Times New Roman" w:cs="Times New Roman"/>
                <w:sz w:val="21"/>
                <w:szCs w:val="21"/>
              </w:rPr>
              <w:t>》及管理手册的相关章节规定了企业内、外部沟通和员工就职业健康安全事务参与、协商的要求，经查阅和交谈符合标准要求。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总经理负责在公司建立畅通的沟通渠道。管理者代表是公司内部和外部信息交流和沟通的负责人。办公室是公司内部和外部信息交流和协商的归口</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门。负责与上级主管部门及周边单位的信息交流。办公室负责与管理体系、法律法规等有关的内部和外部信息交流。</w:t>
            </w:r>
            <w:r>
              <w:rPr>
                <w:rFonts w:hint="eastAsia" w:ascii="Times New Roman" w:hAnsi="Times New Roman" w:cs="Times New Roman"/>
                <w:sz w:val="21"/>
                <w:szCs w:val="21"/>
                <w:lang w:val="en-US" w:eastAsia="zh-CN"/>
              </w:rPr>
              <w:t>供销部负责</w:t>
            </w:r>
            <w:r>
              <w:rPr>
                <w:rFonts w:hint="eastAsia" w:ascii="Times New Roman" w:hAnsi="Times New Roman" w:cs="Times New Roman"/>
                <w:sz w:val="21"/>
                <w:szCs w:val="21"/>
              </w:rPr>
              <w:t>与采购供方</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客户相关方相关方之间的沟通。各部门收集到有关职业健康安全方面的信息，包括法律法规等，及时向办公室反馈。目前各项沟通都较为及时、顺畅、效果较好。</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经全体员工大会选举，并公司任命</w:t>
            </w:r>
            <w:r>
              <w:rPr>
                <w:rFonts w:hint="eastAsia" w:ascii="Times New Roman" w:hAnsi="Times New Roman" w:cs="Times New Roman"/>
                <w:sz w:val="21"/>
                <w:szCs w:val="21"/>
                <w:lang w:val="en-US" w:eastAsia="zh-CN"/>
              </w:rPr>
              <w:t>刘振国</w:t>
            </w:r>
            <w:r>
              <w:rPr>
                <w:rFonts w:hint="eastAsia" w:ascii="Times New Roman" w:hAnsi="Times New Roman" w:cs="Times New Roman"/>
                <w:sz w:val="21"/>
                <w:szCs w:val="21"/>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 xml:space="preserve">    与</w:t>
            </w:r>
            <w:r>
              <w:rPr>
                <w:rFonts w:hint="eastAsia" w:ascii="Times New Roman" w:hAnsi="Times New Roman" w:cs="Times New Roman"/>
                <w:sz w:val="21"/>
                <w:szCs w:val="21"/>
                <w:lang w:val="en-US" w:eastAsia="zh-CN"/>
              </w:rPr>
              <w:t>刘振国</w:t>
            </w:r>
            <w:r>
              <w:rPr>
                <w:rFonts w:hint="eastAsia" w:ascii="Times New Roman" w:hAnsi="Times New Roman" w:cs="Times New Roman"/>
                <w:sz w:val="21"/>
                <w:szCs w:val="21"/>
                <w:lang w:val="en-GB"/>
              </w:rPr>
              <w:t>座谈，</w:t>
            </w:r>
            <w:r>
              <w:rPr>
                <w:rFonts w:hint="eastAsia" w:ascii="Times New Roman" w:hAnsi="Times New Roman" w:cs="Times New Roman"/>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通过员工代表的积极争取，员工的劳保用品得到合理配备并及时发放；每年为一线岗位人员体检一次；员工保险得到按时交纳等。</w:t>
            </w:r>
          </w:p>
        </w:tc>
        <w:tc>
          <w:tcPr>
            <w:tcW w:w="0" w:type="auto"/>
          </w:tcPr>
          <w:p>
            <w:pPr>
              <w:spacing w:after="0" w:line="240" w:lineRule="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文件化信息</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QEO:</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7.5</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■受审核方建立的管理体系文件包括：</w:t>
            </w:r>
          </w:p>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1.管理</w:t>
            </w:r>
            <w:r>
              <w:rPr>
                <w:rFonts w:hint="default" w:ascii="Times New Roman" w:hAnsi="Times New Roman" w:cs="Times New Roman"/>
                <w:sz w:val="21"/>
                <w:szCs w:val="21"/>
              </w:rPr>
              <w:t>手册</w:t>
            </w:r>
            <w:r>
              <w:rPr>
                <w:rFonts w:hint="eastAsia" w:ascii="宋体" w:hAnsi="宋体" w:cs="宋体"/>
                <w:b w:val="0"/>
                <w:bCs w:val="0"/>
                <w:sz w:val="21"/>
                <w:szCs w:val="21"/>
                <w:u w:val="none"/>
                <w:lang w:eastAsia="zh-CN"/>
              </w:rPr>
              <w:t>BRLS</w:t>
            </w:r>
            <w:r>
              <w:rPr>
                <w:rFonts w:hint="eastAsia" w:ascii="宋体" w:hAnsi="宋体" w:cs="宋体"/>
                <w:b w:val="0"/>
                <w:bCs w:val="0"/>
                <w:sz w:val="21"/>
                <w:szCs w:val="21"/>
                <w:u w:val="none"/>
              </w:rPr>
              <w:t>/QES</w:t>
            </w:r>
            <w:r>
              <w:rPr>
                <w:rFonts w:ascii="宋体" w:hAnsi="宋体"/>
                <w:b w:val="0"/>
                <w:bCs w:val="0"/>
                <w:sz w:val="21"/>
                <w:szCs w:val="21"/>
                <w:u w:val="none"/>
              </w:rPr>
              <w:t>-</w:t>
            </w:r>
            <w:r>
              <w:rPr>
                <w:rFonts w:hint="eastAsia" w:ascii="宋体" w:hAnsi="宋体"/>
                <w:b w:val="0"/>
                <w:bCs w:val="0"/>
                <w:sz w:val="21"/>
                <w:szCs w:val="21"/>
                <w:u w:val="none"/>
                <w:lang w:eastAsia="zh-CN"/>
              </w:rPr>
              <w:t>202</w:t>
            </w:r>
            <w:r>
              <w:rPr>
                <w:rFonts w:hint="eastAsia" w:ascii="宋体" w:hAnsi="宋体"/>
                <w:b w:val="0"/>
                <w:bCs w:val="0"/>
                <w:sz w:val="21"/>
                <w:szCs w:val="21"/>
                <w:u w:val="none"/>
                <w:lang w:val="en-US" w:eastAsia="zh-CN"/>
              </w:rPr>
              <w:t>2</w:t>
            </w:r>
            <w:r>
              <w:rPr>
                <w:rFonts w:ascii="宋体" w:hAnsi="宋体"/>
                <w:b w:val="0"/>
                <w:bCs w:val="0"/>
                <w:sz w:val="21"/>
                <w:szCs w:val="21"/>
                <w:u w:val="none"/>
              </w:rPr>
              <w:t>-</w:t>
            </w:r>
            <w:r>
              <w:rPr>
                <w:rFonts w:hint="eastAsia" w:ascii="宋体" w:hAnsi="宋体"/>
                <w:b w:val="0"/>
                <w:bCs w:val="0"/>
                <w:sz w:val="21"/>
                <w:szCs w:val="21"/>
                <w:u w:val="none"/>
                <w:lang w:val="en-US" w:eastAsia="zh-CN"/>
              </w:rPr>
              <w:t>A</w:t>
            </w:r>
            <w:r>
              <w:rPr>
                <w:rFonts w:hint="eastAsia" w:ascii="宋体" w:hAnsi="宋体"/>
                <w:b w:val="0"/>
                <w:bCs w:val="0"/>
                <w:sz w:val="21"/>
                <w:szCs w:val="21"/>
                <w:u w:val="none"/>
              </w:rPr>
              <w:t>O</w:t>
            </w:r>
            <w:r>
              <w:rPr>
                <w:rFonts w:hint="default" w:ascii="Times New Roman" w:hAnsi="Times New Roman" w:cs="Times New Roman"/>
                <w:sz w:val="21"/>
                <w:szCs w:val="21"/>
              </w:rPr>
              <w:t>版，20</w:t>
            </w:r>
            <w:r>
              <w:rPr>
                <w:rFonts w:hint="eastAsia" w:ascii="Times New Roman" w:hAnsi="Times New Roman" w:cs="Times New Roman"/>
                <w:sz w:val="21"/>
                <w:szCs w:val="21"/>
                <w:lang w:val="en-US" w:eastAsia="zh-CN"/>
              </w:rPr>
              <w:t>21</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月1日发表实施（含管理方针、目标）</w:t>
            </w:r>
          </w:p>
          <w:p>
            <w:pPr>
              <w:spacing w:after="0" w:line="240" w:lineRule="auto"/>
              <w:rPr>
                <w:rFonts w:hint="default" w:ascii="Times New Roman" w:hAnsi="Times New Roman" w:cs="Times New Roman"/>
                <w:sz w:val="21"/>
                <w:szCs w:val="21"/>
              </w:rPr>
            </w:pPr>
            <w:r>
              <w:rPr>
                <w:rFonts w:hint="default" w:ascii="Times New Roman" w:hAnsi="Times New Roman" w:cs="Times New Roman"/>
                <w:sz w:val="21"/>
                <w:szCs w:val="21"/>
              </w:rPr>
              <w:t>2.程序文件</w:t>
            </w:r>
            <w:r>
              <w:rPr>
                <w:rFonts w:hint="eastAsia" w:ascii="宋体" w:hAnsi="宋体"/>
                <w:bCs/>
                <w:sz w:val="21"/>
                <w:szCs w:val="21"/>
                <w:u w:val="none"/>
                <w:lang w:eastAsia="zh-CN"/>
              </w:rPr>
              <w:t>BRLS</w:t>
            </w:r>
            <w:r>
              <w:rPr>
                <w:rFonts w:hint="eastAsia" w:ascii="宋体" w:hAnsi="宋体"/>
                <w:bCs/>
                <w:sz w:val="21"/>
                <w:szCs w:val="21"/>
                <w:u w:val="none"/>
              </w:rPr>
              <w:t>/CX-X.X.X</w:t>
            </w:r>
            <w:r>
              <w:rPr>
                <w:rFonts w:ascii="宋体" w:hAnsi="宋体"/>
                <w:bCs/>
                <w:sz w:val="21"/>
                <w:szCs w:val="21"/>
                <w:u w:val="none"/>
              </w:rPr>
              <w:t>-</w:t>
            </w:r>
            <w:r>
              <w:rPr>
                <w:rFonts w:hint="eastAsia" w:ascii="宋体" w:hAnsi="宋体"/>
                <w:bCs/>
                <w:sz w:val="21"/>
                <w:szCs w:val="21"/>
                <w:u w:val="none"/>
                <w:lang w:val="en-US" w:eastAsia="zh-CN"/>
              </w:rPr>
              <w:t>A</w:t>
            </w:r>
            <w:r>
              <w:rPr>
                <w:rFonts w:hint="eastAsia" w:ascii="宋体" w:hAnsi="宋体"/>
                <w:bCs/>
                <w:sz w:val="21"/>
                <w:szCs w:val="21"/>
                <w:u w:val="none"/>
                <w:lang w:eastAsia="zh-CN"/>
              </w:rPr>
              <w:t>0</w:t>
            </w:r>
            <w:r>
              <w:rPr>
                <w:rFonts w:ascii="宋体" w:hAnsi="宋体"/>
                <w:bCs/>
                <w:sz w:val="21"/>
                <w:szCs w:val="21"/>
                <w:u w:val="none"/>
              </w:rPr>
              <w:t>-</w:t>
            </w:r>
            <w:r>
              <w:rPr>
                <w:rFonts w:hint="eastAsia" w:ascii="宋体" w:hAnsi="宋体"/>
                <w:bCs/>
                <w:sz w:val="21"/>
                <w:szCs w:val="21"/>
                <w:u w:val="none"/>
                <w:lang w:eastAsia="zh-CN"/>
              </w:rPr>
              <w:t>2022</w:t>
            </w:r>
            <w:r>
              <w:rPr>
                <w:rFonts w:hint="default" w:ascii="Times New Roman" w:hAnsi="Times New Roman" w:cs="Times New Roman"/>
                <w:sz w:val="21"/>
                <w:szCs w:val="21"/>
              </w:rPr>
              <w:t>，含2</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rPr>
              <w:t>个文件，包括标准要求的程序</w:t>
            </w:r>
          </w:p>
          <w:p>
            <w:pPr>
              <w:spacing w:after="0" w:line="240" w:lineRule="auto"/>
              <w:rPr>
                <w:rFonts w:hint="eastAsia" w:ascii="Times New Roman" w:hAnsi="Times New Roman" w:cs="Times New Roman"/>
                <w:sz w:val="21"/>
                <w:szCs w:val="21"/>
              </w:rPr>
            </w:pPr>
            <w:r>
              <w:rPr>
                <w:rFonts w:hint="default" w:ascii="Times New Roman" w:hAnsi="Times New Roman" w:cs="Times New Roman"/>
                <w:sz w:val="21"/>
                <w:szCs w:val="21"/>
              </w:rPr>
              <w:t>3.作业文件</w:t>
            </w:r>
            <w:r>
              <w:rPr>
                <w:rFonts w:hint="eastAsia" w:ascii="宋体" w:hAnsi="宋体" w:eastAsia="宋体" w:cs="宋体"/>
                <w:sz w:val="21"/>
                <w:szCs w:val="21"/>
                <w:lang w:val="en-US" w:eastAsia="zh-CN"/>
              </w:rPr>
              <w:t>BRLS</w:t>
            </w:r>
            <w:r>
              <w:rPr>
                <w:rFonts w:hint="eastAsia" w:ascii="宋体" w:hAnsi="宋体" w:eastAsia="宋体" w:cs="宋体"/>
                <w:sz w:val="21"/>
                <w:szCs w:val="21"/>
              </w:rPr>
              <w:t>-ZY-</w:t>
            </w:r>
            <w:r>
              <w:rPr>
                <w:rFonts w:hint="eastAsia" w:ascii="宋体" w:hAnsi="宋体" w:eastAsia="宋体" w:cs="宋体"/>
                <w:sz w:val="21"/>
                <w:szCs w:val="21"/>
                <w:lang w:eastAsia="zh-CN"/>
              </w:rPr>
              <w:t>2022</w:t>
            </w:r>
            <w:r>
              <w:rPr>
                <w:rFonts w:hint="eastAsia" w:ascii="Times New Roman" w:hAnsi="Times New Roman" w:cs="Times New Roman"/>
                <w:sz w:val="21"/>
                <w:szCs w:val="21"/>
              </w:rPr>
              <w:t>，包括：岗位任职条件</w:t>
            </w:r>
            <w:r>
              <w:rPr>
                <w:rFonts w:hint="eastAsia" w:ascii="Times New Roman" w:hAnsi="Times New Roman" w:cs="Times New Roman"/>
                <w:sz w:val="21"/>
                <w:szCs w:val="21"/>
                <w:lang w:eastAsia="zh-CN"/>
              </w:rPr>
              <w:t>、</w:t>
            </w:r>
            <w:r>
              <w:rPr>
                <w:rFonts w:hint="eastAsia" w:ascii="宋体" w:hAnsi="宋体"/>
                <w:sz w:val="21"/>
                <w:szCs w:val="21"/>
              </w:rPr>
              <w:t>产品搬运、储存、防护操作规程</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火灾应急预案</w:t>
            </w:r>
            <w:r>
              <w:rPr>
                <w:rFonts w:hint="eastAsia" w:ascii="Times New Roman" w:hAnsi="Times New Roman" w:cs="Times New Roman"/>
                <w:sz w:val="21"/>
                <w:szCs w:val="21"/>
                <w:lang w:eastAsia="zh-CN"/>
              </w:rPr>
              <w:t>、</w:t>
            </w:r>
            <w:r>
              <w:rPr>
                <w:rFonts w:hint="eastAsia" w:ascii="宋体" w:hAnsi="宋体"/>
                <w:sz w:val="21"/>
                <w:szCs w:val="21"/>
              </w:rPr>
              <w:t>安全生产管理制度</w:t>
            </w:r>
            <w:r>
              <w:rPr>
                <w:rFonts w:hint="eastAsia" w:ascii="Times New Roman" w:hAnsi="Times New Roman" w:cs="Times New Roman"/>
                <w:sz w:val="21"/>
                <w:szCs w:val="21"/>
              </w:rPr>
              <w:t>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4.体系运行所需要的记录</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■编制了《文件控制程序》用于对管理体系文件，符合标准要求。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查看《文件发放签收表》，内容包括：文件名称，文件编号，接收部门，分发序号，接收人/日期，回收记录。</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w:t>
            </w:r>
            <w:r>
              <w:rPr>
                <w:rFonts w:hint="eastAsia" w:ascii="Times New Roman" w:hAnsi="Times New Roman" w:cs="Times New Roman"/>
                <w:sz w:val="21"/>
                <w:szCs w:val="21"/>
                <w:lang w:val="en-US" w:eastAsia="zh-CN"/>
              </w:rPr>
              <w:t>供销部</w:t>
            </w:r>
            <w:r>
              <w:rPr>
                <w:rFonts w:hint="eastAsia" w:ascii="Times New Roman" w:hAnsi="Times New Roman" w:cs="Times New Roman"/>
                <w:sz w:val="21"/>
                <w:szCs w:val="21"/>
              </w:rPr>
              <w:t>管理手册的发放，文件编号</w:t>
            </w:r>
            <w:r>
              <w:rPr>
                <w:rFonts w:hint="eastAsia" w:ascii="宋体" w:hAnsi="宋体" w:cs="宋体"/>
                <w:b w:val="0"/>
                <w:bCs w:val="0"/>
                <w:sz w:val="21"/>
                <w:szCs w:val="21"/>
                <w:u w:val="none"/>
                <w:lang w:eastAsia="zh-CN"/>
              </w:rPr>
              <w:t>BRLS</w:t>
            </w:r>
            <w:r>
              <w:rPr>
                <w:rFonts w:hint="eastAsia" w:ascii="宋体" w:hAnsi="宋体" w:cs="宋体"/>
                <w:b w:val="0"/>
                <w:bCs w:val="0"/>
                <w:sz w:val="21"/>
                <w:szCs w:val="21"/>
                <w:u w:val="none"/>
              </w:rPr>
              <w:t>/QES</w:t>
            </w:r>
            <w:r>
              <w:rPr>
                <w:rFonts w:ascii="宋体" w:hAnsi="宋体"/>
                <w:b w:val="0"/>
                <w:bCs w:val="0"/>
                <w:sz w:val="21"/>
                <w:szCs w:val="21"/>
                <w:u w:val="none"/>
              </w:rPr>
              <w:t>-</w:t>
            </w:r>
            <w:r>
              <w:rPr>
                <w:rFonts w:hint="eastAsia" w:ascii="宋体" w:hAnsi="宋体"/>
                <w:b w:val="0"/>
                <w:bCs w:val="0"/>
                <w:sz w:val="21"/>
                <w:szCs w:val="21"/>
                <w:u w:val="none"/>
                <w:lang w:eastAsia="zh-CN"/>
              </w:rPr>
              <w:t>202</w:t>
            </w:r>
            <w:r>
              <w:rPr>
                <w:rFonts w:hint="eastAsia" w:ascii="宋体" w:hAnsi="宋体"/>
                <w:b w:val="0"/>
                <w:bCs w:val="0"/>
                <w:sz w:val="21"/>
                <w:szCs w:val="21"/>
                <w:u w:val="none"/>
                <w:lang w:val="en-US" w:eastAsia="zh-CN"/>
              </w:rPr>
              <w:t>2</w:t>
            </w:r>
            <w:r>
              <w:rPr>
                <w:rFonts w:ascii="宋体" w:hAnsi="宋体"/>
                <w:b w:val="0"/>
                <w:bCs w:val="0"/>
                <w:sz w:val="21"/>
                <w:szCs w:val="21"/>
                <w:u w:val="none"/>
              </w:rPr>
              <w:t>-</w:t>
            </w:r>
            <w:r>
              <w:rPr>
                <w:rFonts w:hint="eastAsia" w:ascii="宋体" w:hAnsi="宋体"/>
                <w:b w:val="0"/>
                <w:bCs w:val="0"/>
                <w:sz w:val="21"/>
                <w:szCs w:val="21"/>
                <w:u w:val="none"/>
                <w:lang w:val="en-US" w:eastAsia="zh-CN"/>
              </w:rPr>
              <w:t>A</w:t>
            </w:r>
            <w:r>
              <w:rPr>
                <w:rFonts w:hint="eastAsia" w:ascii="宋体" w:hAnsi="宋体"/>
                <w:b w:val="0"/>
                <w:bCs w:val="0"/>
                <w:sz w:val="21"/>
                <w:szCs w:val="21"/>
                <w:u w:val="none"/>
              </w:rPr>
              <w:t>O</w:t>
            </w:r>
            <w:r>
              <w:rPr>
                <w:rFonts w:hint="eastAsia" w:ascii="Times New Roman" w:hAnsi="Times New Roman" w:cs="Times New Roman"/>
                <w:sz w:val="21"/>
                <w:szCs w:val="21"/>
              </w:rPr>
              <w:t>，分发号0</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，接收人</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张元俊</w:t>
            </w:r>
            <w:r>
              <w:rPr>
                <w:rFonts w:hint="eastAsia" w:ascii="Times New Roman" w:hAnsi="Times New Roman" w:cs="Times New Roman"/>
                <w:sz w:val="21"/>
                <w:szCs w:val="21"/>
              </w:rPr>
              <w:t>。</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查文件更改情况：针对</w:t>
            </w:r>
            <w:r>
              <w:rPr>
                <w:rFonts w:hint="eastAsia" w:ascii="Times New Roman" w:hAnsi="Times New Roman" w:cs="Times New Roman"/>
                <w:sz w:val="21"/>
                <w:szCs w:val="21"/>
                <w:lang w:val="en-US" w:eastAsia="zh-CN"/>
              </w:rPr>
              <w:t>文审</w:t>
            </w:r>
            <w:r>
              <w:rPr>
                <w:rFonts w:hint="eastAsia" w:ascii="Times New Roman" w:hAnsi="Times New Roman" w:cs="Times New Roman"/>
                <w:sz w:val="21"/>
                <w:szCs w:val="21"/>
              </w:rPr>
              <w:t>提出的不符合，对《管理手册》进行了更改。补充完善了相关内容，被替换的文件页均标有“作废”标识，由办公室统一封存。</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管理手册、管理制度等文件均保管良好，为有效版本，有受控标识。</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负责收集有关产品的国家标准、行业标准的最新版本，分发到相关部门使用；收回旧标准。</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查见《外来文件清单》，内容包括：序号、文件名称、编号、版本等。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共登记有质量法、合同法，招标投标法、</w:t>
            </w:r>
            <w:r>
              <w:rPr>
                <w:rFonts w:hint="eastAsia" w:ascii="Times New Roman" w:hAnsi="Times New Roman" w:cs="Times New Roman"/>
                <w:sz w:val="21"/>
                <w:szCs w:val="21"/>
                <w:lang w:val="en-US" w:eastAsia="zh-CN"/>
              </w:rPr>
              <w:t>安全生产法、</w:t>
            </w:r>
            <w:r>
              <w:rPr>
                <w:rFonts w:hint="eastAsia" w:ascii="Times New Roman" w:hAnsi="Times New Roman" w:cs="Times New Roman"/>
                <w:sz w:val="21"/>
                <w:szCs w:val="21"/>
              </w:rPr>
              <w:t>消防法、</w:t>
            </w:r>
            <w:r>
              <w:rPr>
                <w:rFonts w:hint="default" w:ascii="Times New Roman" w:hAnsi="Times New Roman" w:cs="Times New Roman"/>
                <w:sz w:val="21"/>
                <w:szCs w:val="21"/>
              </w:rPr>
              <w:t>《工作场所有害因素职业接触限值》、《职业健康安全管理体系 要求》</w:t>
            </w:r>
            <w:r>
              <w:rPr>
                <w:rFonts w:hint="eastAsia" w:ascii="Times New Roman" w:hAnsi="Times New Roman" w:cs="Times New Roman"/>
                <w:sz w:val="21"/>
                <w:szCs w:val="21"/>
              </w:rPr>
              <w:t>等。收集基本全面，基本符合。</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以上外来文件保管良好，均为有效版本。</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■编制了《记录控制程序》用于对记录的管理，符合标准要求。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查见《记录清单》，内容包括：序号、记录名称、编号、保存期、使用部门等。共登记有文件发放登记表、受控文件清单、外来文件清单、培训记录表等。保存期限分别为三年和长期。</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抽查</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文件发放登记表、培训记录表、受控文件清单，固体废弃物处置记录，填写及保管符合要求。各部门保存各记录，按时间整理，放置在文件柜中，以便检索，</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定期对其进行检查，目前保存完好。名称，编号构成记录的唯一性标识。</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介绍：尚未销毁记录，如有，由办公室组织进行。</w:t>
            </w:r>
          </w:p>
        </w:tc>
        <w:tc>
          <w:tcPr>
            <w:tcW w:w="0" w:type="auto"/>
          </w:tcPr>
          <w:p>
            <w:pPr>
              <w:spacing w:after="0" w:line="240" w:lineRule="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运行</w:t>
            </w:r>
            <w:r>
              <w:rPr>
                <w:rFonts w:hint="eastAsia" w:ascii="Times New Roman" w:hAnsi="Times New Roman" w:cs="Times New Roman"/>
                <w:sz w:val="21"/>
                <w:szCs w:val="21"/>
                <w:lang w:val="en-US" w:eastAsia="zh-CN"/>
              </w:rPr>
              <w:t>策划和</w:t>
            </w:r>
            <w:r>
              <w:rPr>
                <w:rFonts w:hint="eastAsia" w:ascii="Times New Roman" w:hAnsi="Times New Roman" w:cs="Times New Roman"/>
                <w:sz w:val="21"/>
                <w:szCs w:val="21"/>
              </w:rPr>
              <w:t>控制</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8.1</w:t>
            </w:r>
          </w:p>
        </w:tc>
        <w:tc>
          <w:tcPr>
            <w:tcW w:w="0" w:type="auto"/>
            <w:vAlign w:val="center"/>
          </w:tcPr>
          <w:p>
            <w:pPr>
              <w:spacing w:after="0" w:line="240" w:lineRule="auto"/>
              <w:rPr>
                <w:rFonts w:hint="eastAsia" w:ascii="Times New Roman" w:hAnsi="Times New Roman" w:cs="Times New Roman"/>
                <w:sz w:val="21"/>
                <w:szCs w:val="21"/>
                <w:lang w:val="en-GB"/>
              </w:rPr>
            </w:pPr>
            <w:r>
              <w:rPr>
                <w:rFonts w:hint="eastAsia" w:ascii="Times New Roman" w:hAnsi="Times New Roman" w:cs="Times New Roman"/>
                <w:sz w:val="21"/>
                <w:szCs w:val="21"/>
                <w:lang w:val="en-US" w:eastAsia="zh-CN"/>
              </w:rPr>
              <w:t>该</w:t>
            </w:r>
            <w:r>
              <w:rPr>
                <w:rFonts w:hint="eastAsia" w:ascii="Times New Roman" w:hAnsi="Times New Roman" w:cs="Times New Roman"/>
                <w:sz w:val="21"/>
                <w:szCs w:val="21"/>
              </w:rPr>
              <w:t>部门应执行的运行控制文件：</w:t>
            </w:r>
            <w:r>
              <w:rPr>
                <w:rFonts w:hint="eastAsia" w:ascii="Times New Roman" w:hAnsi="Times New Roman" w:cs="Times New Roman"/>
                <w:sz w:val="21"/>
                <w:szCs w:val="21"/>
                <w:lang w:val="en-GB"/>
              </w:rPr>
              <w:t>《</w:t>
            </w:r>
            <w:r>
              <w:rPr>
                <w:rFonts w:hint="eastAsia" w:ascii="宋体" w:hAnsi="宋体" w:cs="宋体"/>
                <w:b w:val="0"/>
                <w:bCs w:val="0"/>
                <w:sz w:val="21"/>
                <w:szCs w:val="21"/>
              </w:rPr>
              <w:t>环境、职业健康安全运行控制程序</w:t>
            </w:r>
            <w:r>
              <w:rPr>
                <w:rFonts w:hint="eastAsia" w:ascii="Times New Roman" w:hAnsi="Times New Roman" w:cs="Times New Roman"/>
                <w:sz w:val="21"/>
                <w:szCs w:val="21"/>
                <w:lang w:val="en-GB"/>
              </w:rPr>
              <w:t>》</w:t>
            </w:r>
            <w:r>
              <w:rPr>
                <w:rFonts w:hint="eastAsia" w:ascii="Times New Roman" w:hAnsi="Times New Roman" w:cs="Times New Roman"/>
                <w:sz w:val="21"/>
                <w:szCs w:val="21"/>
              </w:rPr>
              <w:t>。</w:t>
            </w:r>
          </w:p>
          <w:p>
            <w:pPr>
              <w:spacing w:after="0" w:line="240" w:lineRule="auto"/>
              <w:rPr>
                <w:rFonts w:hint="eastAsia" w:ascii="Times New Roman" w:hAnsi="Times New Roman" w:cs="Times New Roman"/>
                <w:sz w:val="21"/>
                <w:szCs w:val="21"/>
                <w:lang w:val="en-GB"/>
              </w:rPr>
            </w:pPr>
            <w:r>
              <w:rPr>
                <w:rFonts w:hint="eastAsia" w:ascii="Times New Roman" w:hAnsi="Times New Roman" w:cs="Times New Roman"/>
                <w:sz w:val="21"/>
                <w:szCs w:val="21"/>
                <w:lang w:val="en-GB"/>
              </w:rPr>
              <w:t>运行控制情况：办公过程注意节约用电，做到人走灯灭，电脑长时间不用时关机，下班前要关闭电源；</w:t>
            </w:r>
          </w:p>
          <w:p>
            <w:pPr>
              <w:spacing w:after="0" w:line="240" w:lineRule="auto"/>
              <w:rPr>
                <w:rFonts w:hint="eastAsia" w:ascii="Times New Roman" w:hAnsi="Times New Roman" w:cs="Times New Roman"/>
                <w:sz w:val="21"/>
                <w:szCs w:val="21"/>
                <w:lang w:val="en-GB"/>
              </w:rPr>
            </w:pPr>
            <w:r>
              <w:rPr>
                <w:rFonts w:hint="eastAsia" w:ascii="Times New Roman" w:hAnsi="Times New Roman" w:cs="Times New Roman"/>
                <w:sz w:val="21"/>
                <w:szCs w:val="21"/>
              </w:rPr>
              <w:t>办公过程使用的电器如：空调、电脑、灯具均符合安全设计要求，使用过程注意安全，预防触电，工作时间平均每天8小时；</w:t>
            </w:r>
          </w:p>
          <w:p>
            <w:pPr>
              <w:spacing w:after="0" w:line="240" w:lineRule="auto"/>
              <w:rPr>
                <w:rFonts w:hint="eastAsia" w:ascii="Times New Roman" w:hAnsi="Times New Roman" w:cs="Times New Roman"/>
                <w:sz w:val="21"/>
                <w:szCs w:val="21"/>
                <w:lang w:val="en-GB"/>
              </w:rPr>
            </w:pPr>
            <w:r>
              <w:rPr>
                <w:rFonts w:hint="eastAsia" w:ascii="Times New Roman" w:hAnsi="Times New Roman" w:cs="Times New Roman"/>
                <w:sz w:val="21"/>
                <w:szCs w:val="21"/>
                <w:lang w:val="en-GB"/>
              </w:rPr>
              <w:t>办公用品按要求由</w:t>
            </w:r>
            <w:r>
              <w:rPr>
                <w:rFonts w:hint="eastAsia" w:ascii="Times New Roman" w:hAnsi="Times New Roman" w:cs="Times New Roman"/>
                <w:sz w:val="21"/>
                <w:szCs w:val="21"/>
              </w:rPr>
              <w:t>办公室</w:t>
            </w:r>
            <w:r>
              <w:rPr>
                <w:rFonts w:hint="eastAsia" w:ascii="Times New Roman" w:hAnsi="Times New Roman" w:cs="Times New Roman"/>
                <w:sz w:val="21"/>
                <w:szCs w:val="21"/>
                <w:lang w:val="en-GB"/>
              </w:rPr>
              <w:t>负责发放，作好记录；</w:t>
            </w:r>
          </w:p>
          <w:p>
            <w:pPr>
              <w:spacing w:after="0" w:line="240" w:lineRule="auto"/>
              <w:rPr>
                <w:rFonts w:hint="eastAsia" w:ascii="Times New Roman" w:hAnsi="Times New Roman" w:cs="Times New Roman"/>
                <w:sz w:val="21"/>
                <w:szCs w:val="21"/>
                <w:lang w:val="en-GB"/>
              </w:rPr>
            </w:pPr>
            <w:r>
              <w:rPr>
                <w:rFonts w:hint="eastAsia" w:ascii="Times New Roman" w:hAnsi="Times New Roman" w:cs="Times New Roman"/>
                <w:sz w:val="21"/>
                <w:szCs w:val="21"/>
                <w:lang w:val="en-GB"/>
              </w:rPr>
              <w:t>公司办公产生的废硒鼓、废墨盒、色带由供应方公司回收；</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办公室</w:t>
            </w:r>
            <w:r>
              <w:rPr>
                <w:rFonts w:hint="eastAsia" w:ascii="Times New Roman" w:hAnsi="Times New Roman" w:cs="Times New Roman"/>
                <w:sz w:val="21"/>
                <w:szCs w:val="21"/>
                <w:lang w:val="en-GB"/>
              </w:rPr>
              <w:t>每天巡视现场，对环境安全事宜进行检查，发现问题当即纠正；每月进行检查统计分析，查</w:t>
            </w: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22.7-11月</w:t>
            </w:r>
            <w:r>
              <w:rPr>
                <w:rFonts w:hint="eastAsia" w:ascii="Times New Roman" w:hAnsi="Times New Roman" w:cs="Times New Roman"/>
                <w:sz w:val="21"/>
                <w:szCs w:val="21"/>
              </w:rPr>
              <w:t>检查记录，各部门运行情况良好。检查人</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赵军峰</w:t>
            </w:r>
            <w:r>
              <w:rPr>
                <w:rFonts w:hint="eastAsia" w:ascii="Times New Roman" w:hAnsi="Times New Roman" w:cs="Times New Roman"/>
                <w:sz w:val="21"/>
                <w:szCs w:val="21"/>
              </w:rPr>
              <w:t>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提供2022年9月</w:t>
            </w:r>
            <w:r>
              <w:rPr>
                <w:rFonts w:hint="eastAsia" w:ascii="Times New Roman" w:hAnsi="Times New Roman" w:cs="Times New Roman"/>
                <w:sz w:val="21"/>
                <w:szCs w:val="21"/>
                <w:lang w:val="en-GB"/>
              </w:rPr>
              <w:t>废弃物统计表</w:t>
            </w:r>
            <w:r>
              <w:rPr>
                <w:rFonts w:hint="eastAsia" w:ascii="Times New Roman" w:hAnsi="Times New Roman" w:cs="Times New Roman"/>
                <w:sz w:val="21"/>
                <w:szCs w:val="21"/>
                <w:lang w:val="en-GB" w:eastAsia="zh-CN"/>
              </w:rPr>
              <w:t>，</w:t>
            </w:r>
            <w:r>
              <w:rPr>
                <w:rFonts w:hint="eastAsia" w:ascii="Times New Roman" w:hAnsi="Times New Roman" w:cs="Times New Roman"/>
                <w:sz w:val="21"/>
                <w:szCs w:val="21"/>
                <w:lang w:val="en-US" w:eastAsia="zh-CN"/>
              </w:rPr>
              <w:t>有物品名称：数量、处置人等，</w:t>
            </w:r>
            <w:r>
              <w:rPr>
                <w:rFonts w:hint="eastAsia" w:ascii="Times New Roman" w:hAnsi="Times New Roman" w:cs="Times New Roman"/>
                <w:sz w:val="21"/>
                <w:szCs w:val="21"/>
              </w:rPr>
              <w:t>公司为员工缴纳了保险，提供了缴纳保险的证据。</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为员工配备了安全防护设施—提供《劳保用品发放记录》</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查阅：主要劳保用品为：线手套、洗衣粉、胶手套、口罩，记录了发放时间、领用人等，发放人：</w:t>
            </w:r>
            <w:r>
              <w:rPr>
                <w:rFonts w:hint="eastAsia" w:ascii="Times New Roman" w:hAnsi="Times New Roman" w:cs="Times New Roman"/>
                <w:sz w:val="21"/>
                <w:szCs w:val="21"/>
                <w:lang w:val="en-US" w:eastAsia="zh-CN"/>
              </w:rPr>
              <w:t>赵军峰</w:t>
            </w:r>
            <w:r>
              <w:rPr>
                <w:rFonts w:hint="eastAsia" w:ascii="Times New Roman" w:hAnsi="Times New Roman" w:cs="Times New Roman"/>
                <w:sz w:val="21"/>
                <w:szCs w:val="21"/>
              </w:rPr>
              <w:t>。</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办公区固废；现在分类集中存放，及时处理，防止意外火灾。</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驾驶员要求遵守道路交通安全法，不违章驾车，驾驶证和车辆定期年审，确保行车安全；</w:t>
            </w:r>
          </w:p>
          <w:p>
            <w:pPr>
              <w:spacing w:after="0" w:line="240" w:lineRule="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rPr>
              <w:t>对职业健康安全方面的资金投入情况（20</w:t>
            </w:r>
            <w:r>
              <w:rPr>
                <w:rFonts w:hint="eastAsia" w:ascii="Times New Roman" w:hAnsi="Times New Roman" w:cs="Times New Roman"/>
                <w:sz w:val="21"/>
                <w:szCs w:val="21"/>
                <w:lang w:val="en-US" w:eastAsia="zh-CN"/>
              </w:rPr>
              <w:t>2</w:t>
            </w:r>
            <w:r>
              <w:rPr>
                <w:rFonts w:hint="eastAsia" w:cs="Times New Roman"/>
                <w:sz w:val="21"/>
                <w:szCs w:val="21"/>
                <w:lang w:val="en-US" w:eastAsia="zh-CN"/>
              </w:rPr>
              <w:t>2</w:t>
            </w:r>
            <w:r>
              <w:rPr>
                <w:rFonts w:hint="eastAsia" w:ascii="Times New Roman" w:hAnsi="Times New Roman" w:cs="Times New Roman"/>
                <w:sz w:val="21"/>
                <w:szCs w:val="21"/>
                <w:lang w:val="en-US" w:eastAsia="zh-CN"/>
              </w:rPr>
              <w:t>.7-</w:t>
            </w:r>
            <w:r>
              <w:rPr>
                <w:rFonts w:hint="eastAsia" w:cs="Times New Roman"/>
                <w:sz w:val="21"/>
                <w:szCs w:val="21"/>
                <w:lang w:val="en-US" w:eastAsia="zh-CN"/>
              </w:rPr>
              <w:t>11</w:t>
            </w:r>
            <w:r>
              <w:rPr>
                <w:rFonts w:hint="eastAsia" w:ascii="Times New Roman" w:hAnsi="Times New Roman" w:cs="Times New Roman"/>
                <w:sz w:val="21"/>
                <w:szCs w:val="21"/>
              </w:rPr>
              <w:t>）：教育资料培训费；劳保用品购置费；保险购买费；消防器材</w:t>
            </w:r>
            <w:r>
              <w:rPr>
                <w:rFonts w:hint="eastAsia" w:ascii="Times New Roman" w:hAnsi="Times New Roman" w:cs="Times New Roman"/>
                <w:sz w:val="21"/>
                <w:szCs w:val="21"/>
                <w:lang w:val="en-US" w:eastAsia="zh-CN"/>
              </w:rPr>
              <w:t>等。</w:t>
            </w:r>
          </w:p>
          <w:p>
            <w:pPr>
              <w:spacing w:after="0" w:line="240" w:lineRule="auto"/>
              <w:rPr>
                <w:rFonts w:hint="eastAsia" w:ascii="Times New Roman" w:hAnsi="Times New Roman" w:cs="Times New Roman"/>
                <w:sz w:val="21"/>
                <w:szCs w:val="21"/>
                <w:lang w:val="en-GB" w:eastAsia="zh-CN"/>
              </w:rPr>
            </w:pPr>
            <w:r>
              <w:rPr>
                <w:rFonts w:hint="eastAsia" w:ascii="Times New Roman" w:hAnsi="Times New Roman" w:cs="Times New Roman"/>
                <w:sz w:val="21"/>
                <w:szCs w:val="21"/>
              </w:rPr>
              <w:t>查看办公区域配备有符合要求的灭火器等，办公室设备、电器状态良好，无安全隐患。</w:t>
            </w:r>
          </w:p>
        </w:tc>
        <w:tc>
          <w:tcPr>
            <w:tcW w:w="0" w:type="auto"/>
          </w:tcPr>
          <w:p>
            <w:pPr>
              <w:spacing w:after="0" w:line="240" w:lineRule="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应急准备和响应</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8.2</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1、查策划有《应急准备与响应控制程序》，编制有</w:t>
            </w:r>
            <w:r>
              <w:rPr>
                <w:rFonts w:hint="default" w:ascii="Times New Roman" w:hAnsi="Times New Roman" w:cs="Times New Roman"/>
                <w:sz w:val="21"/>
                <w:szCs w:val="21"/>
              </w:rPr>
              <w:t>火灾事故、触电</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机械</w:t>
            </w:r>
            <w:r>
              <w:rPr>
                <w:rFonts w:hint="default" w:ascii="Times New Roman" w:hAnsi="Times New Roman" w:cs="Times New Roman"/>
                <w:sz w:val="21"/>
                <w:szCs w:val="21"/>
              </w:rPr>
              <w:t>伤害应急预案</w:t>
            </w:r>
            <w:r>
              <w:rPr>
                <w:rFonts w:hint="eastAsia" w:ascii="Times New Roman" w:hAnsi="Times New Roman" w:cs="Times New Roman"/>
                <w:sz w:val="21"/>
                <w:szCs w:val="21"/>
              </w:rPr>
              <w:t>。</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2、应急准备工作开展以下活动：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——建立有应急组织，提供出应急组织机构图、消防队人员名单、职责权限规定等。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——配备相应的消防器材。</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——进行消防常识和能力的培训、潜在的火灾常识和能力的培训</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3、该部门介绍开展了消防器材的使用和人员紧急疏散演练活动：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提供有20</w:t>
            </w:r>
            <w:r>
              <w:rPr>
                <w:rFonts w:hint="eastAsia" w:ascii="Times New Roman" w:hAnsi="Times New Roman" w:cs="Times New Roman"/>
                <w:sz w:val="21"/>
                <w:szCs w:val="21"/>
                <w:lang w:val="en-US" w:eastAsia="zh-CN"/>
              </w:rPr>
              <w:t>2</w:t>
            </w:r>
            <w:r>
              <w:rPr>
                <w:rFonts w:hint="eastAsia" w:cs="Times New Roman"/>
                <w:sz w:val="21"/>
                <w:szCs w:val="21"/>
                <w:lang w:val="en-US" w:eastAsia="zh-CN"/>
              </w:rPr>
              <w:t>2</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日“消防演习计划”。</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——演练时间：20</w:t>
            </w:r>
            <w:r>
              <w:rPr>
                <w:rFonts w:hint="eastAsia" w:ascii="Times New Roman" w:hAnsi="Times New Roman" w:cs="Times New Roman"/>
                <w:sz w:val="21"/>
                <w:szCs w:val="21"/>
                <w:lang w:val="en-US" w:eastAsia="zh-CN"/>
              </w:rPr>
              <w:t>2</w:t>
            </w:r>
            <w:r>
              <w:rPr>
                <w:rFonts w:hint="eastAsia" w:cs="Times New Roman"/>
                <w:sz w:val="21"/>
                <w:szCs w:val="21"/>
                <w:lang w:val="en-US" w:eastAsia="zh-CN"/>
              </w:rPr>
              <w:t>2</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日13：30；</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——演练组织部门：办公室；参加人员：全体</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——演练效果评价记录：通过演练，证明预案基本适宜，全体人员对预案的要求有了比较适宜的操作方法，可以有效履行预案的要求，对伤害事故起到良好的控制作用。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——对消防应急预案的适用性、可操作性进行评审；符合要求。</w:t>
            </w:r>
          </w:p>
          <w:p>
            <w:pPr>
              <w:spacing w:after="0" w:line="240" w:lineRule="auto"/>
              <w:rPr>
                <w:rFonts w:hint="eastAsia" w:ascii="Times New Roman" w:hAnsi="Times New Roman" w:cs="Times New Roman"/>
                <w:sz w:val="21"/>
                <w:szCs w:val="21"/>
                <w:lang w:val="en-GB" w:eastAsia="zh-CN"/>
              </w:rPr>
            </w:pPr>
            <w:r>
              <w:rPr>
                <w:rFonts w:hint="eastAsia" w:ascii="Times New Roman" w:hAnsi="Times New Roman" w:cs="Times New Roman"/>
                <w:sz w:val="21"/>
                <w:szCs w:val="21"/>
                <w:lang w:val="zh-CN"/>
              </w:rPr>
              <w:t>查看办公区域配置了灭火器，在有效期内。</w:t>
            </w:r>
          </w:p>
        </w:tc>
        <w:tc>
          <w:tcPr>
            <w:tcW w:w="0" w:type="auto"/>
          </w:tcPr>
          <w:p>
            <w:pPr>
              <w:spacing w:after="0" w:line="240" w:lineRule="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合规性评价</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9.1.2</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策划编制了《合规性评价控制程序》，经查符合要求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查合规性评价：20</w:t>
            </w:r>
            <w:r>
              <w:rPr>
                <w:rFonts w:hint="eastAsia" w:ascii="Times New Roman" w:hAnsi="Times New Roman" w:cs="Times New Roman"/>
                <w:sz w:val="21"/>
                <w:szCs w:val="21"/>
                <w:lang w:val="en-US" w:eastAsia="zh-CN"/>
              </w:rPr>
              <w:t>2</w:t>
            </w:r>
            <w:r>
              <w:rPr>
                <w:rFonts w:hint="eastAsia" w:cs="Times New Roman"/>
                <w:sz w:val="21"/>
                <w:szCs w:val="21"/>
                <w:lang w:val="en-US" w:eastAsia="zh-CN"/>
              </w:rPr>
              <w:t>2</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月</w:t>
            </w:r>
            <w:r>
              <w:rPr>
                <w:rFonts w:hint="eastAsia" w:cs="Times New Roman"/>
                <w:sz w:val="21"/>
                <w:szCs w:val="21"/>
                <w:lang w:val="en-US" w:eastAsia="zh-CN"/>
              </w:rPr>
              <w:t>19</w:t>
            </w:r>
            <w:r>
              <w:rPr>
                <w:rFonts w:hint="eastAsia" w:ascii="Times New Roman" w:hAnsi="Times New Roman" w:cs="Times New Roman"/>
                <w:sz w:val="21"/>
                <w:szCs w:val="21"/>
              </w:rPr>
              <w:t>日进行合规性评价，提供了《合规性评价表》，内容包括：活动场所/产品/服务、</w:t>
            </w:r>
            <w:r>
              <w:rPr>
                <w:rFonts w:hint="eastAsia" w:ascii="Times New Roman" w:hAnsi="Times New Roman" w:cs="Times New Roman"/>
                <w:sz w:val="21"/>
                <w:szCs w:val="21"/>
                <w:lang w:eastAsia="zh-CN"/>
              </w:rPr>
              <w:t>不可接受风险、</w:t>
            </w:r>
            <w:r>
              <w:rPr>
                <w:rFonts w:hint="eastAsia" w:ascii="Times New Roman" w:hAnsi="Times New Roman" w:cs="Times New Roman"/>
                <w:sz w:val="21"/>
                <w:szCs w:val="21"/>
              </w:rPr>
              <w:t>现有控制措施、适用的法律法规及其对应条款、符合性评价等。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评价了相关的法律法规，涉及火灾、触电</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车辆伤害</w:t>
            </w:r>
            <w:r>
              <w:rPr>
                <w:rFonts w:hint="eastAsia" w:ascii="Times New Roman" w:hAnsi="Times New Roman" w:cs="Times New Roman"/>
                <w:sz w:val="21"/>
                <w:szCs w:val="21"/>
              </w:rPr>
              <w:t>等</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评价结果：公司能够按照有关法律法规、公司文件进行控制、检查，能够遵守国家、地方的法律法规，合规性评价符合要求。批准/日期：</w:t>
            </w:r>
            <w:r>
              <w:rPr>
                <w:rFonts w:hint="eastAsia" w:cs="Times New Roman"/>
                <w:sz w:val="21"/>
                <w:szCs w:val="21"/>
                <w:lang w:val="en-US" w:eastAsia="zh-CN"/>
              </w:rPr>
              <w:t>张元磊</w:t>
            </w:r>
            <w:r>
              <w:rPr>
                <w:rFonts w:hint="eastAsia" w:ascii="Times New Roman" w:hAnsi="Times New Roman" w:cs="Times New Roman"/>
                <w:sz w:val="21"/>
                <w:szCs w:val="21"/>
                <w:lang w:val="en-US" w:eastAsia="zh-CN"/>
              </w:rPr>
              <w:t xml:space="preserve"> 202</w:t>
            </w:r>
            <w:r>
              <w:rPr>
                <w:rFonts w:hint="eastAsia" w:cs="Times New Roman"/>
                <w:sz w:val="21"/>
                <w:szCs w:val="21"/>
                <w:lang w:val="en-US" w:eastAsia="zh-CN"/>
              </w:rPr>
              <w:t>2</w:t>
            </w:r>
            <w:r>
              <w:rPr>
                <w:rFonts w:hint="eastAsia" w:ascii="Times New Roman" w:hAnsi="Times New Roman" w:cs="Times New Roman"/>
                <w:sz w:val="21"/>
                <w:szCs w:val="21"/>
                <w:lang w:val="en-US" w:eastAsia="zh-CN"/>
              </w:rPr>
              <w:t>.8.</w:t>
            </w:r>
            <w:r>
              <w:rPr>
                <w:rFonts w:hint="eastAsia" w:cs="Times New Roman"/>
                <w:sz w:val="21"/>
                <w:szCs w:val="21"/>
                <w:lang w:val="en-US" w:eastAsia="zh-CN"/>
              </w:rPr>
              <w:t>19</w:t>
            </w:r>
          </w:p>
          <w:p>
            <w:pPr>
              <w:spacing w:after="0" w:line="240" w:lineRule="auto"/>
              <w:rPr>
                <w:rFonts w:hint="eastAsia" w:ascii="Times New Roman" w:hAnsi="Times New Roman" w:cs="Times New Roman"/>
                <w:sz w:val="21"/>
                <w:szCs w:val="21"/>
                <w:lang w:val="zh-CN" w:eastAsia="zh-CN"/>
              </w:rPr>
            </w:pPr>
            <w:r>
              <w:rPr>
                <w:rFonts w:hint="eastAsia" w:ascii="Times New Roman" w:hAnsi="Times New Roman" w:cs="Times New Roman"/>
                <w:sz w:val="21"/>
                <w:szCs w:val="21"/>
              </w:rPr>
              <w:t>经查</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合规性评价基本符合要求。</w:t>
            </w:r>
          </w:p>
        </w:tc>
        <w:tc>
          <w:tcPr>
            <w:tcW w:w="0" w:type="auto"/>
          </w:tcPr>
          <w:p>
            <w:pPr>
              <w:spacing w:after="0" w:line="240" w:lineRule="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内部审核</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QEO:</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9.2</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编制《内部审核控制程序》，基本符合标准要求。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经查问：总经理、各部门主管均经培训并参加了内部审核。</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w:t>
            </w:r>
            <w:r>
              <w:rPr>
                <w:rFonts w:hint="eastAsia" w:cs="Times New Roman"/>
                <w:sz w:val="21"/>
                <w:szCs w:val="21"/>
                <w:lang w:val="en-US" w:eastAsia="zh-CN"/>
              </w:rPr>
              <w:t>2</w:t>
            </w:r>
            <w:r>
              <w:rPr>
                <w:rFonts w:hint="eastAsia" w:ascii="Times New Roman" w:hAnsi="Times New Roman" w:cs="Times New Roman"/>
                <w:sz w:val="21"/>
                <w:szCs w:val="21"/>
                <w:lang w:val="en-US" w:eastAsia="zh-CN"/>
              </w:rPr>
              <w:t>.10.</w:t>
            </w:r>
            <w:r>
              <w:rPr>
                <w:rFonts w:hint="eastAsia" w:cs="Times New Roman"/>
                <w:sz w:val="21"/>
                <w:szCs w:val="21"/>
                <w:lang w:val="en-US" w:eastAsia="zh-CN"/>
              </w:rPr>
              <w:t>15</w:t>
            </w:r>
            <w:r>
              <w:rPr>
                <w:rFonts w:hint="eastAsia" w:ascii="Times New Roman" w:hAnsi="Times New Roman" w:cs="Times New Roman"/>
                <w:sz w:val="21"/>
                <w:szCs w:val="21"/>
                <w:lang w:val="en-US" w:eastAsia="zh-CN"/>
              </w:rPr>
              <w:t>-</w:t>
            </w:r>
            <w:r>
              <w:rPr>
                <w:rFonts w:hint="eastAsia" w:cs="Times New Roman"/>
                <w:sz w:val="21"/>
                <w:szCs w:val="21"/>
                <w:lang w:val="en-US" w:eastAsia="zh-CN"/>
              </w:rPr>
              <w:t>16</w:t>
            </w:r>
            <w:r>
              <w:rPr>
                <w:rFonts w:hint="eastAsia" w:ascii="Times New Roman" w:hAnsi="Times New Roman" w:cs="Times New Roman"/>
                <w:sz w:val="21"/>
                <w:szCs w:val="21"/>
              </w:rPr>
              <w:t>开展了管理体系内部审核活动，并提供以下内审的资料：</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——《审核实施计划》，</w:t>
            </w:r>
            <w:r>
              <w:rPr>
                <w:rFonts w:hint="eastAsia" w:ascii="Times New Roman" w:hAnsi="Times New Roman" w:cs="Times New Roman"/>
                <w:sz w:val="21"/>
                <w:szCs w:val="21"/>
                <w:lang w:val="en-US" w:eastAsia="zh-CN"/>
              </w:rPr>
              <w:t xml:space="preserve">编制：任哲誉 </w:t>
            </w:r>
            <w:r>
              <w:rPr>
                <w:rFonts w:hint="eastAsia" w:ascii="Times New Roman" w:hAnsi="Times New Roman" w:cs="Times New Roman"/>
                <w:sz w:val="21"/>
                <w:szCs w:val="21"/>
              </w:rPr>
              <w:t>批准：</w:t>
            </w:r>
            <w:r>
              <w:rPr>
                <w:rFonts w:hint="eastAsia" w:ascii="Times New Roman" w:hAnsi="Times New Roman" w:cs="Times New Roman"/>
                <w:sz w:val="21"/>
                <w:szCs w:val="21"/>
                <w:lang w:val="en-US" w:eastAsia="zh-CN"/>
              </w:rPr>
              <w:t>张元磊202</w:t>
            </w:r>
            <w:r>
              <w:rPr>
                <w:rFonts w:hint="eastAsia" w:cs="Times New Roman"/>
                <w:sz w:val="21"/>
                <w:szCs w:val="21"/>
                <w:lang w:val="en-US" w:eastAsia="zh-CN"/>
              </w:rPr>
              <w:t>2</w:t>
            </w:r>
            <w:r>
              <w:rPr>
                <w:rFonts w:hint="eastAsia" w:ascii="Times New Roman" w:hAnsi="Times New Roman" w:cs="Times New Roman"/>
                <w:sz w:val="21"/>
                <w:szCs w:val="21"/>
                <w:lang w:val="en-US" w:eastAsia="zh-CN"/>
              </w:rPr>
              <w:t>.3.15</w:t>
            </w:r>
            <w:r>
              <w:rPr>
                <w:rFonts w:hint="eastAsia" w:ascii="Times New Roman" w:hAnsi="Times New Roman" w:cs="Times New Roman"/>
                <w:sz w:val="21"/>
                <w:szCs w:val="21"/>
              </w:rPr>
              <w:t>。</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计划中规定审核的目的、依据、范围、时间、审核安排；审核组成员。</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计划中没有漏标准条款、没有遗漏体系覆盖的部门和场所，内审员没有审核自己的工作。</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——内审首末次会议签到（领导层、各部门负责人）；</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——内部审核检查表，审核按计划进行，没有遗漏标准条款及体系覆盖的部门和场所，内审员没有审核自己的工作。</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——本次内审发现</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项不合格，在办公室。为一般不符合项，查看《不符合报告》（办公室</w:t>
            </w:r>
            <w:r>
              <w:rPr>
                <w:rFonts w:hint="eastAsia" w:cs="Times New Roman"/>
                <w:sz w:val="21"/>
                <w:szCs w:val="21"/>
                <w:lang w:val="en-US" w:eastAsia="zh-CN"/>
              </w:rPr>
              <w:t>EO:6.1</w:t>
            </w:r>
            <w:r>
              <w:rPr>
                <w:rFonts w:hint="eastAsia" w:ascii="Times New Roman" w:hAnsi="Times New Roman" w:cs="Times New Roman"/>
                <w:sz w:val="21"/>
                <w:szCs w:val="21"/>
                <w:lang w:val="en-US" w:eastAsia="zh-CN"/>
              </w:rPr>
              <w:t>.</w:t>
            </w:r>
            <w:r>
              <w:rPr>
                <w:rFonts w:hint="eastAsia" w:cs="Times New Roman"/>
                <w:sz w:val="21"/>
                <w:szCs w:val="21"/>
                <w:lang w:val="en-US" w:eastAsia="zh-CN"/>
              </w:rPr>
              <w:t>3</w:t>
            </w:r>
            <w:r>
              <w:rPr>
                <w:rFonts w:hint="eastAsia" w:ascii="Times New Roman" w:hAnsi="Times New Roman" w:cs="Times New Roman"/>
                <w:sz w:val="21"/>
                <w:szCs w:val="21"/>
              </w:rPr>
              <w:t>），不符合事实描述清晰，不符合原因分析准确，并制定了纠正及纠正预防措施，且措施可行，并对其有效性进行了验证，验证人：</w:t>
            </w:r>
            <w:r>
              <w:rPr>
                <w:rFonts w:hint="eastAsia" w:cs="Times New Roman"/>
                <w:sz w:val="21"/>
                <w:szCs w:val="21"/>
                <w:lang w:val="en-US" w:eastAsia="zh-CN"/>
              </w:rPr>
              <w:t>任哲誉</w:t>
            </w:r>
            <w:r>
              <w:rPr>
                <w:rFonts w:hint="eastAsia" w:ascii="Times New Roman" w:hAnsi="Times New Roman" w:cs="Times New Roman"/>
                <w:sz w:val="21"/>
                <w:szCs w:val="21"/>
                <w:lang w:val="en-US" w:eastAsia="zh-CN"/>
              </w:rPr>
              <w:t xml:space="preserve"> 202</w:t>
            </w:r>
            <w:r>
              <w:rPr>
                <w:rFonts w:hint="eastAsia" w:cs="Times New Roman"/>
                <w:sz w:val="21"/>
                <w:szCs w:val="21"/>
                <w:lang w:val="en-US" w:eastAsia="zh-CN"/>
              </w:rPr>
              <w:t>2</w:t>
            </w:r>
            <w:r>
              <w:rPr>
                <w:rFonts w:hint="eastAsia" w:ascii="Times New Roman" w:hAnsi="Times New Roman" w:cs="Times New Roman"/>
                <w:sz w:val="21"/>
                <w:szCs w:val="21"/>
                <w:lang w:val="en-US" w:eastAsia="zh-CN"/>
              </w:rPr>
              <w:t>.10.</w:t>
            </w:r>
            <w:r>
              <w:rPr>
                <w:rFonts w:hint="eastAsia" w:cs="Times New Roman"/>
                <w:sz w:val="21"/>
                <w:szCs w:val="21"/>
                <w:lang w:val="en-US" w:eastAsia="zh-CN"/>
              </w:rPr>
              <w:t>18</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——本次内审编制有《内部管理体系审核报告》，对内审进行了综述和体系运行情况的评价，对纠正措施提出整改的要求。结论：公司的质量、环境、职业健康安全管理体系基本符合标准要求，且适宜、有效。</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编制：</w:t>
            </w:r>
            <w:r>
              <w:rPr>
                <w:rFonts w:hint="eastAsia" w:cs="Times New Roman"/>
                <w:sz w:val="21"/>
                <w:szCs w:val="21"/>
                <w:lang w:val="en-US" w:eastAsia="zh-CN"/>
              </w:rPr>
              <w:t xml:space="preserve">任哲誉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批准：</w:t>
            </w:r>
            <w:r>
              <w:rPr>
                <w:rFonts w:hint="eastAsia" w:cs="Times New Roman"/>
                <w:sz w:val="21"/>
                <w:szCs w:val="21"/>
                <w:lang w:val="en-US" w:eastAsia="zh-CN"/>
              </w:rPr>
              <w:t>张元磊</w:t>
            </w:r>
            <w:r>
              <w:rPr>
                <w:rFonts w:hint="eastAsia" w:ascii="Times New Roman" w:hAnsi="Times New Roman" w:cs="Times New Roman"/>
                <w:sz w:val="21"/>
                <w:szCs w:val="21"/>
                <w:lang w:val="en-US" w:eastAsia="zh-CN"/>
              </w:rPr>
              <w:t>202</w:t>
            </w:r>
            <w:r>
              <w:rPr>
                <w:rFonts w:hint="eastAsia" w:cs="Times New Roman"/>
                <w:sz w:val="21"/>
                <w:szCs w:val="21"/>
                <w:lang w:val="en-US" w:eastAsia="zh-CN"/>
              </w:rPr>
              <w:t>2</w:t>
            </w:r>
            <w:r>
              <w:rPr>
                <w:rFonts w:hint="eastAsia" w:ascii="Times New Roman" w:hAnsi="Times New Roman" w:cs="Times New Roman"/>
                <w:sz w:val="21"/>
                <w:szCs w:val="21"/>
                <w:lang w:val="en-US" w:eastAsia="zh-CN"/>
              </w:rPr>
              <w:t>.10.</w:t>
            </w:r>
            <w:r>
              <w:rPr>
                <w:rFonts w:hint="eastAsia" w:cs="Times New Roman"/>
                <w:sz w:val="21"/>
                <w:szCs w:val="21"/>
                <w:lang w:val="en-US" w:eastAsia="zh-CN"/>
              </w:rPr>
              <w:t>16</w:t>
            </w:r>
          </w:p>
        </w:tc>
        <w:tc>
          <w:tcPr>
            <w:tcW w:w="0" w:type="auto"/>
          </w:tcPr>
          <w:p>
            <w:pPr>
              <w:spacing w:after="0" w:line="240" w:lineRule="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事件、</w:t>
            </w:r>
            <w:r>
              <w:rPr>
                <w:rFonts w:hint="eastAsia" w:ascii="Times New Roman" w:hAnsi="Times New Roman" w:cs="Times New Roman"/>
                <w:sz w:val="21"/>
                <w:szCs w:val="21"/>
              </w:rPr>
              <w:t>不符合和纠正措施</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QEO:</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10.2</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制定了《不符合、纠正和预防措施控制程序》、《</w:t>
            </w:r>
            <w:r>
              <w:rPr>
                <w:rFonts w:hint="eastAsia" w:ascii="宋体" w:hAnsi="宋体" w:cs="宋体"/>
                <w:b w:val="0"/>
                <w:bCs w:val="0"/>
                <w:sz w:val="21"/>
                <w:szCs w:val="21"/>
              </w:rPr>
              <w:t>不合格和纠正措施控制程序</w:t>
            </w:r>
            <w:r>
              <w:rPr>
                <w:rFonts w:hint="eastAsia" w:ascii="Times New Roman" w:hAnsi="Times New Roman" w:cs="Times New Roman"/>
                <w:sz w:val="21"/>
                <w:szCs w:val="21"/>
              </w:rPr>
              <w:t>》，内容基本符合标准要求。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对日常工作检查，管理评审，内审，其他考评，合规性评价发现的不符合及</w:t>
            </w:r>
            <w:r>
              <w:rPr>
                <w:rFonts w:hint="eastAsia" w:ascii="Times New Roman" w:hAnsi="Times New Roman" w:cs="Times New Roman"/>
                <w:sz w:val="21"/>
                <w:szCs w:val="21"/>
                <w:lang w:val="en-US" w:eastAsia="zh-CN"/>
              </w:rPr>
              <w:t>职业健康安全</w:t>
            </w:r>
            <w:r>
              <w:rPr>
                <w:rFonts w:hint="eastAsia" w:ascii="Times New Roman" w:hAnsi="Times New Roman" w:cs="Times New Roman"/>
                <w:sz w:val="21"/>
                <w:szCs w:val="21"/>
              </w:rPr>
              <w:t>的事件采取纠正，防止事态发展，进行原因分析，采取必要的纠正预防措施，防止事件的发生、再发生。</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对管理评审、内审提出的不符合及改进要求，进行原因分析，制定了具体措施，目前已实施完成。</w:t>
            </w:r>
          </w:p>
        </w:tc>
        <w:tc>
          <w:tcPr>
            <w:tcW w:w="0" w:type="auto"/>
          </w:tcPr>
          <w:p>
            <w:pPr>
              <w:spacing w:after="0" w:line="240" w:lineRule="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Y</w:t>
            </w:r>
          </w:p>
        </w:tc>
      </w:tr>
    </w:tbl>
    <w:p>
      <w:pPr>
        <w:pStyle w:val="15"/>
      </w:pPr>
    </w:p>
    <w:p>
      <w:pPr>
        <w:pStyle w:val="15"/>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994"/>
        <w:gridCol w:w="11379"/>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过程与活动、抽样计划</w:t>
            </w:r>
          </w:p>
        </w:tc>
        <w:tc>
          <w:tcPr>
            <w:tcW w:w="334" w:type="pct"/>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涉及</w:t>
            </w:r>
          </w:p>
          <w:p>
            <w:pPr>
              <w:rPr>
                <w:rFonts w:hint="eastAsia" w:ascii="宋体" w:hAnsi="宋体" w:eastAsia="宋体" w:cs="宋体"/>
                <w:szCs w:val="21"/>
              </w:rPr>
            </w:pPr>
            <w:r>
              <w:rPr>
                <w:rFonts w:hint="eastAsia" w:ascii="宋体" w:hAnsi="宋体" w:eastAsia="宋体" w:cs="宋体"/>
                <w:szCs w:val="21"/>
              </w:rPr>
              <w:t>条款</w:t>
            </w:r>
          </w:p>
        </w:tc>
        <w:tc>
          <w:tcPr>
            <w:tcW w:w="383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eastAsia="宋体" w:cs="宋体"/>
                <w:szCs w:val="21"/>
              </w:rPr>
              <w:t>受审核部门：</w:t>
            </w:r>
            <w:r>
              <w:rPr>
                <w:rFonts w:hint="eastAsia" w:ascii="宋体" w:hAnsi="宋体" w:eastAsia="宋体" w:cs="宋体"/>
                <w:szCs w:val="21"/>
                <w:lang w:val="en-US" w:eastAsia="zh-CN"/>
              </w:rPr>
              <w:t>供销</w:t>
            </w:r>
            <w:r>
              <w:rPr>
                <w:rFonts w:hint="eastAsia" w:ascii="宋体" w:hAnsi="宋体" w:eastAsia="宋体" w:cs="宋体"/>
                <w:szCs w:val="21"/>
                <w:lang w:eastAsia="zh-CN"/>
              </w:rPr>
              <w:t>部</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主管领导：</w:t>
            </w:r>
            <w:r>
              <w:rPr>
                <w:rFonts w:hint="eastAsia" w:ascii="宋体" w:hAnsi="宋体" w:eastAsia="宋体" w:cs="宋体"/>
                <w:szCs w:val="21"/>
                <w:lang w:val="en-US" w:eastAsia="zh-CN"/>
              </w:rPr>
              <w:t xml:space="preserve">张元俊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陪同人：</w:t>
            </w:r>
            <w:r>
              <w:rPr>
                <w:rFonts w:hint="eastAsia" w:ascii="宋体" w:hAnsi="宋体" w:eastAsia="宋体" w:cs="宋体"/>
                <w:szCs w:val="21"/>
                <w:lang w:val="en-US" w:eastAsia="zh-CN"/>
              </w:rPr>
              <w:t>于晓娟</w:t>
            </w:r>
          </w:p>
        </w:tc>
        <w:tc>
          <w:tcPr>
            <w:tcW w:w="317" w:type="pct"/>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tc>
        <w:tc>
          <w:tcPr>
            <w:tcW w:w="33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tc>
        <w:tc>
          <w:tcPr>
            <w:tcW w:w="3833" w:type="pct"/>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Cs w:val="21"/>
                <w:lang w:val="en-US" w:eastAsia="zh-CN"/>
              </w:rPr>
            </w:pPr>
            <w:r>
              <w:rPr>
                <w:rFonts w:hint="eastAsia" w:ascii="宋体" w:hAnsi="宋体" w:eastAsia="宋体" w:cs="宋体"/>
                <w:szCs w:val="21"/>
              </w:rPr>
              <w:t>审核员：</w:t>
            </w:r>
            <w:r>
              <w:rPr>
                <w:rFonts w:hint="eastAsia" w:ascii="宋体" w:hAnsi="宋体" w:eastAsia="宋体" w:cs="宋体"/>
                <w:szCs w:val="21"/>
                <w:lang w:val="en-US" w:eastAsia="zh-CN"/>
              </w:rPr>
              <w:t xml:space="preserve">范玲玲         </w:t>
            </w:r>
            <w:r>
              <w:rPr>
                <w:rFonts w:hint="eastAsia" w:ascii="宋体" w:hAnsi="宋体" w:eastAsia="宋体" w:cs="宋体"/>
                <w:szCs w:val="21"/>
              </w:rPr>
              <w:t>审核时间：2022</w:t>
            </w:r>
            <w:r>
              <w:rPr>
                <w:rFonts w:hint="eastAsia" w:ascii="宋体" w:hAnsi="宋体" w:eastAsia="宋体" w:cs="宋体"/>
                <w:szCs w:val="21"/>
                <w:lang w:eastAsia="zh-CN"/>
              </w:rPr>
              <w:t>年</w:t>
            </w:r>
            <w:r>
              <w:rPr>
                <w:rFonts w:hint="eastAsia" w:ascii="宋体" w:hAnsi="宋体" w:eastAsia="宋体" w:cs="宋体"/>
                <w:szCs w:val="21"/>
                <w:lang w:val="en-US" w:eastAsia="zh-CN"/>
              </w:rPr>
              <w:t>12月21日</w:t>
            </w: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tc>
        <w:tc>
          <w:tcPr>
            <w:tcW w:w="33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tc>
        <w:tc>
          <w:tcPr>
            <w:tcW w:w="383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审核条款：</w:t>
            </w:r>
            <w:r>
              <w:rPr>
                <w:rFonts w:hint="eastAsia" w:ascii="Times New Roman" w:hAnsi="Times New Roman" w:eastAsia="宋体" w:cs="Times New Roman"/>
                <w:sz w:val="21"/>
                <w:szCs w:val="21"/>
                <w:highlight w:val="none"/>
                <w:lang w:val="en-US" w:eastAsia="zh-CN"/>
              </w:rPr>
              <w:t>Q</w:t>
            </w:r>
            <w:r>
              <w:rPr>
                <w:rFonts w:hint="default" w:ascii="Times New Roman" w:hAnsi="Times New Roman" w:eastAsia="宋体" w:cs="Times New Roman"/>
                <w:sz w:val="21"/>
                <w:szCs w:val="21"/>
                <w:highlight w:val="none"/>
              </w:rPr>
              <w:t>E</w:t>
            </w:r>
            <w:r>
              <w:rPr>
                <w:rFonts w:hint="eastAsia" w:cs="Times New Roman"/>
                <w:sz w:val="21"/>
                <w:szCs w:val="21"/>
                <w:highlight w:val="none"/>
                <w:lang w:val="en-US" w:eastAsia="zh-CN"/>
              </w:rPr>
              <w:t>O:</w:t>
            </w:r>
            <w:r>
              <w:rPr>
                <w:rFonts w:hint="default" w:ascii="Times New Roman" w:hAnsi="Times New Roman" w:eastAsia="宋体" w:cs="Times New Roman"/>
                <w:sz w:val="21"/>
                <w:szCs w:val="21"/>
                <w:highlight w:val="none"/>
                <w:lang w:val="en-US" w:eastAsia="zh-CN"/>
              </w:rPr>
              <w:t>5.3</w:t>
            </w:r>
            <w:r>
              <w:rPr>
                <w:rFonts w:hint="default" w:ascii="Times New Roman" w:hAnsi="Times New Roman" w:eastAsia="宋体" w:cs="Times New Roman"/>
                <w:sz w:val="21"/>
                <w:szCs w:val="21"/>
                <w:highlight w:val="none"/>
              </w:rPr>
              <w:t>/</w:t>
            </w:r>
            <w:r>
              <w:rPr>
                <w:rFonts w:hint="eastAsia" w:ascii="Times New Roman" w:hAnsi="Times New Roman" w:cs="Times New Roman"/>
                <w:sz w:val="21"/>
                <w:szCs w:val="21"/>
                <w:highlight w:val="none"/>
                <w:lang w:val="en-US" w:eastAsia="zh-CN"/>
              </w:rPr>
              <w:t xml:space="preserve">6.2/8.1   </w:t>
            </w:r>
            <w:r>
              <w:rPr>
                <w:rFonts w:hint="eastAsia" w:ascii="Times New Roman" w:hAnsi="Times New Roman" w:eastAsia="宋体" w:cs="Times New Roman"/>
                <w:sz w:val="21"/>
                <w:szCs w:val="21"/>
                <w:highlight w:val="none"/>
                <w:lang w:val="en-US" w:eastAsia="zh-CN"/>
              </w:rPr>
              <w:t>O:</w:t>
            </w:r>
            <w:r>
              <w:rPr>
                <w:rFonts w:hint="eastAsia" w:cs="Times New Roman"/>
                <w:sz w:val="21"/>
                <w:szCs w:val="21"/>
                <w:highlight w:val="none"/>
                <w:lang w:val="en-US" w:eastAsia="zh-CN"/>
              </w:rPr>
              <w:t>6.1.2</w:t>
            </w: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eastAsia="宋体" w:cs="宋体"/>
                <w:szCs w:val="21"/>
                <w:lang w:eastAsia="zh-CN"/>
              </w:rPr>
              <w:t>岗位职责、权限</w:t>
            </w:r>
          </w:p>
        </w:tc>
        <w:tc>
          <w:tcPr>
            <w:tcW w:w="334"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eastAsia="宋体" w:cs="宋体"/>
                <w:szCs w:val="21"/>
                <w:lang w:eastAsia="zh-CN"/>
              </w:rPr>
              <w:t>QEO：</w:t>
            </w:r>
          </w:p>
          <w:p>
            <w:pPr>
              <w:rPr>
                <w:rFonts w:hint="eastAsia" w:ascii="宋体" w:hAnsi="宋体" w:eastAsia="宋体" w:cs="宋体"/>
                <w:szCs w:val="21"/>
                <w:lang w:val="en-US"/>
              </w:rPr>
            </w:pPr>
            <w:r>
              <w:rPr>
                <w:rFonts w:hint="eastAsia" w:ascii="宋体" w:hAnsi="宋体" w:eastAsia="宋体" w:cs="宋体"/>
                <w:szCs w:val="21"/>
                <w:lang w:val="en-US" w:eastAsia="zh-CN"/>
              </w:rPr>
              <w:t>5.3</w:t>
            </w:r>
          </w:p>
        </w:tc>
        <w:tc>
          <w:tcPr>
            <w:tcW w:w="3833" w:type="pct"/>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宋体" w:hAnsi="宋体" w:eastAsia="宋体" w:cs="宋体"/>
                <w:szCs w:val="21"/>
                <w:lang w:val="en-US"/>
              </w:rPr>
            </w:pPr>
            <w:r>
              <w:rPr>
                <w:rFonts w:hint="eastAsia" w:ascii="宋体" w:hAnsi="宋体" w:eastAsia="宋体" w:cs="宋体"/>
                <w:szCs w:val="21"/>
                <w:lang w:val="zh-CN"/>
              </w:rPr>
              <w:sym w:font="Wingdings 2" w:char="F098"/>
            </w:r>
            <w:r>
              <w:rPr>
                <w:rFonts w:hint="eastAsia" w:ascii="宋体" w:hAnsi="宋体" w:eastAsia="宋体" w:cs="宋体"/>
                <w:szCs w:val="21"/>
                <w:lang w:val="zh-CN" w:eastAsia="zh-CN"/>
              </w:rPr>
              <w:t>供销部负责人：</w:t>
            </w:r>
            <w:r>
              <w:rPr>
                <w:rFonts w:hint="eastAsia" w:ascii="宋体" w:hAnsi="宋体" w:eastAsia="宋体" w:cs="宋体"/>
                <w:szCs w:val="21"/>
                <w:lang w:val="en-US" w:eastAsia="zh-CN"/>
              </w:rPr>
              <w:t xml:space="preserve"> 张元俊</w:t>
            </w:r>
          </w:p>
          <w:p>
            <w:pPr>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rPr>
              <w:sym w:font="Wingdings 2" w:char="F098"/>
            </w:r>
            <w:r>
              <w:rPr>
                <w:rFonts w:hint="eastAsia" w:ascii="宋体" w:hAnsi="宋体" w:eastAsia="宋体" w:cs="宋体"/>
                <w:szCs w:val="21"/>
                <w:lang w:val="zh-CN"/>
              </w:rPr>
              <w:t>杨总</w:t>
            </w:r>
            <w:r>
              <w:rPr>
                <w:rFonts w:hint="eastAsia" w:ascii="宋体" w:hAnsi="宋体" w:eastAsia="宋体" w:cs="宋体"/>
                <w:szCs w:val="21"/>
                <w:lang w:val="zh-CN" w:eastAsia="zh-CN"/>
              </w:rPr>
              <w:t>介绍，供销部主要负责销售管理，市场拓展，业务洽谈，销售过程的控制，组织合同评审，销售服务质量检查，客户资料归档整理，顾客满意度调查，配合进行环境因素和危险源的识别，参与目标指标的制定和本部门目标管理及领导交办的其他工作。</w:t>
            </w:r>
          </w:p>
          <w:p>
            <w:pPr>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eastAsia="宋体" w:cs="宋体"/>
                <w:sz w:val="21"/>
                <w:szCs w:val="21"/>
              </w:rPr>
            </w:pPr>
            <w:r>
              <w:rPr>
                <w:rFonts w:hint="eastAsia" w:ascii="宋体" w:hAnsi="宋体" w:eastAsia="宋体" w:cs="宋体"/>
                <w:szCs w:val="21"/>
                <w:lang w:eastAsia="zh-CN"/>
              </w:rPr>
              <w:t>本部门职责明确，回答基本正确。</w:t>
            </w:r>
          </w:p>
        </w:tc>
        <w:tc>
          <w:tcPr>
            <w:tcW w:w="3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eastAsia="宋体" w:cs="宋体"/>
                <w:szCs w:val="21"/>
                <w:lang w:eastAsia="zh-CN"/>
              </w:rPr>
              <w:t>目标</w:t>
            </w:r>
          </w:p>
        </w:tc>
        <w:tc>
          <w:tcPr>
            <w:tcW w:w="334"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eastAsia="宋体" w:cs="宋体"/>
                <w:szCs w:val="21"/>
                <w:lang w:eastAsia="zh-CN"/>
              </w:rPr>
              <w:t>QEO：</w:t>
            </w:r>
          </w:p>
          <w:p>
            <w:pPr>
              <w:rPr>
                <w:rFonts w:hint="eastAsia" w:ascii="宋体" w:hAnsi="宋体" w:eastAsia="宋体" w:cs="宋体"/>
                <w:szCs w:val="21"/>
                <w:lang w:val="en-US"/>
              </w:rPr>
            </w:pPr>
            <w:r>
              <w:rPr>
                <w:rFonts w:hint="eastAsia" w:ascii="宋体" w:hAnsi="宋体" w:eastAsia="宋体" w:cs="宋体"/>
                <w:szCs w:val="21"/>
                <w:lang w:val="en-US" w:eastAsia="zh-CN"/>
              </w:rPr>
              <w:t>6.2</w:t>
            </w:r>
          </w:p>
        </w:tc>
        <w:tc>
          <w:tcPr>
            <w:tcW w:w="3833" w:type="pct"/>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宋体" w:hAnsi="宋体" w:eastAsia="宋体" w:cs="宋体"/>
                <w:b/>
                <w:sz w:val="28"/>
                <w:szCs w:val="28"/>
                <w:lang w:val="en-US" w:eastAsia="zh-CN"/>
              </w:rPr>
            </w:pPr>
            <w:r>
              <w:rPr>
                <w:rFonts w:hint="eastAsia" w:ascii="宋体" w:hAnsi="宋体" w:eastAsia="宋体" w:cs="宋体"/>
                <w:szCs w:val="21"/>
                <w:lang w:val="zh-CN"/>
              </w:rPr>
              <w:sym w:font="Wingdings 2" w:char="F098"/>
            </w:r>
            <w:r>
              <w:rPr>
                <w:rFonts w:hint="eastAsia" w:ascii="宋体" w:hAnsi="宋体" w:eastAsia="宋体" w:cs="宋体"/>
                <w:szCs w:val="21"/>
                <w:lang w:val="zh-CN"/>
              </w:rPr>
              <w:t>查见《管理手册》中，公司管理层以公司的质量/环境/职业健康安全方针为框架，结合公司的实际运营情况，制定公司的总的管理目标，并对目标进行了分解，制定了考核方法</w:t>
            </w:r>
            <w:r>
              <w:rPr>
                <w:rFonts w:hint="eastAsia" w:ascii="宋体" w:hAnsi="宋体" w:eastAsia="宋体" w:cs="宋体"/>
                <w:szCs w:val="21"/>
                <w:lang w:val="en-US" w:eastAsia="zh-CN"/>
              </w:rPr>
              <w:t>。</w:t>
            </w:r>
          </w:p>
          <w:p>
            <w:pPr>
              <w:rPr>
                <w:rFonts w:hint="eastAsia" w:ascii="宋体" w:hAnsi="宋体" w:eastAsia="宋体" w:cs="宋体"/>
                <w:szCs w:val="21"/>
                <w:lang w:val="zh-CN" w:eastAsia="zh-CN"/>
              </w:rPr>
            </w:pPr>
            <w:r>
              <w:rPr>
                <w:rFonts w:hint="eastAsia" w:ascii="宋体" w:hAnsi="宋体" w:eastAsia="宋体" w:cs="宋体"/>
                <w:szCs w:val="21"/>
                <w:lang w:eastAsia="zh-CN"/>
              </w:rPr>
              <w:t>查见《目标指标完成情况监控记录</w:t>
            </w:r>
            <w:r>
              <w:rPr>
                <w:rFonts w:hint="eastAsia" w:ascii="宋体" w:hAnsi="宋体" w:eastAsia="宋体" w:cs="宋体"/>
                <w:szCs w:val="21"/>
                <w:lang w:val="zh-CN" w:eastAsia="zh-CN"/>
              </w:rPr>
              <w:t>》，定期对目标完成情况进行考核，有考核数，考核结果，考核时间。</w:t>
            </w:r>
          </w:p>
          <w:p>
            <w:pPr>
              <w:pStyle w:val="16"/>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查供销部</w:t>
            </w:r>
            <w:r>
              <w:rPr>
                <w:rFonts w:hint="eastAsia" w:ascii="宋体" w:hAnsi="宋体" w:eastAsia="宋体" w:cs="宋体"/>
                <w:kern w:val="2"/>
                <w:sz w:val="21"/>
                <w:szCs w:val="21"/>
                <w:lang w:val="en-US" w:eastAsia="zh-CN" w:bidi="ar-SA"/>
              </w:rPr>
              <w:t>目标考核情况：</w:t>
            </w:r>
            <w:r>
              <w:rPr>
                <w:rFonts w:hint="eastAsia"/>
                <w:sz w:val="21"/>
                <w:szCs w:val="21"/>
              </w:rPr>
              <w:t>顾客满意率≥95%</w:t>
            </w:r>
            <w:r>
              <w:rPr>
                <w:rFonts w:hint="eastAsia"/>
                <w:sz w:val="21"/>
                <w:szCs w:val="21"/>
                <w:lang w:eastAsia="zh-CN"/>
              </w:rPr>
              <w:t>；</w:t>
            </w:r>
            <w:r>
              <w:rPr>
                <w:rFonts w:hint="eastAsia"/>
                <w:sz w:val="21"/>
                <w:szCs w:val="21"/>
              </w:rPr>
              <w:t>合同评审率达到100%</w:t>
            </w:r>
            <w:r>
              <w:rPr>
                <w:rFonts w:hint="eastAsia"/>
                <w:sz w:val="21"/>
                <w:szCs w:val="21"/>
                <w:lang w:eastAsia="zh-CN"/>
              </w:rPr>
              <w:t>；</w:t>
            </w:r>
            <w:r>
              <w:rPr>
                <w:rFonts w:hint="eastAsia"/>
                <w:sz w:val="21"/>
                <w:szCs w:val="21"/>
              </w:rPr>
              <w:t>采购产品合格率≥98%</w:t>
            </w:r>
            <w:r>
              <w:rPr>
                <w:rFonts w:hint="eastAsia"/>
                <w:sz w:val="21"/>
                <w:szCs w:val="21"/>
                <w:lang w:eastAsia="zh-CN"/>
              </w:rPr>
              <w:t>；</w:t>
            </w:r>
            <w:r>
              <w:rPr>
                <w:rFonts w:hint="eastAsia"/>
                <w:sz w:val="21"/>
                <w:szCs w:val="21"/>
              </w:rPr>
              <w:t>火灾事故发生率为0</w:t>
            </w:r>
            <w:r>
              <w:rPr>
                <w:rFonts w:hint="eastAsia"/>
                <w:sz w:val="21"/>
                <w:szCs w:val="21"/>
                <w:lang w:eastAsia="zh-CN"/>
              </w:rPr>
              <w:t>；</w:t>
            </w:r>
            <w:r>
              <w:rPr>
                <w:rFonts w:hint="eastAsia"/>
                <w:sz w:val="21"/>
                <w:szCs w:val="21"/>
              </w:rPr>
              <w:t>废弃物100%实现分类存放，合理处置</w:t>
            </w:r>
            <w:r>
              <w:rPr>
                <w:rFonts w:hint="eastAsia"/>
                <w:sz w:val="21"/>
                <w:szCs w:val="21"/>
                <w:lang w:eastAsia="zh-CN"/>
              </w:rPr>
              <w:t>；</w:t>
            </w:r>
          </w:p>
          <w:p>
            <w:pPr>
              <w:tabs>
                <w:tab w:val="left" w:pos="1825"/>
              </w:tabs>
              <w:jc w:val="left"/>
              <w:rPr>
                <w:rFonts w:hint="eastAsia" w:ascii="宋体" w:hAnsi="宋体" w:eastAsia="宋体" w:cs="宋体"/>
                <w:szCs w:val="21"/>
                <w:lang w:eastAsia="zh-CN"/>
              </w:rPr>
            </w:pPr>
            <w:r>
              <w:rPr>
                <w:rFonts w:hint="eastAsia" w:ascii="宋体" w:hAnsi="宋体" w:eastAsia="宋体" w:cs="宋体"/>
                <w:szCs w:val="21"/>
                <w:lang w:val="en-US" w:eastAsia="zh-CN"/>
              </w:rPr>
              <w:t xml:space="preserve">另查2022年3季度目标已完成。         </w:t>
            </w:r>
          </w:p>
          <w:p>
            <w:pPr>
              <w:rPr>
                <w:rFonts w:hint="eastAsia" w:ascii="宋体" w:hAnsi="宋体" w:eastAsia="宋体" w:cs="宋体"/>
                <w:szCs w:val="21"/>
                <w:lang w:val="zh-CN"/>
              </w:rPr>
            </w:pPr>
            <w:r>
              <w:rPr>
                <w:rFonts w:hint="eastAsia" w:ascii="宋体" w:hAnsi="宋体" w:eastAsia="宋体" w:cs="宋体"/>
                <w:szCs w:val="21"/>
                <w:lang w:val="zh-CN"/>
              </w:rPr>
              <w:sym w:font="Wingdings 2" w:char="F098"/>
            </w:r>
            <w:r>
              <w:rPr>
                <w:rFonts w:hint="eastAsia" w:ascii="宋体" w:hAnsi="宋体" w:eastAsia="宋体" w:cs="宋体"/>
                <w:szCs w:val="21"/>
                <w:lang w:val="zh-CN"/>
              </w:rPr>
              <w:t>查管理方案实施情况：</w:t>
            </w:r>
          </w:p>
          <w:p>
            <w:pPr>
              <w:tabs>
                <w:tab w:val="left" w:pos="1825"/>
              </w:tabs>
              <w:jc w:val="left"/>
              <w:rPr>
                <w:rFonts w:hint="eastAsia" w:ascii="宋体" w:hAnsi="宋体" w:eastAsia="宋体" w:cs="宋体"/>
                <w:szCs w:val="21"/>
                <w:lang w:val="zh-CN"/>
              </w:rPr>
            </w:pPr>
            <w:r>
              <w:rPr>
                <w:rFonts w:hint="eastAsia" w:ascii="宋体" w:hAnsi="宋体" w:eastAsia="宋体" w:cs="宋体"/>
                <w:szCs w:val="21"/>
                <w:lang w:val="zh-CN"/>
              </w:rPr>
              <w:t>提供了《环境</w:t>
            </w:r>
            <w:r>
              <w:rPr>
                <w:rFonts w:hint="eastAsia" w:ascii="宋体" w:hAnsi="宋体" w:eastAsia="宋体" w:cs="宋体"/>
                <w:szCs w:val="21"/>
                <w:lang w:val="en-US" w:eastAsia="zh-CN"/>
              </w:rPr>
              <w:t>/职业健康目标指标管理方案</w:t>
            </w:r>
            <w:r>
              <w:rPr>
                <w:rFonts w:hint="eastAsia" w:ascii="宋体" w:hAnsi="宋体" w:eastAsia="宋体" w:cs="宋体"/>
                <w:szCs w:val="21"/>
                <w:lang w:val="zh-CN"/>
              </w:rPr>
              <w:t>》，对重要环境因素管理现状进行了分析，制定了管理方案，落实了责任部门、经费预算、措施实施验证：</w:t>
            </w:r>
          </w:p>
          <w:p>
            <w:pPr>
              <w:numPr>
                <w:ilvl w:val="0"/>
                <w:numId w:val="0"/>
              </w:numPr>
              <w:spacing w:line="280" w:lineRule="exact"/>
              <w:rPr>
                <w:rFonts w:hint="eastAsia" w:ascii="宋体" w:hAnsi="宋体" w:eastAsia="宋体" w:cs="宋体"/>
                <w:kern w:val="2"/>
                <w:sz w:val="21"/>
                <w:szCs w:val="21"/>
                <w:lang w:val="zh-CN" w:eastAsia="zh-CN" w:bidi="ar-SA"/>
              </w:rPr>
            </w:pPr>
            <w:r>
              <w:rPr>
                <w:rFonts w:hint="eastAsia" w:ascii="宋体" w:hAnsi="宋体" w:eastAsia="宋体" w:cs="宋体"/>
                <w:szCs w:val="21"/>
                <w:lang w:val="en-US" w:eastAsia="zh-CN"/>
              </w:rPr>
              <w:t>——</w:t>
            </w:r>
            <w:r>
              <w:rPr>
                <w:rFonts w:hint="eastAsia" w:ascii="宋体" w:hAnsi="宋体" w:eastAsia="宋体" w:cs="宋体"/>
                <w:kern w:val="2"/>
                <w:sz w:val="21"/>
                <w:szCs w:val="21"/>
                <w:lang w:val="en-US" w:eastAsia="zh-CN" w:bidi="ar-SA"/>
              </w:rPr>
              <w:t>查目标指标-</w:t>
            </w:r>
            <w:r>
              <w:rPr>
                <w:rFonts w:hint="eastAsia"/>
                <w:sz w:val="21"/>
                <w:szCs w:val="21"/>
              </w:rPr>
              <w:t>废弃物100%实现分类存放</w:t>
            </w:r>
            <w:r>
              <w:rPr>
                <w:rFonts w:hint="eastAsia" w:ascii="宋体" w:hAnsi="宋体" w:eastAsia="宋体" w:cs="宋体"/>
                <w:kern w:val="2"/>
                <w:sz w:val="21"/>
                <w:szCs w:val="21"/>
                <w:lang w:val="zh-CN" w:eastAsia="zh-CN" w:bidi="ar-SA"/>
              </w:rPr>
              <w:t>，制定了管理方案：</w:t>
            </w:r>
          </w:p>
          <w:p>
            <w:pPr>
              <w:numPr>
                <w:ilvl w:val="0"/>
                <w:numId w:val="0"/>
              </w:numPr>
              <w:spacing w:line="280" w:lineRule="exact"/>
              <w:rPr>
                <w:rFonts w:hint="eastAsia" w:ascii="宋体" w:hAnsi="宋体" w:eastAsia="宋体" w:cs="Times New Roman"/>
                <w:szCs w:val="21"/>
              </w:rPr>
            </w:pPr>
            <w:r>
              <w:rPr>
                <w:rFonts w:hint="eastAsia" w:ascii="宋体" w:hAnsi="宋体" w:eastAsia="宋体" w:cs="宋体"/>
                <w:kern w:val="2"/>
                <w:sz w:val="21"/>
                <w:szCs w:val="21"/>
                <w:lang w:val="en-US" w:eastAsia="zh-CN" w:bidi="ar-SA"/>
              </w:rPr>
              <w:t>1.</w:t>
            </w:r>
            <w:r>
              <w:rPr>
                <w:rFonts w:hint="eastAsia" w:ascii="宋体" w:hAnsi="宋体"/>
                <w:szCs w:val="21"/>
              </w:rPr>
              <w:t>固废定</w:t>
            </w:r>
            <w:r>
              <w:rPr>
                <w:rFonts w:hint="eastAsia" w:ascii="宋体" w:hAnsi="宋体" w:eastAsia="宋体" w:cs="Times New Roman"/>
                <w:szCs w:val="21"/>
              </w:rPr>
              <w:t>点暂存，集中清运，固体废弃物分类放置区，可回收和不可回收的固体废弃物分类堆放，按分类标准加以划分。</w:t>
            </w:r>
          </w:p>
          <w:p>
            <w:pPr>
              <w:numPr>
                <w:ilvl w:val="0"/>
                <w:numId w:val="0"/>
              </w:numPr>
              <w:spacing w:line="280" w:lineRule="exact"/>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委托有关单位定期及时清运各类</w:t>
            </w:r>
            <w:r>
              <w:rPr>
                <w:rFonts w:hint="eastAsia" w:ascii="宋体" w:hAnsi="宋体" w:eastAsia="宋体" w:cs="Times New Roman"/>
                <w:szCs w:val="21"/>
                <w:lang w:val="en-US" w:eastAsia="zh-CN"/>
              </w:rPr>
              <w:t>固废</w:t>
            </w:r>
            <w:r>
              <w:rPr>
                <w:rFonts w:hint="eastAsia" w:ascii="宋体" w:hAnsi="宋体" w:eastAsia="宋体" w:cs="Times New Roman"/>
                <w:szCs w:val="21"/>
              </w:rPr>
              <w:t>。</w:t>
            </w:r>
          </w:p>
          <w:p>
            <w:pPr>
              <w:numPr>
                <w:ilvl w:val="0"/>
                <w:numId w:val="0"/>
              </w:numPr>
              <w:spacing w:line="280" w:lineRule="exact"/>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3.</w:t>
            </w:r>
            <w:r>
              <w:rPr>
                <w:rFonts w:hint="eastAsia" w:ascii="宋体" w:hAnsi="宋体" w:eastAsia="宋体" w:cs="Times New Roman"/>
                <w:szCs w:val="21"/>
              </w:rPr>
              <w:t>进行培训，加强使用和操作管理，减少固废产生。</w:t>
            </w:r>
          </w:p>
          <w:p>
            <w:pPr>
              <w:numPr>
                <w:ilvl w:val="0"/>
                <w:numId w:val="0"/>
              </w:numPr>
              <w:spacing w:line="28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资金预算：5000元，责任部门供销部  生产技术部；</w:t>
            </w:r>
          </w:p>
          <w:p>
            <w:pPr>
              <w:numPr>
                <w:ilvl w:val="0"/>
                <w:numId w:val="0"/>
              </w:numPr>
              <w:spacing w:line="28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完成情况：</w:t>
            </w:r>
            <w:r>
              <w:rPr>
                <w:rFonts w:hint="eastAsia" w:ascii="宋体" w:hAnsi="宋体"/>
                <w:szCs w:val="21"/>
              </w:rPr>
              <w:t>设置固废分类存放区，一般固废由环卫统一处理，废墨盒等由供应商回收</w:t>
            </w:r>
            <w:r>
              <w:rPr>
                <w:rFonts w:hint="eastAsia" w:ascii="宋体" w:hAnsi="宋体"/>
                <w:szCs w:val="21"/>
                <w:lang w:eastAsia="zh-CN"/>
              </w:rPr>
              <w:t>、</w:t>
            </w:r>
            <w:r>
              <w:rPr>
                <w:rFonts w:hint="eastAsia" w:ascii="宋体" w:hAnsi="宋体"/>
                <w:szCs w:val="21"/>
                <w:lang w:val="en-US" w:eastAsia="zh-CN"/>
              </w:rPr>
              <w:t>危险废物交有资质单位处理，检查人：任哲誉，2022.10.8</w:t>
            </w:r>
          </w:p>
          <w:p>
            <w:pPr>
              <w:numPr>
                <w:ilvl w:val="0"/>
                <w:numId w:val="0"/>
              </w:numPr>
              <w:spacing w:line="280" w:lineRule="exact"/>
              <w:rPr>
                <w:rFonts w:hint="eastAsia" w:ascii="宋体" w:hAnsi="宋体" w:eastAsia="宋体" w:cs="宋体"/>
                <w:kern w:val="2"/>
                <w:sz w:val="21"/>
                <w:szCs w:val="21"/>
                <w:lang w:val="en-US" w:eastAsia="zh-CN" w:bidi="ar-SA"/>
              </w:rPr>
            </w:pPr>
            <w:r>
              <w:rPr>
                <w:rFonts w:hint="eastAsia" w:ascii="宋体" w:hAnsi="宋体" w:eastAsia="宋体" w:cs="Times New Roman"/>
                <w:szCs w:val="21"/>
                <w:lang w:val="en-US" w:eastAsia="zh-CN"/>
              </w:rPr>
              <w:t>另查目标指标-</w:t>
            </w:r>
            <w:r>
              <w:rPr>
                <w:rFonts w:hint="eastAsia" w:ascii="宋体" w:hAnsi="宋体"/>
                <w:szCs w:val="21"/>
              </w:rPr>
              <w:t>火灾事故发生率为0</w:t>
            </w:r>
            <w:r>
              <w:rPr>
                <w:rFonts w:hint="eastAsia" w:ascii="宋体" w:hAnsi="宋体" w:eastAsia="宋体" w:cs="Times New Roman"/>
                <w:szCs w:val="21"/>
                <w:lang w:val="en-US" w:eastAsia="zh-CN"/>
              </w:rPr>
              <w:t>，制定了管理方案，</w:t>
            </w:r>
            <w:r>
              <w:rPr>
                <w:rFonts w:hint="eastAsia" w:ascii="宋体" w:hAnsi="宋体" w:eastAsia="宋体" w:cs="宋体"/>
                <w:kern w:val="2"/>
                <w:sz w:val="21"/>
                <w:szCs w:val="21"/>
                <w:lang w:val="en-US" w:eastAsia="zh-CN" w:bidi="ar-SA"/>
              </w:rPr>
              <w:t>进行了阶段性验收，有实际落实情况和费用投入情况。</w:t>
            </w:r>
          </w:p>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宋体" w:hAnsi="宋体" w:eastAsia="宋体" w:cs="宋体"/>
                <w:sz w:val="21"/>
                <w:szCs w:val="21"/>
              </w:rPr>
            </w:pPr>
            <w:r>
              <w:rPr>
                <w:rFonts w:hint="eastAsia" w:ascii="宋体" w:hAnsi="宋体" w:eastAsia="宋体" w:cs="宋体"/>
                <w:szCs w:val="21"/>
                <w:lang w:eastAsia="zh-CN"/>
              </w:rPr>
              <w:t>环境、安全</w:t>
            </w:r>
            <w:r>
              <w:rPr>
                <w:rFonts w:hint="eastAsia" w:ascii="宋体" w:hAnsi="宋体" w:eastAsia="宋体" w:cs="宋体"/>
                <w:szCs w:val="21"/>
              </w:rPr>
              <w:t>目标</w:t>
            </w:r>
            <w:r>
              <w:rPr>
                <w:rFonts w:hint="eastAsia" w:ascii="宋体" w:hAnsi="宋体" w:eastAsia="宋体" w:cs="宋体"/>
                <w:szCs w:val="21"/>
                <w:lang w:eastAsia="zh-CN"/>
              </w:rPr>
              <w:t>指标</w:t>
            </w:r>
            <w:r>
              <w:rPr>
                <w:rFonts w:hint="eastAsia" w:ascii="宋体" w:hAnsi="宋体" w:eastAsia="宋体" w:cs="宋体"/>
                <w:szCs w:val="21"/>
              </w:rPr>
              <w:t>制定了管理方案，落实了相应的控制措施、负责人、完成时间等。</w:t>
            </w:r>
            <w:r>
              <w:rPr>
                <w:rFonts w:hint="eastAsia" w:ascii="宋体" w:hAnsi="宋体" w:eastAsia="宋体" w:cs="宋体"/>
                <w:szCs w:val="21"/>
                <w:lang w:eastAsia="zh-CN"/>
              </w:rPr>
              <w:t>符合要求。</w:t>
            </w:r>
          </w:p>
        </w:tc>
        <w:tc>
          <w:tcPr>
            <w:tcW w:w="3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eastAsia="宋体" w:cs="宋体"/>
                <w:szCs w:val="21"/>
                <w:lang w:eastAsia="zh-CN"/>
              </w:rPr>
              <w:t>环境因素、危险源</w:t>
            </w:r>
          </w:p>
        </w:tc>
        <w:tc>
          <w:tcPr>
            <w:tcW w:w="334"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O：6.1.2</w:t>
            </w:r>
          </w:p>
        </w:tc>
        <w:tc>
          <w:tcPr>
            <w:tcW w:w="3833" w:type="pct"/>
            <w:tcBorders>
              <w:top w:val="single" w:color="auto" w:sz="4" w:space="0"/>
              <w:left w:val="single" w:color="auto" w:sz="4" w:space="0"/>
              <w:bottom w:val="single" w:color="auto" w:sz="4" w:space="0"/>
              <w:right w:val="single" w:color="auto" w:sz="4" w:space="0"/>
            </w:tcBorders>
            <w:noWrap w:val="0"/>
            <w:vAlign w:val="center"/>
          </w:tcPr>
          <w:p>
            <w:pPr>
              <w:tabs>
                <w:tab w:val="left" w:pos="1825"/>
              </w:tabs>
              <w:jc w:val="left"/>
              <w:rPr>
                <w:rFonts w:hint="eastAsia" w:ascii="宋体" w:hAnsi="宋体" w:eastAsia="宋体" w:cs="宋体"/>
                <w:szCs w:val="21"/>
                <w:lang w:val="en-US" w:eastAsia="zh-CN"/>
              </w:rPr>
            </w:pPr>
            <w:r>
              <w:rPr>
                <w:rFonts w:hint="eastAsia" w:ascii="宋体" w:hAnsi="宋体" w:eastAsia="宋体" w:cs="宋体"/>
                <w:sz w:val="24"/>
                <w:szCs w:val="24"/>
              </w:rPr>
              <w:sym w:font="Wingdings 2" w:char="F098"/>
            </w:r>
            <w:r>
              <w:rPr>
                <w:rFonts w:hint="eastAsia" w:ascii="宋体" w:hAnsi="宋体" w:eastAsia="宋体" w:cs="宋体"/>
                <w:szCs w:val="21"/>
                <w:lang w:val="en-US" w:eastAsia="zh-CN"/>
              </w:rPr>
              <w:t>查企业编制了《</w:t>
            </w:r>
            <w:r>
              <w:rPr>
                <w:rFonts w:hint="eastAsia" w:ascii="宋体" w:hAnsi="宋体"/>
              </w:rPr>
              <w:t>危险源识别及风险评价控制程序</w:t>
            </w:r>
            <w:r>
              <w:rPr>
                <w:rFonts w:hint="eastAsia" w:ascii="宋体" w:hAnsi="宋体" w:eastAsia="宋体" w:cs="宋体"/>
                <w:szCs w:val="21"/>
                <w:lang w:val="en-US" w:eastAsia="zh-CN"/>
              </w:rPr>
              <w:t>》，用于识别和控制与各过程相关的危险源，并确定不可接受风险及控制办法。</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sym w:font="Wingdings 2" w:char="F098"/>
            </w:r>
            <w:r>
              <w:rPr>
                <w:rFonts w:hint="eastAsia" w:ascii="宋体" w:hAnsi="宋体" w:eastAsia="宋体" w:cs="宋体"/>
                <w:szCs w:val="21"/>
                <w:lang w:val="en-US" w:eastAsia="zh-CN"/>
              </w:rPr>
              <w:t>提供了供销部《危险源辨识评价表》，供销部涉及到的危险源主要包括：触电危险、电气火灾、驾驶外出的交通风险、办公过程的烫伤、滑倒摔伤、自身防护不到位、防疫物资配备到位、人员交叉感染引起病毒感染等的风险，采用LEC定量评价法评估出不可接受风险，编制了《不可接受风险清单》，不可接受风险为：火灾、触电。</w:t>
            </w:r>
          </w:p>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宋体" w:hAnsi="宋体" w:eastAsia="宋体" w:cs="宋体"/>
                <w:sz w:val="21"/>
                <w:szCs w:val="21"/>
              </w:rPr>
            </w:pPr>
            <w:r>
              <w:rPr>
                <w:rFonts w:hint="eastAsia" w:ascii="宋体" w:hAnsi="宋体" w:eastAsia="宋体" w:cs="宋体"/>
                <w:szCs w:val="21"/>
                <w:lang w:val="en-US" w:eastAsia="zh-CN"/>
              </w:rPr>
              <w:t>对识别出的重要环境因素和不可接受风险，均制定了相应的管理措施如废弃物管理办法、应急预案、培训、演练、设备操作规程、定期检查等。</w:t>
            </w:r>
          </w:p>
        </w:tc>
        <w:tc>
          <w:tcPr>
            <w:tcW w:w="3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eastAsia="宋体" w:cs="宋体"/>
                <w:szCs w:val="21"/>
                <w:lang w:eastAsia="zh-CN"/>
              </w:rPr>
              <w:t>运行控制</w:t>
            </w:r>
          </w:p>
        </w:tc>
        <w:tc>
          <w:tcPr>
            <w:tcW w:w="334"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EO：8.1</w:t>
            </w:r>
          </w:p>
        </w:tc>
        <w:tc>
          <w:tcPr>
            <w:tcW w:w="3833" w:type="pct"/>
            <w:tcBorders>
              <w:top w:val="single" w:color="auto" w:sz="4" w:space="0"/>
              <w:left w:val="single" w:color="auto" w:sz="4" w:space="0"/>
              <w:bottom w:val="single" w:color="auto" w:sz="4" w:space="0"/>
              <w:right w:val="single" w:color="auto" w:sz="4" w:space="0"/>
            </w:tcBorders>
            <w:noWrap w:val="0"/>
            <w:vAlign w:val="center"/>
          </w:tcPr>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●供销部需执行的文件有：《安全管理制度》《消防管理制度》《节水、节电管理办法》《</w:t>
            </w:r>
            <w:r>
              <w:rPr>
                <w:rFonts w:hint="eastAsia" w:ascii="宋体" w:hAnsi="宋体"/>
              </w:rPr>
              <w:t>环境和职业健康安全运行控制程序</w:t>
            </w:r>
            <w:r>
              <w:rPr>
                <w:rFonts w:hint="eastAsia" w:ascii="宋体" w:hAnsi="宋体" w:eastAsia="宋体" w:cs="宋体"/>
                <w:szCs w:val="21"/>
                <w:lang w:val="en-US" w:eastAsia="zh-CN"/>
              </w:rPr>
              <w:t>》《废弃物管理办法》《相关方管理制度》等管理制度</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1.办公过程水、电资源的使用执行《节水节电管理办法》，注意节约用电，做到人走灯灭，电脑长时间不用时关机，下班前要关闭电源，不长流水。视频查看办公室张贴了节约用水标识。</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2.办公过程产生的固废，执行《废弃物管理办法》，按要求放到指定地点，查看无混放现象；废弃的防疫物资设置了废弃口罩专用垃圾桶进行统一丢弃处理。办公用品按要求由办公室负责发放，作好记录；</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3.工作时间平均每天不超过8小时，公司为员工缴纳了保险，提供了完税证明。</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4.提供了《劳保用品领用记录》，公司为员工提供口罩、手套等劳动防护用品及卫生防疫物品，有发放和接收记录。</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5.办公区配备有灭火器，行政部负责定期巡视检查。办公区张贴了禁止吸烟标识。</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6.办公区产生的污水主要为日常清洁，污水无外排情况。</w:t>
            </w:r>
          </w:p>
          <w:p>
            <w:pPr>
              <w:tabs>
                <w:tab w:val="left" w:pos="1825"/>
              </w:tabs>
              <w:jc w:val="left"/>
              <w:rPr>
                <w:rFonts w:hint="eastAsia" w:ascii="宋体" w:hAnsi="宋体" w:eastAsia="宋体" w:cs="宋体"/>
              </w:rPr>
            </w:pPr>
            <w:r>
              <w:rPr>
                <w:rFonts w:hint="eastAsia" w:ascii="宋体" w:hAnsi="宋体" w:eastAsia="宋体" w:cs="宋体"/>
                <w:szCs w:val="21"/>
                <w:lang w:val="en-US" w:eastAsia="zh-CN"/>
              </w:rPr>
              <w:t>气体排放：主要是日常打印和复印产生，量较小。</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噪声：办公活动无重大噪声。</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固废：配合办公室做好固废分类回收处置。</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节约能源：公司在日常办公时尽量减少纸张及办公用品的消耗，日常注意节水节电，正常使用。</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触电：定期检测用电办公设备和线路，发现故障及时修复，正确使用设备，防止触电、火灾事故发生。</w:t>
            </w:r>
          </w:p>
          <w:p>
            <w:pPr>
              <w:pStyle w:val="16"/>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火灾：办公区配备了灭火器，定期检查。</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交通事故：对员工进行交通安全的培训，上下班途中遵守交通规则，不违章，防止交通事故的发生。</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疫情防控：销售人员外出注意疫情防护，严格落实疫情防控措施。进入厂区扫码登记，有异常及时上报。</w:t>
            </w:r>
          </w:p>
          <w:p>
            <w:pPr>
              <w:tabs>
                <w:tab w:val="left" w:pos="1825"/>
              </w:tabs>
              <w:jc w:val="left"/>
              <w:rPr>
                <w:rFonts w:hint="eastAsia" w:ascii="宋体" w:hAnsi="宋体" w:eastAsia="宋体" w:cs="宋体"/>
                <w:szCs w:val="21"/>
              </w:rPr>
            </w:pPr>
            <w:r>
              <w:rPr>
                <w:rFonts w:hint="eastAsia" w:ascii="宋体" w:hAnsi="宋体" w:eastAsia="宋体" w:cs="宋体"/>
                <w:szCs w:val="21"/>
                <w:lang w:val="en-US" w:eastAsia="zh-CN"/>
              </w:rPr>
              <w:t>办公区域的环境、职业健康安全的控制基本满足要求</w:t>
            </w:r>
            <w:r>
              <w:rPr>
                <w:rFonts w:hint="eastAsia" w:ascii="宋体" w:hAnsi="宋体" w:eastAsia="宋体" w:cs="宋体"/>
              </w:rPr>
              <w:t>。</w:t>
            </w:r>
          </w:p>
        </w:tc>
        <w:tc>
          <w:tcPr>
            <w:tcW w:w="3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Y</w:t>
            </w:r>
          </w:p>
        </w:tc>
      </w:tr>
    </w:tbl>
    <w:p>
      <w:pPr>
        <w:pStyle w:val="6"/>
      </w:pPr>
      <w:r>
        <w:rPr>
          <w:rFonts w:hint="eastAsia"/>
        </w:rPr>
        <w:t>说明：不符合标注N</w:t>
      </w:r>
    </w:p>
    <w:p>
      <w:pPr>
        <w:pStyle w:val="15"/>
      </w:pPr>
    </w:p>
    <w:p>
      <w:pPr>
        <w:pStyle w:val="6"/>
      </w:pPr>
      <w:bookmarkStart w:id="4" w:name="_GoBack"/>
      <w:bookmarkEnd w:id="4"/>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Source Sans Pro SemiBold">
    <w:panose1 w:val="020B0603030403020204"/>
    <w:charset w:val="00"/>
    <w:family w:val="auto"/>
    <w:pitch w:val="default"/>
    <w:sig w:usb0="600002F7" w:usb1="02000001" w:usb2="00000000" w:usb3="00000000" w:csb0="2000019F" w:csb1="00000000"/>
  </w:font>
  <w:font w:name="Wingdings">
    <w:panose1 w:val="05000000000000000000"/>
    <w:charset w:val="00"/>
    <w:family w:val="auto"/>
    <w:pitch w:val="default"/>
    <w:sig w:usb0="00000000" w:usb1="00000000" w:usb2="00000000" w:usb3="00000000" w:csb0="80000000" w:csb1="00000000"/>
  </w:font>
  <w:font w:name="Zilla Slab Light">
    <w:panose1 w:val="00000000000000000000"/>
    <w:charset w:val="00"/>
    <w:family w:val="auto"/>
    <w:pitch w:val="default"/>
    <w:sig w:usb0="A00000FF" w:usb1="5001E47B" w:usb2="00000000" w:usb3="00000000" w:csb0="2000009B"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1926FAA"/>
    <w:rsid w:val="01B34E22"/>
    <w:rsid w:val="04340672"/>
    <w:rsid w:val="04F25D7B"/>
    <w:rsid w:val="051A51B8"/>
    <w:rsid w:val="076A755F"/>
    <w:rsid w:val="0A744757"/>
    <w:rsid w:val="0A8C16FF"/>
    <w:rsid w:val="0CAD06C0"/>
    <w:rsid w:val="0E96765D"/>
    <w:rsid w:val="10BF6EF9"/>
    <w:rsid w:val="1121491B"/>
    <w:rsid w:val="138C0B15"/>
    <w:rsid w:val="15A20FDE"/>
    <w:rsid w:val="185F42E3"/>
    <w:rsid w:val="198B401E"/>
    <w:rsid w:val="1C71674A"/>
    <w:rsid w:val="1E0235F9"/>
    <w:rsid w:val="1F7A622F"/>
    <w:rsid w:val="2036092B"/>
    <w:rsid w:val="212C6113"/>
    <w:rsid w:val="217454BE"/>
    <w:rsid w:val="246A539D"/>
    <w:rsid w:val="246A716A"/>
    <w:rsid w:val="25A247A9"/>
    <w:rsid w:val="26670535"/>
    <w:rsid w:val="26D703BB"/>
    <w:rsid w:val="27E729AE"/>
    <w:rsid w:val="2A85167A"/>
    <w:rsid w:val="2AD26A4E"/>
    <w:rsid w:val="2B32247C"/>
    <w:rsid w:val="2F0E5ECE"/>
    <w:rsid w:val="306F163B"/>
    <w:rsid w:val="33F052ED"/>
    <w:rsid w:val="33F95E15"/>
    <w:rsid w:val="34B42166"/>
    <w:rsid w:val="3762108A"/>
    <w:rsid w:val="38FD431F"/>
    <w:rsid w:val="39854FBF"/>
    <w:rsid w:val="3B351E28"/>
    <w:rsid w:val="3B664D4A"/>
    <w:rsid w:val="3B712C90"/>
    <w:rsid w:val="3E284F59"/>
    <w:rsid w:val="3FA314D7"/>
    <w:rsid w:val="44D4016E"/>
    <w:rsid w:val="456F5F37"/>
    <w:rsid w:val="49D4280C"/>
    <w:rsid w:val="49FF7561"/>
    <w:rsid w:val="4A2673CE"/>
    <w:rsid w:val="4A716DB6"/>
    <w:rsid w:val="4A8802DC"/>
    <w:rsid w:val="4B49065A"/>
    <w:rsid w:val="4D9A04FB"/>
    <w:rsid w:val="4DC909B4"/>
    <w:rsid w:val="4E766588"/>
    <w:rsid w:val="4F89265E"/>
    <w:rsid w:val="50ED54FA"/>
    <w:rsid w:val="520077DE"/>
    <w:rsid w:val="53DF30FE"/>
    <w:rsid w:val="53E83C6D"/>
    <w:rsid w:val="5700384F"/>
    <w:rsid w:val="58034391"/>
    <w:rsid w:val="59A31EB1"/>
    <w:rsid w:val="6007279C"/>
    <w:rsid w:val="60507D0A"/>
    <w:rsid w:val="60D1056A"/>
    <w:rsid w:val="61BC1F26"/>
    <w:rsid w:val="629979ED"/>
    <w:rsid w:val="65AF7CE2"/>
    <w:rsid w:val="67116949"/>
    <w:rsid w:val="6A0A70ED"/>
    <w:rsid w:val="6B77616A"/>
    <w:rsid w:val="6CBD0576"/>
    <w:rsid w:val="71805A8C"/>
    <w:rsid w:val="747C2ADE"/>
    <w:rsid w:val="775A66BB"/>
    <w:rsid w:val="776A6F19"/>
    <w:rsid w:val="7C0E503E"/>
    <w:rsid w:val="7CF52280"/>
    <w:rsid w:val="7D5A5B8C"/>
    <w:rsid w:val="7E3936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line="420" w:lineRule="exact"/>
    </w:pPr>
    <w:rPr>
      <w:sz w:val="24"/>
    </w:rPr>
  </w:style>
  <w:style w:type="paragraph" w:styleId="4">
    <w:name w:val="Plain Text"/>
    <w:basedOn w:val="1"/>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 w:type="paragraph" w:customStyle="1" w:styleId="16">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11582</Words>
  <Characters>12268</Characters>
  <Lines>1</Lines>
  <Paragraphs>1</Paragraphs>
  <TotalTime>2</TotalTime>
  <ScaleCrop>false</ScaleCrop>
  <LinksUpToDate>false</LinksUpToDate>
  <CharactersWithSpaces>12550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2022-12-21T05:10:53Z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