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text" w:horzAnchor="page" w:tblpX="1079" w:tblpY="664"/>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709" w:type="dxa"/>
            <w:gridSpan w:val="4"/>
            <w:vAlign w:val="center"/>
          </w:tcPr>
          <w:p>
            <w:pPr>
              <w:keepNext w:val="0"/>
              <w:keepLines w:val="0"/>
              <w:pageBreakBefore w:val="0"/>
              <w:widowControl w:val="0"/>
              <w:kinsoku/>
              <w:wordWrap/>
              <w:overflowPunct/>
              <w:topLinePunct w:val="0"/>
              <w:bidi w:val="0"/>
              <w:spacing w:after="0" w:line="240" w:lineRule="auto"/>
              <w:jc w:val="center"/>
              <w:textAlignment w:val="auto"/>
              <w:rPr>
                <w:rFonts w:hint="eastAsia"/>
                <w:sz w:val="21"/>
                <w:szCs w:val="21"/>
              </w:rPr>
            </w:pPr>
            <w:r>
              <w:rPr>
                <w:rFonts w:hint="eastAsia" w:ascii="隶书" w:hAnsi="宋体" w:eastAsia="隶书"/>
                <w:bCs/>
                <w:color w:val="000000"/>
                <w:sz w:val="36"/>
                <w:szCs w:val="36"/>
              </w:rPr>
              <w:t>管理体系审核记录表</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bidi w:val="0"/>
              <w:spacing w:before="120" w:after="0" w:line="240" w:lineRule="auto"/>
              <w:jc w:val="center"/>
              <w:textAlignment w:val="auto"/>
              <w:rPr>
                <w:sz w:val="21"/>
                <w:szCs w:val="21"/>
              </w:rPr>
            </w:pPr>
            <w:r>
              <w:rPr>
                <w:rFonts w:hint="eastAsia"/>
                <w:sz w:val="21"/>
                <w:szCs w:val="21"/>
              </w:rPr>
              <w:t>过程与活动、</w:t>
            </w:r>
          </w:p>
          <w:p>
            <w:pPr>
              <w:keepNext w:val="0"/>
              <w:keepLines w:val="0"/>
              <w:pageBreakBefore w:val="0"/>
              <w:widowControl w:val="0"/>
              <w:kinsoku/>
              <w:wordWrap/>
              <w:overflowPunct/>
              <w:topLinePunct w:val="0"/>
              <w:bidi w:val="0"/>
              <w:spacing w:after="0" w:line="240" w:lineRule="auto"/>
              <w:jc w:val="center"/>
              <w:textAlignment w:val="auto"/>
              <w:rPr>
                <w:sz w:val="21"/>
                <w:szCs w:val="21"/>
              </w:rPr>
            </w:pPr>
            <w:r>
              <w:rPr>
                <w:rFonts w:hint="eastAsia"/>
                <w:sz w:val="21"/>
                <w:szCs w:val="21"/>
              </w:rPr>
              <w:t>抽样计划</w:t>
            </w:r>
          </w:p>
        </w:tc>
        <w:tc>
          <w:tcPr>
            <w:tcW w:w="960" w:type="dxa"/>
            <w:vMerge w:val="restart"/>
            <w:vAlign w:val="center"/>
          </w:tcPr>
          <w:p>
            <w:pPr>
              <w:keepNext w:val="0"/>
              <w:keepLines w:val="0"/>
              <w:pageBreakBefore w:val="0"/>
              <w:widowControl w:val="0"/>
              <w:kinsoku/>
              <w:wordWrap/>
              <w:overflowPunct/>
              <w:topLinePunct w:val="0"/>
              <w:bidi w:val="0"/>
              <w:spacing w:after="0" w:line="240" w:lineRule="auto"/>
              <w:textAlignment w:val="auto"/>
              <w:rPr>
                <w:sz w:val="21"/>
                <w:szCs w:val="21"/>
              </w:rPr>
            </w:pPr>
            <w:r>
              <w:rPr>
                <w:rFonts w:hint="eastAsia"/>
                <w:sz w:val="21"/>
                <w:szCs w:val="21"/>
              </w:rPr>
              <w:t>涉及</w:t>
            </w:r>
          </w:p>
          <w:p>
            <w:pPr>
              <w:keepNext w:val="0"/>
              <w:keepLines w:val="0"/>
              <w:pageBreakBefore w:val="0"/>
              <w:widowControl w:val="0"/>
              <w:kinsoku/>
              <w:wordWrap/>
              <w:overflowPunct/>
              <w:topLinePunct w:val="0"/>
              <w:bidi w:val="0"/>
              <w:spacing w:after="0" w:line="240" w:lineRule="auto"/>
              <w:textAlignment w:val="auto"/>
              <w:rPr>
                <w:sz w:val="21"/>
                <w:szCs w:val="21"/>
              </w:rPr>
            </w:pPr>
            <w:r>
              <w:rPr>
                <w:rFonts w:hint="eastAsia"/>
                <w:sz w:val="21"/>
                <w:szCs w:val="21"/>
              </w:rPr>
              <w:t>条款</w:t>
            </w:r>
          </w:p>
        </w:tc>
        <w:tc>
          <w:tcPr>
            <w:tcW w:w="10004" w:type="dxa"/>
            <w:vAlign w:val="center"/>
          </w:tcPr>
          <w:p>
            <w:pPr>
              <w:keepNext w:val="0"/>
              <w:keepLines w:val="0"/>
              <w:pageBreakBefore w:val="0"/>
              <w:widowControl w:val="0"/>
              <w:kinsoku/>
              <w:wordWrap/>
              <w:overflowPunct/>
              <w:topLinePunct w:val="0"/>
              <w:bidi w:val="0"/>
              <w:spacing w:after="0" w:line="240" w:lineRule="auto"/>
              <w:textAlignment w:val="auto"/>
              <w:rPr>
                <w:sz w:val="21"/>
                <w:szCs w:val="21"/>
              </w:rPr>
            </w:pPr>
            <w:r>
              <w:rPr>
                <w:rFonts w:hint="eastAsia"/>
                <w:sz w:val="21"/>
                <w:szCs w:val="21"/>
              </w:rPr>
              <w:t>受审核部门：领导层</w:t>
            </w:r>
            <w:r>
              <w:rPr>
                <w:sz w:val="21"/>
                <w:szCs w:val="21"/>
              </w:rPr>
              <w:t xml:space="preserve">    </w:t>
            </w:r>
            <w:r>
              <w:rPr>
                <w:rFonts w:hint="eastAsia"/>
                <w:sz w:val="21"/>
                <w:szCs w:val="21"/>
              </w:rPr>
              <w:t xml:space="preserve">   主管领导：侯林</w:t>
            </w:r>
          </w:p>
        </w:tc>
        <w:tc>
          <w:tcPr>
            <w:tcW w:w="1585" w:type="dxa"/>
            <w:vMerge w:val="restart"/>
            <w:vAlign w:val="center"/>
          </w:tcPr>
          <w:p>
            <w:pPr>
              <w:keepNext w:val="0"/>
              <w:keepLines w:val="0"/>
              <w:pageBreakBefore w:val="0"/>
              <w:widowControl w:val="0"/>
              <w:kinsoku/>
              <w:wordWrap/>
              <w:overflowPunct/>
              <w:topLinePunct w:val="0"/>
              <w:bidi w:val="0"/>
              <w:spacing w:after="0" w:line="240" w:lineRule="auto"/>
              <w:textAlignment w:val="auto"/>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bidi w:val="0"/>
              <w:spacing w:after="0" w:line="240" w:lineRule="auto"/>
              <w:textAlignment w:val="auto"/>
              <w:rPr>
                <w:sz w:val="21"/>
                <w:szCs w:val="21"/>
              </w:rPr>
            </w:pPr>
          </w:p>
        </w:tc>
        <w:tc>
          <w:tcPr>
            <w:tcW w:w="960" w:type="dxa"/>
            <w:vMerge w:val="continue"/>
            <w:vAlign w:val="center"/>
          </w:tcPr>
          <w:p>
            <w:pPr>
              <w:keepNext w:val="0"/>
              <w:keepLines w:val="0"/>
              <w:pageBreakBefore w:val="0"/>
              <w:widowControl w:val="0"/>
              <w:kinsoku/>
              <w:wordWrap/>
              <w:overflowPunct/>
              <w:topLinePunct w:val="0"/>
              <w:bidi w:val="0"/>
              <w:spacing w:after="0" w:line="240" w:lineRule="auto"/>
              <w:textAlignment w:val="auto"/>
              <w:rPr>
                <w:sz w:val="21"/>
                <w:szCs w:val="21"/>
              </w:rPr>
            </w:pPr>
          </w:p>
        </w:tc>
        <w:tc>
          <w:tcPr>
            <w:tcW w:w="10004" w:type="dxa"/>
            <w:vAlign w:val="center"/>
          </w:tcPr>
          <w:p>
            <w:pPr>
              <w:keepNext w:val="0"/>
              <w:keepLines w:val="0"/>
              <w:pageBreakBefore w:val="0"/>
              <w:widowControl w:val="0"/>
              <w:kinsoku/>
              <w:wordWrap/>
              <w:overflowPunct/>
              <w:topLinePunct w:val="0"/>
              <w:bidi w:val="0"/>
              <w:spacing w:before="120" w:after="0" w:line="240" w:lineRule="auto"/>
              <w:textAlignment w:val="auto"/>
              <w:rPr>
                <w:sz w:val="21"/>
                <w:szCs w:val="21"/>
              </w:rPr>
            </w:pPr>
            <w:r>
              <w:rPr>
                <w:rFonts w:hint="eastAsia"/>
                <w:sz w:val="21"/>
                <w:szCs w:val="21"/>
              </w:rPr>
              <w:t>审核员：</w:t>
            </w:r>
            <w:r>
              <w:rPr>
                <w:rFonts w:hint="eastAsia"/>
                <w:sz w:val="21"/>
                <w:szCs w:val="21"/>
                <w:lang w:eastAsia="zh-CN"/>
              </w:rPr>
              <w:t>赵丽萍</w:t>
            </w:r>
            <w:r>
              <w:rPr>
                <w:rFonts w:hint="eastAsia"/>
                <w:sz w:val="21"/>
                <w:szCs w:val="21"/>
              </w:rPr>
              <w:t xml:space="preserve">     </w:t>
            </w:r>
            <w:r>
              <w:rPr>
                <w:sz w:val="21"/>
                <w:szCs w:val="21"/>
              </w:rPr>
              <w:t xml:space="preserve">     </w:t>
            </w:r>
            <w:r>
              <w:rPr>
                <w:rFonts w:hint="eastAsia"/>
                <w:sz w:val="21"/>
                <w:szCs w:val="21"/>
              </w:rPr>
              <w:t>审核日期：</w:t>
            </w:r>
            <w:r>
              <w:rPr>
                <w:rFonts w:hint="eastAsia"/>
                <w:sz w:val="21"/>
                <w:szCs w:val="21"/>
                <w:lang w:eastAsia="zh-CN"/>
              </w:rPr>
              <w:t>2022年12月14日</w:t>
            </w:r>
            <w:r>
              <w:rPr>
                <w:rFonts w:hint="eastAsia"/>
                <w:sz w:val="21"/>
                <w:szCs w:val="21"/>
              </w:rPr>
              <w:t xml:space="preserve"> </w:t>
            </w:r>
            <w:r>
              <w:rPr>
                <w:sz w:val="21"/>
                <w:szCs w:val="21"/>
              </w:rPr>
              <w:t xml:space="preserve"> </w:t>
            </w:r>
            <w:r>
              <w:rPr>
                <w:rFonts w:hint="eastAsia"/>
                <w:sz w:val="21"/>
                <w:szCs w:val="21"/>
              </w:rPr>
              <w:t>（远程审核）</w:t>
            </w:r>
          </w:p>
        </w:tc>
        <w:tc>
          <w:tcPr>
            <w:tcW w:w="1585" w:type="dxa"/>
            <w:vMerge w:val="continue"/>
          </w:tcPr>
          <w:p>
            <w:pPr>
              <w:keepNext w:val="0"/>
              <w:keepLines w:val="0"/>
              <w:pageBreakBefore w:val="0"/>
              <w:widowControl w:val="0"/>
              <w:kinsoku/>
              <w:wordWrap/>
              <w:overflowPunct/>
              <w:topLinePunct w:val="0"/>
              <w:bidi w:val="0"/>
              <w:spacing w:after="0" w:line="240" w:lineRule="auto"/>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bidi w:val="0"/>
              <w:spacing w:after="0" w:line="240" w:lineRule="auto"/>
              <w:textAlignment w:val="auto"/>
              <w:rPr>
                <w:sz w:val="21"/>
                <w:szCs w:val="21"/>
              </w:rPr>
            </w:pPr>
          </w:p>
        </w:tc>
        <w:tc>
          <w:tcPr>
            <w:tcW w:w="960" w:type="dxa"/>
            <w:vMerge w:val="continue"/>
            <w:vAlign w:val="center"/>
          </w:tcPr>
          <w:p>
            <w:pPr>
              <w:keepNext w:val="0"/>
              <w:keepLines w:val="0"/>
              <w:pageBreakBefore w:val="0"/>
              <w:widowControl w:val="0"/>
              <w:kinsoku/>
              <w:wordWrap/>
              <w:overflowPunct/>
              <w:topLinePunct w:val="0"/>
              <w:bidi w:val="0"/>
              <w:spacing w:after="0" w:line="240" w:lineRule="auto"/>
              <w:textAlignment w:val="auto"/>
              <w:rPr>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审核条款：</w:t>
            </w:r>
          </w:p>
          <w:p>
            <w:pPr>
              <w:keepNext w:val="0"/>
              <w:keepLines w:val="0"/>
              <w:pageBreakBefore w:val="0"/>
              <w:widowControl w:val="0"/>
              <w:tabs>
                <w:tab w:val="left" w:pos="709"/>
              </w:tabs>
              <w:kinsoku/>
              <w:wordWrap/>
              <w:overflowPunct/>
              <w:topLinePunct w:val="0"/>
              <w:autoSpaceDE/>
              <w:autoSpaceDN/>
              <w:bidi w:val="0"/>
              <w:adjustRightInd/>
              <w:snapToGrid/>
              <w:spacing w:line="240" w:lineRule="auto"/>
              <w:ind w:right="57"/>
              <w:jc w:val="left"/>
              <w:textAlignment w:val="auto"/>
              <w:rPr>
                <w:sz w:val="21"/>
                <w:szCs w:val="21"/>
              </w:rPr>
            </w:pPr>
            <w:r>
              <w:rPr>
                <w:rFonts w:hint="eastAsia"/>
                <w:sz w:val="21"/>
                <w:szCs w:val="21"/>
              </w:rPr>
              <w:t>Q</w:t>
            </w:r>
            <w:r>
              <w:rPr>
                <w:rFonts w:hint="eastAsia"/>
                <w:sz w:val="21"/>
                <w:szCs w:val="21"/>
                <w:lang w:eastAsia="zh-CN"/>
              </w:rPr>
              <w:t>：</w:t>
            </w:r>
            <w:r>
              <w:rPr>
                <w:rFonts w:hint="eastAsia"/>
                <w:sz w:val="21"/>
                <w:szCs w:val="21"/>
              </w:rPr>
              <w:t>4.1</w:t>
            </w:r>
            <w:r>
              <w:rPr>
                <w:rFonts w:hint="eastAsia"/>
                <w:sz w:val="21"/>
                <w:szCs w:val="21"/>
                <w:lang w:val="en-US" w:eastAsia="zh-CN"/>
              </w:rPr>
              <w:t>/</w:t>
            </w:r>
            <w:r>
              <w:rPr>
                <w:rFonts w:hint="eastAsia"/>
                <w:sz w:val="21"/>
                <w:szCs w:val="21"/>
              </w:rPr>
              <w:t>4.2</w:t>
            </w:r>
            <w:r>
              <w:rPr>
                <w:rFonts w:hint="eastAsia"/>
                <w:sz w:val="21"/>
                <w:szCs w:val="21"/>
                <w:lang w:val="en-US" w:eastAsia="zh-CN"/>
              </w:rPr>
              <w:t>/</w:t>
            </w:r>
            <w:r>
              <w:rPr>
                <w:rFonts w:hint="eastAsia"/>
                <w:sz w:val="21"/>
                <w:szCs w:val="21"/>
              </w:rPr>
              <w:t>4.3</w:t>
            </w:r>
            <w:r>
              <w:rPr>
                <w:rFonts w:hint="eastAsia"/>
                <w:sz w:val="21"/>
                <w:szCs w:val="21"/>
                <w:lang w:val="en-US" w:eastAsia="zh-CN"/>
              </w:rPr>
              <w:t>/</w:t>
            </w:r>
            <w:r>
              <w:rPr>
                <w:rFonts w:hint="eastAsia"/>
                <w:sz w:val="21"/>
                <w:szCs w:val="21"/>
              </w:rPr>
              <w:t>4.4</w:t>
            </w:r>
            <w:r>
              <w:rPr>
                <w:rFonts w:hint="eastAsia"/>
                <w:sz w:val="21"/>
                <w:szCs w:val="21"/>
                <w:lang w:val="en-US" w:eastAsia="zh-CN"/>
              </w:rPr>
              <w:t>/</w:t>
            </w:r>
            <w:r>
              <w:rPr>
                <w:sz w:val="21"/>
                <w:szCs w:val="21"/>
              </w:rPr>
              <w:t>5.1</w:t>
            </w:r>
            <w:r>
              <w:rPr>
                <w:rFonts w:hint="eastAsia"/>
                <w:sz w:val="21"/>
                <w:szCs w:val="21"/>
                <w:lang w:val="en-US" w:eastAsia="zh-CN"/>
              </w:rPr>
              <w:t>/</w:t>
            </w:r>
            <w:r>
              <w:rPr>
                <w:sz w:val="21"/>
                <w:szCs w:val="21"/>
              </w:rPr>
              <w:t>5.2</w:t>
            </w:r>
            <w:r>
              <w:rPr>
                <w:rFonts w:hint="eastAsia"/>
                <w:sz w:val="21"/>
                <w:szCs w:val="21"/>
                <w:lang w:val="en-US" w:eastAsia="zh-CN"/>
              </w:rPr>
              <w:t>/</w:t>
            </w:r>
            <w:r>
              <w:rPr>
                <w:sz w:val="21"/>
                <w:szCs w:val="21"/>
              </w:rPr>
              <w:t>5.3</w:t>
            </w:r>
            <w:r>
              <w:rPr>
                <w:rFonts w:hint="eastAsia"/>
                <w:sz w:val="21"/>
                <w:szCs w:val="21"/>
                <w:lang w:val="en-US" w:eastAsia="zh-CN"/>
              </w:rPr>
              <w:t>/6.1/6.2/</w:t>
            </w:r>
            <w:r>
              <w:rPr>
                <w:sz w:val="21"/>
                <w:szCs w:val="21"/>
              </w:rPr>
              <w:t>6.3</w:t>
            </w:r>
            <w:r>
              <w:rPr>
                <w:rFonts w:hint="eastAsia"/>
                <w:sz w:val="21"/>
                <w:szCs w:val="21"/>
                <w:lang w:val="en-US" w:eastAsia="zh-CN"/>
              </w:rPr>
              <w:t>/</w:t>
            </w:r>
            <w:r>
              <w:rPr>
                <w:sz w:val="21"/>
                <w:szCs w:val="21"/>
              </w:rPr>
              <w:t>7</w:t>
            </w:r>
            <w:r>
              <w:rPr>
                <w:rFonts w:hint="eastAsia"/>
                <w:sz w:val="21"/>
                <w:szCs w:val="21"/>
                <w:lang w:val="en-US" w:eastAsia="zh-CN"/>
              </w:rPr>
              <w:t>.1.1/9.1.1/9.3/10.1/10.3</w:t>
            </w:r>
          </w:p>
        </w:tc>
        <w:tc>
          <w:tcPr>
            <w:tcW w:w="1585" w:type="dxa"/>
            <w:vMerge w:val="continue"/>
          </w:tcPr>
          <w:p>
            <w:pPr>
              <w:keepNext w:val="0"/>
              <w:keepLines w:val="0"/>
              <w:pageBreakBefore w:val="0"/>
              <w:widowControl w:val="0"/>
              <w:kinsoku/>
              <w:wordWrap/>
              <w:overflowPunct/>
              <w:topLinePunct w:val="0"/>
              <w:bidi w:val="0"/>
              <w:spacing w:after="0" w:line="240" w:lineRule="auto"/>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pageBreakBefore w:val="0"/>
              <w:widowControl w:val="0"/>
              <w:kinsoku/>
              <w:wordWrap/>
              <w:overflowPunct/>
              <w:topLinePunct w:val="0"/>
              <w:bidi w:val="0"/>
              <w:spacing w:after="0" w:line="240" w:lineRule="auto"/>
              <w:textAlignment w:val="auto"/>
              <w:rPr>
                <w:rFonts w:ascii="Times New Roman" w:hAnsi="Times New Roman" w:eastAsia="宋体" w:cs="Times New Roman"/>
                <w:kern w:val="2"/>
                <w:sz w:val="21"/>
                <w:szCs w:val="21"/>
                <w:lang w:val="en-US" w:eastAsia="zh-CN" w:bidi="ar-SA"/>
              </w:rPr>
            </w:pPr>
            <w:r>
              <w:rPr>
                <w:rFonts w:hint="eastAsia"/>
                <w:sz w:val="21"/>
                <w:szCs w:val="21"/>
              </w:rPr>
              <w:t>理解组织及其环境</w:t>
            </w:r>
          </w:p>
        </w:tc>
        <w:tc>
          <w:tcPr>
            <w:tcW w:w="960" w:type="dxa"/>
            <w:vAlign w:val="top"/>
          </w:tcPr>
          <w:p>
            <w:pPr>
              <w:keepNext w:val="0"/>
              <w:keepLines w:val="0"/>
              <w:pageBreakBefore w:val="0"/>
              <w:widowControl w:val="0"/>
              <w:kinsoku/>
              <w:wordWrap/>
              <w:overflowPunct/>
              <w:topLinePunct w:val="0"/>
              <w:bidi w:val="0"/>
              <w:spacing w:after="0" w:line="240" w:lineRule="auto"/>
              <w:textAlignment w:val="auto"/>
              <w:rPr>
                <w:rFonts w:ascii="Times New Roman" w:hAnsi="Times New Roman" w:eastAsia="宋体" w:cs="Times New Roman"/>
                <w:kern w:val="2"/>
                <w:sz w:val="21"/>
                <w:szCs w:val="21"/>
                <w:lang w:val="en-US" w:eastAsia="zh-CN" w:bidi="ar-SA"/>
              </w:rPr>
            </w:pPr>
            <w:r>
              <w:rPr>
                <w:rFonts w:hint="eastAsia"/>
                <w:sz w:val="21"/>
                <w:szCs w:val="21"/>
              </w:rPr>
              <w:t>Q</w:t>
            </w:r>
            <w:r>
              <w:rPr>
                <w:sz w:val="21"/>
                <w:szCs w:val="21"/>
              </w:rPr>
              <w:t xml:space="preserve"> </w:t>
            </w:r>
            <w:r>
              <w:rPr>
                <w:rFonts w:hint="eastAsia"/>
                <w:sz w:val="21"/>
                <w:szCs w:val="21"/>
              </w:rPr>
              <w:t xml:space="preserve">4.1 </w:t>
            </w:r>
          </w:p>
        </w:tc>
        <w:tc>
          <w:tcPr>
            <w:tcW w:w="10004" w:type="dxa"/>
            <w:vAlign w:val="center"/>
          </w:tcPr>
          <w:p>
            <w:pPr>
              <w:keepNext w:val="0"/>
              <w:keepLines w:val="0"/>
              <w:pageBreakBefore w:val="0"/>
              <w:widowControl w:val="0"/>
              <w:tabs>
                <w:tab w:val="left" w:pos="709"/>
              </w:tabs>
              <w:kinsoku/>
              <w:wordWrap/>
              <w:overflowPunct/>
              <w:topLinePunct w:val="0"/>
              <w:autoSpaceDE/>
              <w:autoSpaceDN/>
              <w:bidi w:val="0"/>
              <w:adjustRightInd/>
              <w:snapToGrid/>
              <w:spacing w:line="240" w:lineRule="auto"/>
              <w:ind w:right="57"/>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通过查阅资料及和总经理视频沟通了解到：</w:t>
            </w:r>
          </w:p>
          <w:p>
            <w:pPr>
              <w:keepNext w:val="0"/>
              <w:keepLines w:val="0"/>
              <w:pageBreakBefore w:val="0"/>
              <w:widowControl w:val="0"/>
              <w:tabs>
                <w:tab w:val="left" w:pos="709"/>
              </w:tabs>
              <w:kinsoku/>
              <w:wordWrap/>
              <w:overflowPunct/>
              <w:topLinePunct w:val="0"/>
              <w:autoSpaceDE/>
              <w:autoSpaceDN/>
              <w:bidi w:val="0"/>
              <w:adjustRightInd/>
              <w:snapToGrid/>
              <w:spacing w:line="240" w:lineRule="auto"/>
              <w:ind w:right="57"/>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总经理：侯林 管代：李翔</w:t>
            </w:r>
            <w:r>
              <w:rPr>
                <w:rFonts w:hint="eastAsia" w:asciiTheme="minorEastAsia" w:hAnsiTheme="minorEastAsia" w:eastAsiaTheme="minorEastAsia" w:cstheme="minorEastAsia"/>
                <w:sz w:val="21"/>
                <w:szCs w:val="21"/>
                <w:lang w:val="en-US" w:eastAsia="zh-CN"/>
              </w:rPr>
              <w:t xml:space="preserve">  </w:t>
            </w:r>
          </w:p>
          <w:p>
            <w:pPr>
              <w:keepNext w:val="0"/>
              <w:keepLines w:val="0"/>
              <w:pageBreakBefore w:val="0"/>
              <w:widowControl w:val="0"/>
              <w:tabs>
                <w:tab w:val="left" w:pos="709"/>
              </w:tabs>
              <w:kinsoku/>
              <w:wordWrap/>
              <w:overflowPunct/>
              <w:topLinePunct w:val="0"/>
              <w:autoSpaceDE/>
              <w:autoSpaceDN/>
              <w:bidi w:val="0"/>
              <w:adjustRightInd/>
              <w:snapToGrid/>
              <w:spacing w:line="240" w:lineRule="auto"/>
              <w:ind w:right="57"/>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－－企业注册为</w:t>
            </w:r>
            <w:bookmarkStart w:id="0" w:name="注册地址"/>
            <w:r>
              <w:rPr>
                <w:rFonts w:hint="eastAsia" w:asciiTheme="minorEastAsia" w:hAnsiTheme="minorEastAsia" w:eastAsiaTheme="minorEastAsia" w:cstheme="minorEastAsia"/>
                <w:sz w:val="21"/>
                <w:szCs w:val="21"/>
              </w:rPr>
              <w:t>中国(江苏)自由贸易试验区南京片区研创园团结路99号孵鹰大厦1272室</w:t>
            </w:r>
            <w:bookmarkEnd w:id="0"/>
            <w:r>
              <w:rPr>
                <w:rFonts w:hint="eastAsia" w:asciiTheme="minorEastAsia" w:hAnsiTheme="minorEastAsia" w:eastAsiaTheme="minorEastAsia" w:cstheme="minorEastAsia"/>
                <w:sz w:val="21"/>
                <w:szCs w:val="21"/>
                <w:lang w:eastAsia="zh-CN"/>
              </w:rPr>
              <w:t>。</w:t>
            </w:r>
          </w:p>
          <w:p>
            <w:pPr>
              <w:keepNext w:val="0"/>
              <w:keepLines w:val="0"/>
              <w:pageBreakBefore w:val="0"/>
              <w:widowControl w:val="0"/>
              <w:tabs>
                <w:tab w:val="left" w:pos="709"/>
              </w:tabs>
              <w:kinsoku/>
              <w:wordWrap/>
              <w:overflowPunct/>
              <w:topLinePunct w:val="0"/>
              <w:autoSpaceDE/>
              <w:autoSpaceDN/>
              <w:bidi w:val="0"/>
              <w:adjustRightInd/>
              <w:snapToGrid/>
              <w:spacing w:line="240" w:lineRule="auto"/>
              <w:ind w:right="57"/>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经营地变更为：</w:t>
            </w:r>
            <w:r>
              <w:rPr>
                <w:rFonts w:hint="eastAsia" w:asciiTheme="minorEastAsia" w:hAnsiTheme="minorEastAsia" w:eastAsiaTheme="minorEastAsia" w:cstheme="minorEastAsia"/>
                <w:sz w:val="21"/>
                <w:szCs w:val="21"/>
              </w:rPr>
              <w:t>南京江北新区研创园团结路99号孵鹰大厦A座701、702室</w:t>
            </w:r>
          </w:p>
          <w:p>
            <w:pPr>
              <w:keepNext w:val="0"/>
              <w:keepLines w:val="0"/>
              <w:pageBreakBefore w:val="0"/>
              <w:widowControl w:val="0"/>
              <w:tabs>
                <w:tab w:val="left" w:pos="709"/>
              </w:tabs>
              <w:kinsoku/>
              <w:wordWrap/>
              <w:overflowPunct/>
              <w:topLinePunct w:val="0"/>
              <w:autoSpaceDE/>
              <w:autoSpaceDN/>
              <w:bidi w:val="0"/>
              <w:adjustRightInd/>
              <w:snapToGrid/>
              <w:spacing w:line="240" w:lineRule="auto"/>
              <w:ind w:right="57"/>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提供了营业执照扫描件，资质文件有效</w:t>
            </w:r>
          </w:p>
          <w:p>
            <w:pPr>
              <w:keepNext w:val="0"/>
              <w:keepLines w:val="0"/>
              <w:pageBreakBefore w:val="0"/>
              <w:widowControl w:val="0"/>
              <w:tabs>
                <w:tab w:val="left" w:pos="709"/>
              </w:tabs>
              <w:kinsoku/>
              <w:wordWrap/>
              <w:overflowPunct/>
              <w:topLinePunct w:val="0"/>
              <w:autoSpaceDE/>
              <w:autoSpaceDN/>
              <w:bidi w:val="0"/>
              <w:adjustRightInd/>
              <w:snapToGrid/>
              <w:spacing w:line="240" w:lineRule="auto"/>
              <w:ind w:right="57"/>
              <w:jc w:val="left"/>
              <w:textAlignment w:val="auto"/>
              <w:rPr>
                <w:rFonts w:hint="eastAsia"/>
                <w:sz w:val="21"/>
                <w:szCs w:val="21"/>
              </w:rPr>
            </w:pPr>
            <w:r>
              <w:rPr>
                <w:rFonts w:hint="eastAsia" w:asciiTheme="minorEastAsia" w:hAnsiTheme="minorEastAsia" w:eastAsiaTheme="minorEastAsia" w:cstheme="minorEastAsia"/>
                <w:sz w:val="21"/>
                <w:szCs w:val="21"/>
                <w:lang w:val="en-US" w:eastAsia="zh-CN"/>
              </w:rPr>
              <w:t>－－与总经理沟通，</w:t>
            </w:r>
            <w:r>
              <w:rPr>
                <w:rFonts w:hint="eastAsia" w:asciiTheme="minorEastAsia" w:hAnsiTheme="minorEastAsia" w:eastAsiaTheme="minorEastAsia" w:cstheme="minorEastAsia"/>
                <w:sz w:val="21"/>
                <w:szCs w:val="21"/>
              </w:rPr>
              <w:t>公司领导层确定外部和内部与公司的宗旨、战略方向有关、影响质量管理体系实现预期结果的能力的因素。外部因素考虑：国际、国内、地区和当地的各种法律法规、技术、竞争、文化、社会、经济和自然环境方面（不管是国际、国家、地区或本地）等因素；内部因素考虑：公司的价值观、文化、知识和绩效等因素</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总经理负责组织对确定的内部和外部因素的相关信息进行监视和评审，以确保质量、管理体系与公司的战略方向一致，并实现其预期的结果。</w:t>
            </w:r>
          </w:p>
        </w:tc>
        <w:tc>
          <w:tcPr>
            <w:tcW w:w="1585" w:type="dxa"/>
          </w:tcPr>
          <w:p>
            <w:pPr>
              <w:keepNext w:val="0"/>
              <w:keepLines w:val="0"/>
              <w:pageBreakBefore w:val="0"/>
              <w:widowControl w:val="0"/>
              <w:kinsoku/>
              <w:wordWrap/>
              <w:overflowPunct/>
              <w:topLinePunct w:val="0"/>
              <w:bidi w:val="0"/>
              <w:spacing w:after="0" w:line="240" w:lineRule="auto"/>
              <w:textAlignment w:val="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rPr>
              <w:t>理解相关方的需求和期望</w:t>
            </w:r>
          </w:p>
        </w:tc>
        <w:tc>
          <w:tcPr>
            <w:tcW w:w="9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rPr>
              <w:t xml:space="preserve">Q4.2 </w:t>
            </w:r>
          </w:p>
        </w:tc>
        <w:tc>
          <w:tcPr>
            <w:tcW w:w="10004" w:type="dxa"/>
            <w:vAlign w:val="center"/>
          </w:tcPr>
          <w:p>
            <w:pPr>
              <w:keepNext w:val="0"/>
              <w:keepLines w:val="0"/>
              <w:pageBreakBefore w:val="0"/>
              <w:widowControl w:val="0"/>
              <w:kinsoku/>
              <w:wordWrap/>
              <w:overflowPunct/>
              <w:topLinePunct w:val="0"/>
              <w:autoSpaceDE w:val="0"/>
              <w:autoSpaceDN w:val="0"/>
              <w:bidi w:val="0"/>
              <w:adjustRightIn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总经理及管理层在考虑相关方对公司提供符合顾客要求和适用法律法规要求的产品和服务的能力产生影响或潜在影响时，结合公司的实际情况，确定与</w:t>
            </w:r>
            <w:r>
              <w:rPr>
                <w:rFonts w:hint="eastAsia" w:asciiTheme="minorEastAsia" w:hAnsiTheme="minorEastAsia" w:eastAsiaTheme="minorEastAsia" w:cstheme="minorEastAsia"/>
                <w:sz w:val="21"/>
                <w:szCs w:val="21"/>
                <w:lang w:eastAsia="zh-CN"/>
              </w:rPr>
              <w:t>质量</w:t>
            </w:r>
            <w:r>
              <w:rPr>
                <w:rFonts w:hint="eastAsia" w:asciiTheme="minorEastAsia" w:hAnsiTheme="minorEastAsia" w:eastAsiaTheme="minorEastAsia" w:cstheme="minorEastAsia"/>
                <w:sz w:val="21"/>
                <w:szCs w:val="21"/>
              </w:rPr>
              <w:t>管理体系有关的相关方，并确定其要求。公司</w:t>
            </w:r>
            <w:r>
              <w:rPr>
                <w:rFonts w:hint="eastAsia" w:asciiTheme="minorEastAsia" w:hAnsiTheme="minorEastAsia" w:eastAsiaTheme="minorEastAsia" w:cstheme="minorEastAsia"/>
                <w:sz w:val="21"/>
                <w:szCs w:val="21"/>
                <w:lang w:val="en-US" w:eastAsia="zh-CN"/>
              </w:rPr>
              <w:t>按照管理手册要求对相关方的需求和期望进行管理</w:t>
            </w:r>
            <w:r>
              <w:rPr>
                <w:rFonts w:hint="eastAsia" w:asciiTheme="minorEastAsia" w:hAnsiTheme="minorEastAsia" w:eastAsiaTheme="minorEastAsia" w:cstheme="minorEastAsia"/>
                <w:sz w:val="21"/>
                <w:szCs w:val="21"/>
              </w:rPr>
              <w:t xml:space="preserve"> ，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pPr>
              <w:keepNext w:val="0"/>
              <w:keepLines w:val="0"/>
              <w:pageBreakBefore w:val="0"/>
              <w:widowControl w:val="0"/>
              <w:kinsoku/>
              <w:wordWrap/>
              <w:overflowPunct/>
              <w:topLinePunct w:val="0"/>
              <w:autoSpaceDE w:val="0"/>
              <w:autoSpaceDN w:val="0"/>
              <w:bidi w:val="0"/>
              <w:adjustRightInd w:val="0"/>
              <w:spacing w:line="240" w:lineRule="auto"/>
              <w:textAlignment w:val="auto"/>
              <w:rPr>
                <w:rFonts w:hint="eastAsia" w:asciiTheme="minorEastAsia" w:hAnsiTheme="minorEastAsia" w:eastAsiaTheme="minorEastAsia" w:cstheme="minorEastAsia"/>
                <w:sz w:val="21"/>
                <w:szCs w:val="21"/>
              </w:rPr>
            </w:pPr>
            <w:bookmarkStart w:id="1" w:name="_Toc475019994"/>
            <w:bookmarkStart w:id="2" w:name="_Toc475020125"/>
            <w:r>
              <w:rPr>
                <w:rFonts w:hint="eastAsia" w:asciiTheme="minorEastAsia" w:hAnsiTheme="minorEastAsia" w:eastAsiaTheme="minorEastAsia" w:cstheme="minorEastAsia"/>
                <w:sz w:val="21"/>
                <w:szCs w:val="21"/>
              </w:rPr>
              <w:t>与</w:t>
            </w:r>
            <w:r>
              <w:rPr>
                <w:rFonts w:hint="eastAsia" w:asciiTheme="minorEastAsia" w:hAnsiTheme="minorEastAsia" w:eastAsiaTheme="minorEastAsia" w:cstheme="minorEastAsia"/>
                <w:sz w:val="21"/>
                <w:szCs w:val="21"/>
                <w:lang w:eastAsia="zh-CN"/>
              </w:rPr>
              <w:t>质量</w:t>
            </w:r>
            <w:r>
              <w:rPr>
                <w:rFonts w:hint="eastAsia" w:asciiTheme="minorEastAsia" w:hAnsiTheme="minorEastAsia" w:eastAsiaTheme="minorEastAsia" w:cstheme="minorEastAsia"/>
                <w:sz w:val="21"/>
                <w:szCs w:val="21"/>
              </w:rPr>
              <w:t>管理体系有关的相关方</w:t>
            </w:r>
            <w:bookmarkEnd w:id="1"/>
            <w:bookmarkEnd w:id="2"/>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val="0"/>
              <w:autoSpaceDN w:val="0"/>
              <w:bidi w:val="0"/>
              <w:adjustRightIn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公司的相关方包括：顾客、员工、银行、外部供应商、雇员及其他为组织工作者、法律法规及监管机关、非政府组织等。</w:t>
            </w:r>
          </w:p>
          <w:p>
            <w:pPr>
              <w:keepNext w:val="0"/>
              <w:keepLines w:val="0"/>
              <w:pageBreakBefore w:val="0"/>
              <w:widowControl w:val="0"/>
              <w:tabs>
                <w:tab w:val="left" w:pos="709"/>
              </w:tabs>
              <w:kinsoku/>
              <w:wordWrap/>
              <w:overflowPunct/>
              <w:topLinePunct w:val="0"/>
              <w:autoSpaceDE/>
              <w:autoSpaceDN/>
              <w:bidi w:val="0"/>
              <w:adjustRightInd/>
              <w:snapToGrid/>
              <w:spacing w:line="240" w:lineRule="auto"/>
              <w:ind w:right="57"/>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公司对这些相关方及其要求的相关信息进行监视和评审，理解和持续满足相关方的需求和期望。</w:t>
            </w:r>
          </w:p>
        </w:tc>
        <w:tc>
          <w:tcPr>
            <w:tcW w:w="1585" w:type="dxa"/>
          </w:tcPr>
          <w:p>
            <w:pPr>
              <w:keepNext w:val="0"/>
              <w:keepLines w:val="0"/>
              <w:pageBreakBefore w:val="0"/>
              <w:widowControl w:val="0"/>
              <w:kinsoku/>
              <w:wordWrap/>
              <w:overflowPunct/>
              <w:topLinePunct w:val="0"/>
              <w:bidi w:val="0"/>
              <w:spacing w:after="0" w:line="240" w:lineRule="auto"/>
              <w:textAlignment w:val="auto"/>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rPr>
              <w:t>确定质量管理体系的范围</w:t>
            </w:r>
          </w:p>
        </w:tc>
        <w:tc>
          <w:tcPr>
            <w:tcW w:w="9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rPr>
              <w:t>Q4.3</w:t>
            </w:r>
          </w:p>
        </w:tc>
        <w:tc>
          <w:tcPr>
            <w:tcW w:w="10004" w:type="dxa"/>
            <w:vAlign w:val="center"/>
          </w:tcPr>
          <w:p>
            <w:pPr>
              <w:keepNext w:val="0"/>
              <w:keepLines w:val="0"/>
              <w:pageBreakBefore w:val="0"/>
              <w:widowControl w:val="0"/>
              <w:kinsoku/>
              <w:wordWrap/>
              <w:overflowPunct/>
              <w:topLinePunct w:val="0"/>
              <w:bidi w:val="0"/>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公司管理体系范围为：</w:t>
            </w:r>
          </w:p>
          <w:p>
            <w:pPr>
              <w:keepNext w:val="0"/>
              <w:keepLines w:val="0"/>
              <w:pageBreakBefore w:val="0"/>
              <w:widowControl w:val="0"/>
              <w:kinsoku/>
              <w:wordWrap/>
              <w:overflowPunct/>
              <w:topLinePunct w:val="0"/>
              <w:autoSpaceDE w:val="0"/>
              <w:autoSpaceDN w:val="0"/>
              <w:bidi w:val="0"/>
              <w:adjustRightIn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Q：射频前端集成电路测试机的研发、生产</w:t>
            </w:r>
          </w:p>
          <w:p>
            <w:pPr>
              <w:keepNext w:val="0"/>
              <w:keepLines w:val="0"/>
              <w:pageBreakBefore w:val="0"/>
              <w:widowControl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无</w:t>
            </w:r>
            <w:r>
              <w:rPr>
                <w:rFonts w:hint="eastAsia" w:asciiTheme="minorEastAsia" w:hAnsiTheme="minorEastAsia" w:eastAsiaTheme="minorEastAsia" w:cstheme="minorEastAsia"/>
                <w:sz w:val="21"/>
                <w:szCs w:val="21"/>
              </w:rPr>
              <w:t>不适用条款。</w:t>
            </w:r>
          </w:p>
          <w:p>
            <w:pPr>
              <w:keepNext w:val="0"/>
              <w:keepLines w:val="0"/>
              <w:pageBreakBefore w:val="0"/>
              <w:widowControl w:val="0"/>
              <w:tabs>
                <w:tab w:val="left" w:pos="709"/>
              </w:tabs>
              <w:kinsoku/>
              <w:wordWrap/>
              <w:overflowPunct/>
              <w:topLinePunct w:val="0"/>
              <w:autoSpaceDE/>
              <w:autoSpaceDN/>
              <w:bidi w:val="0"/>
              <w:adjustRightInd/>
              <w:snapToGrid/>
              <w:spacing w:line="240" w:lineRule="auto"/>
              <w:ind w:right="57"/>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自上次审核以来，未发生变化。</w:t>
            </w:r>
          </w:p>
        </w:tc>
        <w:tc>
          <w:tcPr>
            <w:tcW w:w="1585" w:type="dxa"/>
          </w:tcPr>
          <w:p>
            <w:pPr>
              <w:keepNext w:val="0"/>
              <w:keepLines w:val="0"/>
              <w:pageBreakBefore w:val="0"/>
              <w:widowControl w:val="0"/>
              <w:kinsoku/>
              <w:wordWrap/>
              <w:overflowPunct/>
              <w:topLinePunct w:val="0"/>
              <w:bidi w:val="0"/>
              <w:spacing w:after="0" w:line="240" w:lineRule="auto"/>
              <w:textAlignment w:val="auto"/>
              <w:rPr>
                <w:rFonts w:hint="default"/>
                <w:sz w:val="21"/>
                <w:szCs w:val="21"/>
                <w:lang w:val="en-US" w:eastAsia="zh-CN"/>
              </w:rPr>
            </w:pPr>
            <w:r>
              <w:rPr>
                <w:rFonts w:hint="eastAsia"/>
                <w:sz w:val="21"/>
                <w:szCs w:val="21"/>
                <w:lang w:val="en-US" w:eastAsia="zh-CN"/>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rPr>
              <w:t>质量管理体系及其过程</w:t>
            </w:r>
          </w:p>
        </w:tc>
        <w:tc>
          <w:tcPr>
            <w:tcW w:w="9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rPr>
              <w:t xml:space="preserve">Q4.4 </w:t>
            </w:r>
          </w:p>
        </w:tc>
        <w:tc>
          <w:tcPr>
            <w:tcW w:w="10004" w:type="dxa"/>
            <w:vAlign w:val="center"/>
          </w:tcPr>
          <w:p>
            <w:pPr>
              <w:keepNext w:val="0"/>
              <w:keepLines w:val="0"/>
              <w:pageBreakBefore w:val="0"/>
              <w:widowControl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该公司据自身的实际情况和标准的要求组织人员编制了管理手册、作业文件和记录表格，制定了管理方针和管理目标。</w:t>
            </w:r>
          </w:p>
          <w:p>
            <w:pPr>
              <w:keepNext w:val="0"/>
              <w:keepLines w:val="0"/>
              <w:pageBreakBefore w:val="0"/>
              <w:widowControl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实施了管理体系，通过对过程检测结果进行分析管理体系得以不断改进。负责人说管理体系运行以来效果不错管理有了一定的提高。对管理目标完成情况进行统计分析，出示202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年管理目标分解及完成情况记录。</w:t>
            </w:r>
          </w:p>
          <w:p>
            <w:pPr>
              <w:keepNext w:val="0"/>
              <w:keepLines w:val="0"/>
              <w:pageBreakBefore w:val="0"/>
              <w:widowControl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与负责人</w:t>
            </w:r>
            <w:r>
              <w:rPr>
                <w:rFonts w:hint="eastAsia" w:asciiTheme="minorEastAsia" w:hAnsiTheme="minorEastAsia" w:eastAsiaTheme="minorEastAsia" w:cstheme="minorEastAsia"/>
                <w:sz w:val="21"/>
                <w:szCs w:val="21"/>
                <w:lang w:val="en-US" w:eastAsia="zh-CN"/>
              </w:rPr>
              <w:t>视频</w:t>
            </w:r>
            <w:r>
              <w:rPr>
                <w:rFonts w:hint="eastAsia" w:asciiTheme="minorEastAsia" w:hAnsiTheme="minorEastAsia" w:eastAsiaTheme="minorEastAsia" w:cstheme="minorEastAsia"/>
                <w:sz w:val="21"/>
                <w:szCs w:val="21"/>
              </w:rPr>
              <w:t>交流：部门确定了满足与管理体系有关的客户及相关方的要求。</w:t>
            </w:r>
          </w:p>
          <w:p>
            <w:pPr>
              <w:keepNext w:val="0"/>
              <w:keepLines w:val="0"/>
              <w:pageBreakBefore w:val="0"/>
              <w:widowControl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为能在公司范围内更好的应用质量/环境/职业健康安全管理体系及其过程方法，编制</w:t>
            </w:r>
            <w:r>
              <w:rPr>
                <w:rFonts w:hint="eastAsia" w:asciiTheme="minorEastAsia" w:hAnsiTheme="minorEastAsia" w:eastAsiaTheme="minorEastAsia" w:cstheme="minorEastAsia"/>
                <w:sz w:val="21"/>
                <w:szCs w:val="21"/>
                <w:lang w:val="en-US" w:eastAsia="zh-CN"/>
              </w:rPr>
              <w:t>有</w:t>
            </w:r>
            <w:r>
              <w:rPr>
                <w:rFonts w:hint="eastAsia" w:asciiTheme="minorEastAsia" w:hAnsiTheme="minorEastAsia" w:eastAsiaTheme="minorEastAsia" w:cstheme="minorEastAsia"/>
                <w:sz w:val="21"/>
                <w:szCs w:val="21"/>
              </w:rPr>
              <w:t>《管理手册》，作为公司质量管理的纲领性文件；编制</w:t>
            </w:r>
            <w:r>
              <w:rPr>
                <w:rFonts w:hint="eastAsia" w:asciiTheme="minorEastAsia" w:hAnsiTheme="minorEastAsia" w:eastAsiaTheme="minorEastAsia" w:cstheme="minorEastAsia"/>
                <w:sz w:val="21"/>
                <w:szCs w:val="21"/>
                <w:lang w:val="en-US" w:eastAsia="zh-CN"/>
              </w:rPr>
              <w:t>有</w:t>
            </w:r>
            <w:r>
              <w:rPr>
                <w:rFonts w:hint="eastAsia" w:asciiTheme="minorEastAsia" w:hAnsiTheme="minorEastAsia" w:eastAsiaTheme="minorEastAsia" w:cstheme="minorEastAsia"/>
                <w:sz w:val="21"/>
                <w:szCs w:val="21"/>
              </w:rPr>
              <w:t>《程序文件》，说明本公司内部质量/环境/职业健康安全体系运行的各过程及其之间的顺序和相互作用；编制各类支持性文件及记录表格等作为证明过程运行的证据。</w:t>
            </w:r>
          </w:p>
          <w:p>
            <w:pPr>
              <w:keepNext w:val="0"/>
              <w:keepLines w:val="0"/>
              <w:pageBreakBefore w:val="0"/>
              <w:widowControl w:val="0"/>
              <w:tabs>
                <w:tab w:val="left" w:pos="709"/>
              </w:tabs>
              <w:kinsoku/>
              <w:wordWrap/>
              <w:overflowPunct/>
              <w:topLinePunct w:val="0"/>
              <w:autoSpaceDE/>
              <w:autoSpaceDN/>
              <w:bidi w:val="0"/>
              <w:adjustRightInd/>
              <w:snapToGrid/>
              <w:spacing w:line="240" w:lineRule="auto"/>
              <w:ind w:right="57"/>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自上次审核以来，未发生变化。</w:t>
            </w:r>
          </w:p>
        </w:tc>
        <w:tc>
          <w:tcPr>
            <w:tcW w:w="1585" w:type="dxa"/>
          </w:tcPr>
          <w:p>
            <w:pPr>
              <w:keepNext w:val="0"/>
              <w:keepLines w:val="0"/>
              <w:pageBreakBefore w:val="0"/>
              <w:widowControl w:val="0"/>
              <w:kinsoku/>
              <w:wordWrap/>
              <w:overflowPunct/>
              <w:topLinePunct w:val="0"/>
              <w:bidi w:val="0"/>
              <w:spacing w:after="0" w:line="240" w:lineRule="auto"/>
              <w:textAlignment w:val="auto"/>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rPr>
              <w:t>领导作用与承诺</w:t>
            </w:r>
          </w:p>
        </w:tc>
        <w:tc>
          <w:tcPr>
            <w:tcW w:w="9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rPr>
              <w:t>Q5.1  </w:t>
            </w:r>
          </w:p>
        </w:tc>
        <w:tc>
          <w:tcPr>
            <w:tcW w:w="10004" w:type="dxa"/>
            <w:vAlign w:val="center"/>
          </w:tcPr>
          <w:p>
            <w:pPr>
              <w:keepNext w:val="0"/>
              <w:keepLines w:val="0"/>
              <w:pageBreakBefore w:val="0"/>
              <w:widowControl w:val="0"/>
              <w:tabs>
                <w:tab w:val="left" w:pos="709"/>
              </w:tabs>
              <w:kinsoku/>
              <w:wordWrap/>
              <w:overflowPunct/>
              <w:topLinePunct w:val="0"/>
              <w:autoSpaceDE/>
              <w:autoSpaceDN/>
              <w:bidi w:val="0"/>
              <w:adjustRightInd/>
              <w:snapToGrid/>
              <w:spacing w:line="240" w:lineRule="auto"/>
              <w:ind w:right="57"/>
              <w:jc w:val="left"/>
              <w:textAlignment w:val="auto"/>
              <w:rPr>
                <w:rFonts w:hint="eastAsia"/>
                <w:sz w:val="21"/>
                <w:szCs w:val="21"/>
              </w:rPr>
            </w:pPr>
            <w:r>
              <w:rPr>
                <w:rFonts w:hint="eastAsia"/>
                <w:sz w:val="21"/>
                <w:szCs w:val="21"/>
              </w:rPr>
              <w:t>企业最高管理者对管理体系的领导作用和承诺主要通过以下方面体现：</w:t>
            </w:r>
          </w:p>
          <w:p>
            <w:pPr>
              <w:keepNext w:val="0"/>
              <w:keepLines w:val="0"/>
              <w:pageBreakBefore w:val="0"/>
              <w:widowControl w:val="0"/>
              <w:kinsoku/>
              <w:wordWrap/>
              <w:overflowPunct/>
              <w:topLinePunct w:val="0"/>
              <w:bidi w:val="0"/>
              <w:spacing w:line="240" w:lineRule="auto"/>
              <w:ind w:firstLine="420"/>
              <w:textAlignment w:val="auto"/>
              <w:rPr>
                <w:sz w:val="21"/>
                <w:szCs w:val="21"/>
              </w:rPr>
            </w:pPr>
            <w:r>
              <w:rPr>
                <w:sz w:val="21"/>
                <w:szCs w:val="21"/>
              </w:rPr>
              <w:t>a</w:t>
            </w:r>
            <w:r>
              <w:rPr>
                <w:rFonts w:hint="eastAsia"/>
                <w:sz w:val="21"/>
                <w:szCs w:val="21"/>
              </w:rPr>
              <w:t>）总经理领导策划、实施、保持、持续改进管理体系，确保管理体系实现期望的结果，对管理体系的有效性承担责任，对公司的产品质量负总责，尽到公司对顾客、员工、社会应有的责任和义务，不断提升管理体系的绩效，确保公司可持续发展；</w:t>
            </w:r>
          </w:p>
          <w:p>
            <w:pPr>
              <w:keepNext w:val="0"/>
              <w:keepLines w:val="0"/>
              <w:pageBreakBefore w:val="0"/>
              <w:widowControl w:val="0"/>
              <w:kinsoku/>
              <w:wordWrap/>
              <w:overflowPunct/>
              <w:topLinePunct w:val="0"/>
              <w:bidi w:val="0"/>
              <w:spacing w:line="240" w:lineRule="auto"/>
              <w:ind w:firstLine="420"/>
              <w:textAlignment w:val="auto"/>
              <w:rPr>
                <w:sz w:val="21"/>
                <w:szCs w:val="21"/>
              </w:rPr>
            </w:pPr>
            <w:r>
              <w:rPr>
                <w:sz w:val="21"/>
                <w:szCs w:val="21"/>
              </w:rPr>
              <w:t>b</w:t>
            </w:r>
            <w:r>
              <w:rPr>
                <w:rFonts w:hint="eastAsia"/>
                <w:sz w:val="21"/>
                <w:szCs w:val="21"/>
              </w:rPr>
              <w:t>）确保制定管理体系的质量方针和质量目标</w:t>
            </w:r>
            <w:r>
              <w:rPr>
                <w:sz w:val="21"/>
                <w:szCs w:val="21"/>
              </w:rPr>
              <w:t>,</w:t>
            </w:r>
            <w:r>
              <w:rPr>
                <w:rFonts w:hint="eastAsia"/>
                <w:sz w:val="21"/>
                <w:szCs w:val="21"/>
              </w:rPr>
              <w:t>并与公司的战略方向相一致，定期组织管理评审，确保管理体系的充分性、适宜性和有效性并支持公司的战略方向；</w:t>
            </w:r>
          </w:p>
          <w:p>
            <w:pPr>
              <w:keepNext w:val="0"/>
              <w:keepLines w:val="0"/>
              <w:pageBreakBefore w:val="0"/>
              <w:widowControl w:val="0"/>
              <w:kinsoku/>
              <w:wordWrap/>
              <w:overflowPunct/>
              <w:topLinePunct w:val="0"/>
              <w:bidi w:val="0"/>
              <w:spacing w:line="240" w:lineRule="auto"/>
              <w:ind w:firstLine="420"/>
              <w:textAlignment w:val="auto"/>
              <w:rPr>
                <w:sz w:val="21"/>
                <w:szCs w:val="21"/>
              </w:rPr>
            </w:pPr>
            <w:r>
              <w:rPr>
                <w:sz w:val="21"/>
                <w:szCs w:val="21"/>
              </w:rPr>
              <w:t>c</w:t>
            </w:r>
            <w:r>
              <w:rPr>
                <w:rFonts w:hint="eastAsia"/>
                <w:sz w:val="21"/>
                <w:szCs w:val="21"/>
              </w:rPr>
              <w:t>）确保管理体系要求融入公司的业务过程，确保管理体系的要求，在公司各业务过程中能够得到全面的贯彻实施；</w:t>
            </w:r>
          </w:p>
          <w:p>
            <w:pPr>
              <w:keepNext w:val="0"/>
              <w:keepLines w:val="0"/>
              <w:pageBreakBefore w:val="0"/>
              <w:widowControl w:val="0"/>
              <w:kinsoku/>
              <w:wordWrap/>
              <w:overflowPunct/>
              <w:topLinePunct w:val="0"/>
              <w:bidi w:val="0"/>
              <w:spacing w:line="240" w:lineRule="auto"/>
              <w:ind w:firstLine="420"/>
              <w:textAlignment w:val="auto"/>
              <w:rPr>
                <w:sz w:val="21"/>
                <w:szCs w:val="21"/>
              </w:rPr>
            </w:pPr>
            <w:r>
              <w:rPr>
                <w:sz w:val="21"/>
                <w:szCs w:val="21"/>
              </w:rPr>
              <w:t>d</w:t>
            </w:r>
            <w:r>
              <w:rPr>
                <w:rFonts w:hint="eastAsia"/>
                <w:sz w:val="21"/>
                <w:szCs w:val="21"/>
              </w:rPr>
              <w:t>）强化采用过程方法，基于风险思维，运用</w:t>
            </w:r>
            <w:r>
              <w:rPr>
                <w:sz w:val="21"/>
                <w:szCs w:val="21"/>
              </w:rPr>
              <w:t>PDCA</w:t>
            </w:r>
            <w:r>
              <w:rPr>
                <w:rFonts w:hint="eastAsia"/>
                <w:sz w:val="21"/>
                <w:szCs w:val="21"/>
              </w:rPr>
              <w:t>三大核心理念，促进过程方法和基于风险的思维在公司中的全面应用；</w:t>
            </w:r>
          </w:p>
          <w:p>
            <w:pPr>
              <w:keepNext w:val="0"/>
              <w:keepLines w:val="0"/>
              <w:pageBreakBefore w:val="0"/>
              <w:widowControl w:val="0"/>
              <w:kinsoku/>
              <w:wordWrap/>
              <w:overflowPunct/>
              <w:topLinePunct w:val="0"/>
              <w:bidi w:val="0"/>
              <w:spacing w:line="240" w:lineRule="auto"/>
              <w:ind w:firstLine="420"/>
              <w:textAlignment w:val="auto"/>
              <w:rPr>
                <w:sz w:val="21"/>
                <w:szCs w:val="21"/>
              </w:rPr>
            </w:pPr>
            <w:r>
              <w:rPr>
                <w:sz w:val="21"/>
                <w:szCs w:val="21"/>
              </w:rPr>
              <w:t>e</w:t>
            </w:r>
            <w:r>
              <w:rPr>
                <w:rFonts w:hint="eastAsia"/>
                <w:sz w:val="21"/>
                <w:szCs w:val="21"/>
              </w:rPr>
              <w:t>）确定并配备充分的人员、资金、基础设施、过程环境、监视测量资源、知识等方面的资源，为建立、实施、保持、持续改进管理体系奠定基础；</w:t>
            </w:r>
          </w:p>
          <w:p>
            <w:pPr>
              <w:keepNext w:val="0"/>
              <w:keepLines w:val="0"/>
              <w:pageBreakBefore w:val="0"/>
              <w:widowControl w:val="0"/>
              <w:kinsoku/>
              <w:wordWrap/>
              <w:overflowPunct/>
              <w:topLinePunct w:val="0"/>
              <w:bidi w:val="0"/>
              <w:spacing w:line="240" w:lineRule="auto"/>
              <w:ind w:firstLine="420"/>
              <w:textAlignment w:val="auto"/>
              <w:rPr>
                <w:sz w:val="21"/>
                <w:szCs w:val="21"/>
              </w:rPr>
            </w:pPr>
            <w:r>
              <w:rPr>
                <w:sz w:val="21"/>
                <w:szCs w:val="21"/>
              </w:rPr>
              <w:t>f</w:t>
            </w:r>
            <w:r>
              <w:rPr>
                <w:rFonts w:hint="eastAsia"/>
                <w:sz w:val="21"/>
                <w:szCs w:val="21"/>
              </w:rPr>
              <w:t>）建立内部沟通机制，通过培训、电话、书面、邮件等方式，在公司范围内沟通有效的管理体系和符合管理体系要求的重要性；</w:t>
            </w:r>
          </w:p>
          <w:p>
            <w:pPr>
              <w:keepNext w:val="0"/>
              <w:keepLines w:val="0"/>
              <w:pageBreakBefore w:val="0"/>
              <w:widowControl w:val="0"/>
              <w:kinsoku/>
              <w:wordWrap/>
              <w:overflowPunct/>
              <w:topLinePunct w:val="0"/>
              <w:bidi w:val="0"/>
              <w:spacing w:line="240" w:lineRule="auto"/>
              <w:ind w:firstLine="420"/>
              <w:textAlignment w:val="auto"/>
              <w:rPr>
                <w:sz w:val="21"/>
                <w:szCs w:val="21"/>
              </w:rPr>
            </w:pPr>
            <w:r>
              <w:rPr>
                <w:sz w:val="21"/>
                <w:szCs w:val="21"/>
              </w:rPr>
              <w:t>g</w:t>
            </w:r>
            <w:r>
              <w:rPr>
                <w:rFonts w:hint="eastAsia"/>
                <w:sz w:val="21"/>
                <w:szCs w:val="21"/>
              </w:rPr>
              <w:t>）确保管理体系实现其预期结果；</w:t>
            </w:r>
          </w:p>
          <w:p>
            <w:pPr>
              <w:keepNext w:val="0"/>
              <w:keepLines w:val="0"/>
              <w:pageBreakBefore w:val="0"/>
              <w:widowControl w:val="0"/>
              <w:kinsoku/>
              <w:wordWrap/>
              <w:overflowPunct/>
              <w:topLinePunct w:val="0"/>
              <w:bidi w:val="0"/>
              <w:spacing w:line="240" w:lineRule="auto"/>
              <w:ind w:firstLine="420"/>
              <w:textAlignment w:val="auto"/>
              <w:rPr>
                <w:sz w:val="21"/>
                <w:szCs w:val="21"/>
              </w:rPr>
            </w:pPr>
            <w:r>
              <w:rPr>
                <w:sz w:val="21"/>
                <w:szCs w:val="21"/>
              </w:rPr>
              <w:t>h</w:t>
            </w:r>
            <w:r>
              <w:rPr>
                <w:rFonts w:hint="eastAsia"/>
                <w:sz w:val="21"/>
                <w:szCs w:val="21"/>
              </w:rPr>
              <w:t>）建立公司体系文化，形成良好体系文化氛围，使人员积极参与到体系的不断改进过程中；促进、指导和支持人员为管理体系的有效性做出贡献；</w:t>
            </w:r>
          </w:p>
          <w:p>
            <w:pPr>
              <w:keepNext w:val="0"/>
              <w:keepLines w:val="0"/>
              <w:pageBreakBefore w:val="0"/>
              <w:widowControl w:val="0"/>
              <w:kinsoku/>
              <w:wordWrap/>
              <w:overflowPunct/>
              <w:topLinePunct w:val="0"/>
              <w:bidi w:val="0"/>
              <w:spacing w:line="240" w:lineRule="auto"/>
              <w:ind w:firstLine="420"/>
              <w:textAlignment w:val="auto"/>
              <w:rPr>
                <w:sz w:val="21"/>
                <w:szCs w:val="21"/>
              </w:rPr>
            </w:pPr>
            <w:r>
              <w:rPr>
                <w:sz w:val="21"/>
                <w:szCs w:val="21"/>
              </w:rPr>
              <w:t>i</w:t>
            </w:r>
            <w:r>
              <w:rPr>
                <w:rFonts w:hint="eastAsia"/>
                <w:sz w:val="21"/>
                <w:szCs w:val="21"/>
              </w:rPr>
              <w:t>）推动改进，包括过程、产品和服务、管理体系方面的改进；</w:t>
            </w:r>
          </w:p>
          <w:p>
            <w:pPr>
              <w:keepNext w:val="0"/>
              <w:keepLines w:val="0"/>
              <w:pageBreakBefore w:val="0"/>
              <w:widowControl w:val="0"/>
              <w:kinsoku/>
              <w:wordWrap/>
              <w:overflowPunct/>
              <w:topLinePunct w:val="0"/>
              <w:bidi w:val="0"/>
              <w:spacing w:line="240" w:lineRule="auto"/>
              <w:ind w:firstLine="420"/>
              <w:textAlignment w:val="auto"/>
              <w:rPr>
                <w:rFonts w:hint="eastAsia"/>
                <w:sz w:val="21"/>
                <w:szCs w:val="21"/>
              </w:rPr>
            </w:pPr>
            <w:r>
              <w:rPr>
                <w:sz w:val="21"/>
                <w:szCs w:val="21"/>
              </w:rPr>
              <w:t>j</w:t>
            </w:r>
            <w:r>
              <w:rPr>
                <w:rFonts w:hint="eastAsia"/>
                <w:sz w:val="21"/>
                <w:szCs w:val="21"/>
              </w:rPr>
              <w:t>）支持公司各级相关管理人等，在其职责范围内发挥领导作用。</w:t>
            </w:r>
          </w:p>
          <w:p>
            <w:pPr>
              <w:pStyle w:val="9"/>
              <w:keepNext w:val="0"/>
              <w:keepLines w:val="0"/>
              <w:pageBreakBefore w:val="0"/>
              <w:widowControl w:val="0"/>
              <w:kinsoku/>
              <w:wordWrap/>
              <w:overflowPunct/>
              <w:topLinePunct w:val="0"/>
              <w:bidi w:val="0"/>
              <w:spacing w:line="240" w:lineRule="auto"/>
              <w:textAlignment w:val="auto"/>
              <w:rPr>
                <w:rFonts w:hint="eastAsia"/>
                <w:sz w:val="21"/>
                <w:szCs w:val="21"/>
                <w:lang w:val="en-US" w:eastAsia="zh-CN"/>
              </w:rPr>
            </w:pPr>
          </w:p>
        </w:tc>
        <w:tc>
          <w:tcPr>
            <w:tcW w:w="1585" w:type="dxa"/>
          </w:tcPr>
          <w:p>
            <w:pPr>
              <w:keepNext w:val="0"/>
              <w:keepLines w:val="0"/>
              <w:pageBreakBefore w:val="0"/>
              <w:widowControl w:val="0"/>
              <w:kinsoku/>
              <w:wordWrap/>
              <w:overflowPunct/>
              <w:topLinePunct w:val="0"/>
              <w:bidi w:val="0"/>
              <w:spacing w:after="0" w:line="240" w:lineRule="auto"/>
              <w:textAlignment w:val="auto"/>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rPr>
              <w:t>方针</w:t>
            </w:r>
          </w:p>
        </w:tc>
        <w:tc>
          <w:tcPr>
            <w:tcW w:w="9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rPr>
              <w:t>Q5.2  </w:t>
            </w:r>
          </w:p>
        </w:tc>
        <w:tc>
          <w:tcPr>
            <w:tcW w:w="10004" w:type="dxa"/>
            <w:vAlign w:val="center"/>
          </w:tcPr>
          <w:p>
            <w:pPr>
              <w:pStyle w:val="24"/>
              <w:keepNext w:val="0"/>
              <w:keepLines w:val="0"/>
              <w:pageBreakBefore w:val="0"/>
              <w:widowControl w:val="0"/>
              <w:kinsoku/>
              <w:wordWrap/>
              <w:overflowPunct/>
              <w:topLinePunct w:val="0"/>
              <w:bidi w:val="0"/>
              <w:snapToGrid w:val="0"/>
              <w:spacing w:line="240" w:lineRule="auto"/>
              <w:textAlignment w:val="auto"/>
              <w:rPr>
                <w:b w:val="0"/>
                <w:bCs w:val="0"/>
                <w:sz w:val="21"/>
                <w:szCs w:val="21"/>
              </w:rPr>
            </w:pPr>
            <w:r>
              <w:rPr>
                <w:rFonts w:hint="eastAsia"/>
                <w:sz w:val="21"/>
                <w:szCs w:val="21"/>
                <w:lang w:eastAsia="zh-CN"/>
              </w:rPr>
              <w:t>－－</w:t>
            </w:r>
            <w:r>
              <w:rPr>
                <w:rFonts w:hint="eastAsia"/>
                <w:sz w:val="21"/>
                <w:szCs w:val="21"/>
              </w:rPr>
              <w:t>企业策划并制定了企业的</w:t>
            </w:r>
            <w:r>
              <w:rPr>
                <w:rFonts w:hint="eastAsia"/>
                <w:sz w:val="21"/>
                <w:szCs w:val="21"/>
                <w:lang w:eastAsia="zh-CN"/>
              </w:rPr>
              <w:t>质量</w:t>
            </w:r>
            <w:r>
              <w:rPr>
                <w:rFonts w:hint="eastAsia"/>
                <w:sz w:val="21"/>
                <w:szCs w:val="21"/>
              </w:rPr>
              <w:t>方针</w:t>
            </w:r>
            <w:r>
              <w:rPr>
                <w:rFonts w:hint="eastAsia"/>
                <w:b w:val="0"/>
                <w:bCs w:val="0"/>
                <w:sz w:val="21"/>
                <w:szCs w:val="21"/>
              </w:rPr>
              <w:t>：树立质量意识，运用系统管理，实施品牌战略，确保客户满意。</w:t>
            </w:r>
          </w:p>
          <w:p>
            <w:pPr>
              <w:keepNext w:val="0"/>
              <w:keepLines w:val="0"/>
              <w:pageBreakBefore w:val="0"/>
              <w:widowControl w:val="0"/>
              <w:kinsoku/>
              <w:wordWrap/>
              <w:overflowPunct/>
              <w:topLinePunct w:val="0"/>
              <w:bidi w:val="0"/>
              <w:spacing w:line="240" w:lineRule="auto"/>
              <w:jc w:val="both"/>
              <w:textAlignment w:val="auto"/>
              <w:rPr>
                <w:sz w:val="21"/>
                <w:szCs w:val="21"/>
              </w:rPr>
            </w:pPr>
            <w:r>
              <w:rPr>
                <w:rFonts w:hint="eastAsia"/>
                <w:sz w:val="21"/>
                <w:szCs w:val="21"/>
              </w:rPr>
              <w:t>方针在管理手册中予以规定，经总经理批准实施。</w:t>
            </w:r>
          </w:p>
          <w:p>
            <w:pPr>
              <w:keepNext w:val="0"/>
              <w:keepLines w:val="0"/>
              <w:pageBreakBefore w:val="0"/>
              <w:widowControl w:val="0"/>
              <w:kinsoku/>
              <w:wordWrap/>
              <w:overflowPunct/>
              <w:topLinePunct w:val="0"/>
              <w:bidi w:val="0"/>
              <w:spacing w:line="240" w:lineRule="auto"/>
              <w:jc w:val="both"/>
              <w:textAlignment w:val="auto"/>
              <w:rPr>
                <w:sz w:val="21"/>
                <w:szCs w:val="21"/>
              </w:rPr>
            </w:pPr>
            <w:r>
              <w:rPr>
                <w:rFonts w:hint="eastAsia"/>
                <w:sz w:val="21"/>
                <w:szCs w:val="21"/>
                <w:lang w:eastAsia="zh-CN"/>
              </w:rPr>
              <w:t>－－</w:t>
            </w:r>
            <w:r>
              <w:rPr>
                <w:rFonts w:hint="eastAsia"/>
                <w:sz w:val="21"/>
                <w:szCs w:val="21"/>
              </w:rPr>
              <w:t>公司通过运行</w:t>
            </w:r>
            <w:r>
              <w:rPr>
                <w:rFonts w:hint="eastAsia"/>
                <w:sz w:val="21"/>
                <w:szCs w:val="21"/>
                <w:lang w:val="en-US" w:eastAsia="zh-CN"/>
              </w:rPr>
              <w:t>质量管理</w:t>
            </w:r>
            <w:r>
              <w:rPr>
                <w:rFonts w:hint="eastAsia"/>
                <w:sz w:val="21"/>
                <w:szCs w:val="21"/>
              </w:rPr>
              <w:t>体系，证明公司的</w:t>
            </w:r>
            <w:r>
              <w:rPr>
                <w:rFonts w:hint="eastAsia"/>
                <w:sz w:val="21"/>
                <w:szCs w:val="21"/>
                <w:lang w:eastAsia="zh-CN"/>
              </w:rPr>
              <w:t>质量</w:t>
            </w:r>
            <w:r>
              <w:rPr>
                <w:rFonts w:hint="eastAsia"/>
                <w:sz w:val="21"/>
                <w:szCs w:val="21"/>
              </w:rPr>
              <w:t>方针是适宜的。公司方针与公司的宗旨相适宜，符合公司的活动、产品或服务的性质、规模，满足顾客的要求，对持续改进也做出承诺。</w:t>
            </w:r>
          </w:p>
          <w:p>
            <w:pPr>
              <w:keepNext w:val="0"/>
              <w:keepLines w:val="0"/>
              <w:pageBreakBefore w:val="0"/>
              <w:widowControl w:val="0"/>
              <w:kinsoku/>
              <w:wordWrap/>
              <w:overflowPunct/>
              <w:topLinePunct w:val="0"/>
              <w:bidi w:val="0"/>
              <w:spacing w:line="240" w:lineRule="auto"/>
              <w:jc w:val="both"/>
              <w:textAlignment w:val="auto"/>
              <w:rPr>
                <w:sz w:val="21"/>
                <w:szCs w:val="21"/>
              </w:rPr>
            </w:pPr>
            <w:r>
              <w:rPr>
                <w:rFonts w:hint="eastAsia"/>
                <w:sz w:val="21"/>
                <w:szCs w:val="21"/>
                <w:lang w:eastAsia="zh-CN"/>
              </w:rPr>
              <w:t>－－</w:t>
            </w:r>
            <w:r>
              <w:rPr>
                <w:rFonts w:hint="eastAsia"/>
                <w:sz w:val="21"/>
                <w:szCs w:val="21"/>
              </w:rPr>
              <w:t>企业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p>
            <w:pPr>
              <w:pStyle w:val="9"/>
              <w:keepNext w:val="0"/>
              <w:keepLines w:val="0"/>
              <w:pageBreakBefore w:val="0"/>
              <w:widowControl w:val="0"/>
              <w:kinsoku/>
              <w:wordWrap/>
              <w:overflowPunct/>
              <w:topLinePunct w:val="0"/>
              <w:bidi w:val="0"/>
              <w:spacing w:line="240" w:lineRule="auto"/>
              <w:textAlignment w:val="auto"/>
              <w:rPr>
                <w:rFonts w:hint="eastAsia"/>
                <w:sz w:val="21"/>
                <w:szCs w:val="21"/>
                <w:lang w:val="en-US" w:eastAsia="zh-CN"/>
              </w:rPr>
            </w:pPr>
            <w:r>
              <w:rPr>
                <w:rFonts w:hint="eastAsia"/>
                <w:sz w:val="21"/>
                <w:szCs w:val="21"/>
              </w:rPr>
              <w:t>基本无变更。</w:t>
            </w:r>
          </w:p>
        </w:tc>
        <w:tc>
          <w:tcPr>
            <w:tcW w:w="1585" w:type="dxa"/>
          </w:tcPr>
          <w:p>
            <w:pPr>
              <w:keepNext w:val="0"/>
              <w:keepLines w:val="0"/>
              <w:pageBreakBefore w:val="0"/>
              <w:widowControl w:val="0"/>
              <w:kinsoku/>
              <w:wordWrap/>
              <w:overflowPunct/>
              <w:topLinePunct w:val="0"/>
              <w:bidi w:val="0"/>
              <w:spacing w:after="0" w:line="240" w:lineRule="auto"/>
              <w:textAlignment w:val="auto"/>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rPr>
              <w:t>组织的岗位、职责和权限</w:t>
            </w:r>
          </w:p>
        </w:tc>
        <w:tc>
          <w:tcPr>
            <w:tcW w:w="9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rPr>
              <w:t>Q5.3</w:t>
            </w:r>
          </w:p>
        </w:tc>
        <w:tc>
          <w:tcPr>
            <w:tcW w:w="10004" w:type="dxa"/>
            <w:vAlign w:val="center"/>
          </w:tcPr>
          <w:p>
            <w:pPr>
              <w:pStyle w:val="9"/>
              <w:keepNext w:val="0"/>
              <w:keepLines w:val="0"/>
              <w:pageBreakBefore w:val="0"/>
              <w:widowControl w:val="0"/>
              <w:kinsoku/>
              <w:wordWrap/>
              <w:overflowPunct/>
              <w:topLinePunct w:val="0"/>
              <w:bidi w:val="0"/>
              <w:spacing w:line="240" w:lineRule="auto"/>
              <w:textAlignment w:val="auto"/>
              <w:rPr>
                <w:rFonts w:hint="eastAsia"/>
                <w:sz w:val="21"/>
                <w:szCs w:val="21"/>
              </w:rPr>
            </w:pPr>
            <w:r>
              <w:rPr>
                <w:rFonts w:hint="eastAsia"/>
                <w:sz w:val="21"/>
                <w:szCs w:val="21"/>
              </w:rPr>
              <w:t>企业在策划和建立管理体系时，成立了组织机构：设置了</w:t>
            </w:r>
            <w:r>
              <w:rPr>
                <w:rFonts w:hint="eastAsia"/>
                <w:sz w:val="21"/>
                <w:szCs w:val="21"/>
                <w:lang w:eastAsia="zh-CN"/>
              </w:rPr>
              <w:t>行政部</w:t>
            </w:r>
            <w:r>
              <w:rPr>
                <w:rFonts w:hint="eastAsia"/>
                <w:sz w:val="21"/>
                <w:szCs w:val="21"/>
              </w:rPr>
              <w:t>、</w:t>
            </w:r>
            <w:r>
              <w:rPr>
                <w:rFonts w:hint="eastAsia"/>
                <w:sz w:val="21"/>
                <w:szCs w:val="21"/>
                <w:lang w:val="en-US" w:eastAsia="zh-CN"/>
              </w:rPr>
              <w:t>销售</w:t>
            </w:r>
            <w:r>
              <w:rPr>
                <w:rFonts w:hint="eastAsia"/>
                <w:sz w:val="21"/>
                <w:szCs w:val="21"/>
              </w:rPr>
              <w:t>部</w:t>
            </w:r>
            <w:r>
              <w:rPr>
                <w:rFonts w:hint="eastAsia"/>
                <w:sz w:val="21"/>
                <w:szCs w:val="21"/>
                <w:lang w:eastAsia="zh-CN"/>
              </w:rPr>
              <w:t>、</w:t>
            </w:r>
            <w:r>
              <w:rPr>
                <w:rFonts w:hint="eastAsia"/>
                <w:sz w:val="21"/>
                <w:szCs w:val="21"/>
                <w:lang w:val="en-US" w:eastAsia="zh-CN"/>
              </w:rPr>
              <w:t>技术部</w:t>
            </w:r>
            <w:r>
              <w:rPr>
                <w:rFonts w:hint="eastAsia"/>
                <w:sz w:val="21"/>
                <w:szCs w:val="21"/>
              </w:rPr>
              <w:t>等部门，并对各部门的作用、职责、权限进行了划分，提供的管理手册中确定了组织机构图、职能分配表， 各部门作用、职责、权限界定基本清楚，并与实际情况基本相符。最高管理者负责岗位的设定、职责和权限的指派工作。并有通过文件、会议、培训等方式将职责、权限传达到组织相关部门及层次。审核发现组织的角色、职责和权限基本得到有效沟通和贯彻实施。</w:t>
            </w:r>
          </w:p>
        </w:tc>
        <w:tc>
          <w:tcPr>
            <w:tcW w:w="1585" w:type="dxa"/>
          </w:tcPr>
          <w:p>
            <w:pPr>
              <w:keepNext w:val="0"/>
              <w:keepLines w:val="0"/>
              <w:pageBreakBefore w:val="0"/>
              <w:widowControl w:val="0"/>
              <w:kinsoku/>
              <w:wordWrap/>
              <w:overflowPunct/>
              <w:topLinePunct w:val="0"/>
              <w:bidi w:val="0"/>
              <w:spacing w:after="0" w:line="240" w:lineRule="auto"/>
              <w:textAlignment w:val="auto"/>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color w:val="000000"/>
                <w:sz w:val="21"/>
                <w:szCs w:val="21"/>
              </w:rPr>
              <w:t>应对风险和机遇的措施</w:t>
            </w:r>
          </w:p>
        </w:tc>
        <w:tc>
          <w:tcPr>
            <w:tcW w:w="9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color w:val="000000"/>
                <w:sz w:val="21"/>
                <w:szCs w:val="21"/>
              </w:rPr>
              <w:t>Q6.1</w:t>
            </w:r>
          </w:p>
        </w:tc>
        <w:tc>
          <w:tcPr>
            <w:tcW w:w="10004" w:type="dxa"/>
            <w:vAlign w:val="center"/>
          </w:tcPr>
          <w:p>
            <w:pPr>
              <w:keepNext w:val="0"/>
              <w:keepLines w:val="0"/>
              <w:pageBreakBefore w:val="0"/>
              <w:widowControl w:val="0"/>
              <w:kinsoku/>
              <w:wordWrap/>
              <w:overflowPunct/>
              <w:topLinePunct w:val="0"/>
              <w:bidi w:val="0"/>
              <w:spacing w:line="240" w:lineRule="auto"/>
              <w:textAlignment w:val="auto"/>
              <w:rPr>
                <w:rFonts w:hint="eastAsia"/>
                <w:sz w:val="21"/>
                <w:szCs w:val="21"/>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企业识别了</w:t>
            </w:r>
            <w:r>
              <w:rPr>
                <w:rFonts w:hint="eastAsia" w:ascii="宋体" w:hAnsi="宋体" w:cs="宋体"/>
                <w:color w:val="000000"/>
                <w:sz w:val="21"/>
                <w:szCs w:val="21"/>
              </w:rPr>
              <w:t>法律、法规内容的变化</w:t>
            </w:r>
            <w:r>
              <w:rPr>
                <w:rFonts w:hint="eastAsia" w:ascii="宋体" w:hAnsi="宋体" w:cs="宋体"/>
                <w:color w:val="000000"/>
                <w:sz w:val="21"/>
                <w:szCs w:val="21"/>
                <w:lang w:eastAsia="zh-CN"/>
              </w:rPr>
              <w:t>、</w:t>
            </w:r>
            <w:r>
              <w:rPr>
                <w:rFonts w:hint="eastAsia" w:ascii="宋体" w:hAnsi="宋体" w:cs="宋体"/>
                <w:color w:val="000000"/>
                <w:sz w:val="21"/>
                <w:szCs w:val="21"/>
              </w:rPr>
              <w:t>行业标准的变化</w:t>
            </w:r>
            <w:r>
              <w:rPr>
                <w:rFonts w:hint="eastAsia" w:ascii="宋体" w:hAnsi="宋体" w:cs="宋体"/>
                <w:color w:val="000000"/>
                <w:sz w:val="21"/>
                <w:szCs w:val="21"/>
                <w:lang w:eastAsia="zh-CN"/>
              </w:rPr>
              <w:t>、</w:t>
            </w:r>
            <w:r>
              <w:rPr>
                <w:rFonts w:hint="eastAsia" w:ascii="宋体" w:hAnsi="宋体" w:cs="宋体"/>
                <w:color w:val="000000"/>
                <w:sz w:val="21"/>
                <w:szCs w:val="21"/>
              </w:rPr>
              <w:t>供应商的要求</w:t>
            </w:r>
            <w:r>
              <w:rPr>
                <w:rFonts w:hint="eastAsia" w:ascii="宋体" w:hAnsi="宋体" w:cs="宋体"/>
                <w:color w:val="000000"/>
                <w:sz w:val="21"/>
                <w:szCs w:val="21"/>
                <w:lang w:eastAsia="zh-CN"/>
              </w:rPr>
              <w:t>、</w:t>
            </w:r>
            <w:r>
              <w:rPr>
                <w:rFonts w:hint="eastAsia" w:ascii="宋体" w:hAnsi="宋体" w:cs="宋体"/>
                <w:color w:val="000000"/>
                <w:sz w:val="21"/>
                <w:szCs w:val="21"/>
              </w:rPr>
              <w:t>基础设备的能力和维护保养</w:t>
            </w:r>
            <w:r>
              <w:rPr>
                <w:rFonts w:hint="eastAsia" w:ascii="宋体" w:hAnsi="宋体" w:cs="宋体"/>
                <w:color w:val="000000"/>
                <w:sz w:val="21"/>
                <w:szCs w:val="21"/>
                <w:lang w:eastAsia="zh-CN"/>
              </w:rPr>
              <w:t>、</w:t>
            </w:r>
            <w:r>
              <w:rPr>
                <w:rFonts w:hint="eastAsia" w:ascii="宋体" w:hAnsi="宋体" w:cs="宋体"/>
                <w:color w:val="000000"/>
                <w:sz w:val="21"/>
                <w:szCs w:val="21"/>
              </w:rPr>
              <w:t>公司文化和企业发展</w:t>
            </w:r>
            <w:r>
              <w:rPr>
                <w:rFonts w:hint="eastAsia" w:ascii="宋体" w:hAnsi="宋体" w:cs="宋体"/>
                <w:color w:val="000000"/>
                <w:sz w:val="21"/>
                <w:szCs w:val="21"/>
                <w:lang w:val="en-US" w:eastAsia="zh-CN"/>
              </w:rPr>
              <w:t>等方面风险和机遇。并对风险和机遇进行了评估，制订了应对措施。</w:t>
            </w:r>
          </w:p>
        </w:tc>
        <w:tc>
          <w:tcPr>
            <w:tcW w:w="1585" w:type="dxa"/>
          </w:tcPr>
          <w:p>
            <w:pPr>
              <w:keepNext w:val="0"/>
              <w:keepLines w:val="0"/>
              <w:pageBreakBefore w:val="0"/>
              <w:widowControl w:val="0"/>
              <w:kinsoku/>
              <w:wordWrap/>
              <w:overflowPunct/>
              <w:topLinePunct w:val="0"/>
              <w:bidi w:val="0"/>
              <w:spacing w:after="0" w:line="240" w:lineRule="auto"/>
              <w:textAlignment w:val="auto"/>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pageBreakBefore w:val="0"/>
              <w:widowControl w:val="0"/>
              <w:kinsoku/>
              <w:wordWrap/>
              <w:overflowPunct/>
              <w:topLinePunct w:val="0"/>
              <w:bidi w:val="0"/>
              <w:spacing w:after="0" w:line="240" w:lineRule="auto"/>
              <w:textAlignment w:val="auto"/>
              <w:rPr>
                <w:color w:val="000000"/>
                <w:sz w:val="21"/>
                <w:szCs w:val="21"/>
              </w:rPr>
            </w:pPr>
            <w:r>
              <w:rPr>
                <w:rFonts w:hint="eastAsia"/>
                <w:color w:val="000000"/>
                <w:sz w:val="21"/>
                <w:szCs w:val="21"/>
              </w:rPr>
              <w:t>质量目标及其实现的策划</w:t>
            </w:r>
          </w:p>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p>
        </w:tc>
        <w:tc>
          <w:tcPr>
            <w:tcW w:w="9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color w:val="000000"/>
                <w:sz w:val="21"/>
                <w:szCs w:val="21"/>
              </w:rPr>
              <w:t>Q6.2 </w:t>
            </w:r>
          </w:p>
        </w:tc>
        <w:tc>
          <w:tcPr>
            <w:tcW w:w="10004" w:type="dxa"/>
            <w:vAlign w:val="center"/>
          </w:tcPr>
          <w:p>
            <w:pPr>
              <w:keepNext w:val="0"/>
              <w:keepLines w:val="0"/>
              <w:pageBreakBefore w:val="0"/>
              <w:widowControl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w:t>
            </w:r>
            <w:r>
              <w:rPr>
                <w:rFonts w:hint="eastAsia" w:asciiTheme="minorEastAsia" w:hAnsiTheme="minorEastAsia" w:eastAsiaTheme="minorEastAsia" w:cstheme="minorEastAsia"/>
                <w:sz w:val="21"/>
                <w:szCs w:val="21"/>
                <w:lang w:val="en-US" w:eastAsia="zh-CN"/>
              </w:rPr>
              <w:t>制订质量</w:t>
            </w:r>
            <w:r>
              <w:rPr>
                <w:rFonts w:hint="eastAsia" w:asciiTheme="minorEastAsia" w:hAnsiTheme="minorEastAsia" w:eastAsiaTheme="minorEastAsia" w:cstheme="minorEastAsia"/>
                <w:sz w:val="21"/>
                <w:szCs w:val="21"/>
              </w:rPr>
              <w:t>目标为：</w:t>
            </w:r>
          </w:p>
          <w:p>
            <w:pPr>
              <w:keepNext w:val="0"/>
              <w:keepLines w:val="0"/>
              <w:pageBreakBefore w:val="0"/>
              <w:widowControl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1、产品一次交付合格率≥98％</w:t>
            </w:r>
          </w:p>
          <w:p>
            <w:pPr>
              <w:keepNext w:val="0"/>
              <w:keepLines w:val="0"/>
              <w:pageBreakBefore w:val="0"/>
              <w:widowControl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2、顾客满意度≥95</w:t>
            </w:r>
            <w:r>
              <w:rPr>
                <w:rFonts w:hint="eastAsia" w:asciiTheme="minorEastAsia" w:hAnsiTheme="minorEastAsia" w:eastAsiaTheme="minorEastAsia" w:cstheme="minorEastAsia"/>
                <w:sz w:val="21"/>
                <w:szCs w:val="21"/>
                <w:lang w:val="en-US" w:eastAsia="zh-CN"/>
              </w:rPr>
              <w:t>分</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设计成功率≥90％</w:t>
            </w:r>
          </w:p>
          <w:p>
            <w:pPr>
              <w:keepNext w:val="0"/>
              <w:keepLines w:val="0"/>
              <w:pageBreakBefore w:val="0"/>
              <w:widowControl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公司的目标已分解到相关职能部门，规定了计算方法及统计周期，</w:t>
            </w:r>
            <w:r>
              <w:rPr>
                <w:rFonts w:hint="eastAsia" w:asciiTheme="minorEastAsia" w:hAnsiTheme="minorEastAsia" w:eastAsiaTheme="minorEastAsia" w:cstheme="minorEastAsia"/>
                <w:sz w:val="21"/>
                <w:szCs w:val="21"/>
                <w:lang w:val="en-US" w:eastAsia="zh-CN"/>
              </w:rPr>
              <w:t>查看</w:t>
            </w:r>
            <w:r>
              <w:rPr>
                <w:rFonts w:hint="eastAsia" w:asciiTheme="minorEastAsia" w:hAnsiTheme="minorEastAsia" w:eastAsiaTheme="minorEastAsia" w:cstheme="minorEastAsia"/>
                <w:sz w:val="21"/>
                <w:szCs w:val="21"/>
              </w:rPr>
              <w:t>202</w:t>
            </w:r>
            <w:r>
              <w:rPr>
                <w:rFonts w:hint="eastAsia" w:asciiTheme="minorEastAsia" w:hAnsiTheme="minorEastAsia" w:eastAsiaTheme="minorEastAsia" w:cstheme="minorEastAsia"/>
                <w:sz w:val="21"/>
                <w:szCs w:val="21"/>
                <w:lang w:val="en-US" w:eastAsia="zh-CN"/>
              </w:rPr>
              <w:t>2.10.8</w:t>
            </w:r>
            <w:r>
              <w:rPr>
                <w:rFonts w:hint="eastAsia" w:asciiTheme="minorEastAsia" w:hAnsiTheme="minorEastAsia" w:eastAsiaTheme="minorEastAsia" w:cstheme="minorEastAsia"/>
                <w:sz w:val="21"/>
                <w:szCs w:val="21"/>
              </w:rPr>
              <w:t>目标</w:t>
            </w:r>
            <w:r>
              <w:rPr>
                <w:rFonts w:hint="eastAsia" w:asciiTheme="minorEastAsia" w:hAnsiTheme="minorEastAsia" w:eastAsiaTheme="minorEastAsia" w:cstheme="minorEastAsia"/>
                <w:sz w:val="21"/>
                <w:szCs w:val="21"/>
                <w:lang w:val="en-US" w:eastAsia="zh-CN"/>
              </w:rPr>
              <w:t>完成情况统考，</w:t>
            </w:r>
            <w:r>
              <w:rPr>
                <w:rFonts w:hint="eastAsia" w:asciiTheme="minorEastAsia" w:hAnsiTheme="minorEastAsia" w:eastAsiaTheme="minorEastAsia" w:cstheme="minorEastAsia"/>
                <w:sz w:val="21"/>
                <w:szCs w:val="21"/>
              </w:rPr>
              <w:t>均符合指标要求。</w:t>
            </w:r>
          </w:p>
        </w:tc>
        <w:tc>
          <w:tcPr>
            <w:tcW w:w="1585" w:type="dxa"/>
          </w:tcPr>
          <w:p>
            <w:pPr>
              <w:keepNext w:val="0"/>
              <w:keepLines w:val="0"/>
              <w:pageBreakBefore w:val="0"/>
              <w:widowControl w:val="0"/>
              <w:kinsoku/>
              <w:wordWrap/>
              <w:overflowPunct/>
              <w:topLinePunct w:val="0"/>
              <w:bidi w:val="0"/>
              <w:spacing w:after="0" w:line="240" w:lineRule="auto"/>
              <w:textAlignment w:val="auto"/>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pageBreakBefore w:val="0"/>
              <w:widowControl w:val="0"/>
              <w:kinsoku/>
              <w:wordWrap/>
              <w:overflowPunct/>
              <w:topLinePunct w:val="0"/>
              <w:bidi w:val="0"/>
              <w:spacing w:after="0" w:line="240" w:lineRule="auto"/>
              <w:textAlignment w:val="auto"/>
              <w:rPr>
                <w:color w:val="000000"/>
                <w:sz w:val="21"/>
                <w:szCs w:val="21"/>
              </w:rPr>
            </w:pPr>
            <w:r>
              <w:rPr>
                <w:rFonts w:hint="eastAsia"/>
                <w:color w:val="000000"/>
                <w:sz w:val="21"/>
                <w:szCs w:val="21"/>
              </w:rPr>
              <w:t>变更的策划</w:t>
            </w:r>
          </w:p>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p>
        </w:tc>
        <w:tc>
          <w:tcPr>
            <w:tcW w:w="9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color w:val="000000"/>
                <w:sz w:val="21"/>
                <w:szCs w:val="21"/>
              </w:rPr>
              <w:t>Q6.3  </w:t>
            </w:r>
          </w:p>
        </w:tc>
        <w:tc>
          <w:tcPr>
            <w:tcW w:w="10004" w:type="dxa"/>
            <w:vAlign w:val="center"/>
          </w:tcPr>
          <w:p>
            <w:pPr>
              <w:keepNext w:val="0"/>
              <w:keepLines w:val="0"/>
              <w:pageBreakBefore w:val="0"/>
              <w:widowControl w:val="0"/>
              <w:kinsoku/>
              <w:wordWrap/>
              <w:overflowPunct/>
              <w:topLinePunct w:val="0"/>
              <w:bidi w:val="0"/>
              <w:spacing w:line="240" w:lineRule="auto"/>
              <w:jc w:val="both"/>
              <w:textAlignment w:val="auto"/>
              <w:rPr>
                <w:sz w:val="21"/>
                <w:szCs w:val="21"/>
              </w:rPr>
            </w:pPr>
            <w:r>
              <w:rPr>
                <w:rFonts w:hint="eastAsia"/>
                <w:sz w:val="21"/>
                <w:szCs w:val="21"/>
                <w:lang w:eastAsia="zh-CN"/>
              </w:rPr>
              <w:t>－－</w:t>
            </w:r>
            <w:r>
              <w:rPr>
                <w:rFonts w:hint="eastAsia"/>
                <w:sz w:val="21"/>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潜在的变更需求，并确保在必要时做出相应的变更。</w:t>
            </w:r>
          </w:p>
          <w:p>
            <w:pPr>
              <w:keepNext w:val="0"/>
              <w:keepLines w:val="0"/>
              <w:pageBreakBefore w:val="0"/>
              <w:widowControl w:val="0"/>
              <w:kinsoku/>
              <w:wordWrap/>
              <w:overflowPunct/>
              <w:topLinePunct w:val="0"/>
              <w:bidi w:val="0"/>
              <w:spacing w:line="240" w:lineRule="auto"/>
              <w:jc w:val="both"/>
              <w:textAlignment w:val="auto"/>
              <w:rPr>
                <w:sz w:val="21"/>
                <w:szCs w:val="21"/>
              </w:rPr>
            </w:pPr>
            <w:r>
              <w:rPr>
                <w:rFonts w:hint="eastAsia"/>
                <w:sz w:val="21"/>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keepNext w:val="0"/>
              <w:keepLines w:val="0"/>
              <w:pageBreakBefore w:val="0"/>
              <w:widowControl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rPr>
            </w:pPr>
            <w:r>
              <w:rPr>
                <w:rFonts w:hint="eastAsia"/>
                <w:sz w:val="21"/>
                <w:szCs w:val="21"/>
                <w:lang w:val="en-US" w:eastAsia="zh-CN"/>
              </w:rPr>
              <w:t>－－自上次审核</w:t>
            </w:r>
            <w:r>
              <w:rPr>
                <w:rFonts w:hint="eastAsia"/>
                <w:sz w:val="21"/>
                <w:szCs w:val="21"/>
              </w:rPr>
              <w:t>以来，变更</w:t>
            </w:r>
            <w:r>
              <w:rPr>
                <w:rFonts w:hint="eastAsia"/>
                <w:sz w:val="21"/>
                <w:szCs w:val="21"/>
                <w:lang w:val="en-US" w:eastAsia="zh-CN"/>
              </w:rPr>
              <w:t>了经营地址和员工人数，其他方面未发生变更</w:t>
            </w:r>
            <w:r>
              <w:rPr>
                <w:rFonts w:hint="eastAsia"/>
                <w:sz w:val="21"/>
                <w:szCs w:val="21"/>
              </w:rPr>
              <w:t>。</w:t>
            </w:r>
          </w:p>
        </w:tc>
        <w:tc>
          <w:tcPr>
            <w:tcW w:w="1585" w:type="dxa"/>
          </w:tcPr>
          <w:p>
            <w:pPr>
              <w:keepNext w:val="0"/>
              <w:keepLines w:val="0"/>
              <w:pageBreakBefore w:val="0"/>
              <w:widowControl w:val="0"/>
              <w:kinsoku/>
              <w:wordWrap/>
              <w:overflowPunct/>
              <w:topLinePunct w:val="0"/>
              <w:bidi w:val="0"/>
              <w:spacing w:after="0" w:line="240" w:lineRule="auto"/>
              <w:textAlignment w:val="auto"/>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rPr>
              <w:t>资源（总则）</w:t>
            </w:r>
          </w:p>
        </w:tc>
        <w:tc>
          <w:tcPr>
            <w:tcW w:w="960" w:type="dxa"/>
            <w:vAlign w:val="top"/>
          </w:tcPr>
          <w:p>
            <w:pPr>
              <w:keepNext w:val="0"/>
              <w:keepLines w:val="0"/>
              <w:pageBreakBefore w:val="0"/>
              <w:widowControl w:val="0"/>
              <w:kinsoku/>
              <w:wordWrap/>
              <w:overflowPunct/>
              <w:topLinePunct w:val="0"/>
              <w:bidi w:val="0"/>
              <w:spacing w:after="0" w:line="240" w:lineRule="auto"/>
              <w:textAlignment w:val="auto"/>
              <w:rPr>
                <w:rFonts w:hint="default" w:ascii="Times New Roman" w:hAnsi="Times New Roman" w:eastAsia="宋体" w:cs="Times New Roman"/>
                <w:kern w:val="2"/>
                <w:sz w:val="21"/>
                <w:szCs w:val="21"/>
                <w:lang w:val="en-US" w:eastAsia="zh-CN" w:bidi="ar-SA"/>
              </w:rPr>
            </w:pPr>
            <w:r>
              <w:rPr>
                <w:rFonts w:hint="eastAsia"/>
                <w:color w:val="000000"/>
                <w:sz w:val="21"/>
                <w:szCs w:val="21"/>
              </w:rPr>
              <w:t>Q7.1 </w:t>
            </w:r>
            <w:r>
              <w:rPr>
                <w:rFonts w:hint="eastAsia"/>
                <w:color w:val="000000"/>
                <w:sz w:val="21"/>
                <w:szCs w:val="21"/>
                <w:lang w:val="en-US" w:eastAsia="zh-CN"/>
              </w:rPr>
              <w:t>.1</w:t>
            </w:r>
          </w:p>
        </w:tc>
        <w:tc>
          <w:tcPr>
            <w:tcW w:w="10004" w:type="dxa"/>
            <w:vAlign w:val="center"/>
          </w:tcPr>
          <w:p>
            <w:pPr>
              <w:pStyle w:val="25"/>
              <w:keepNext w:val="0"/>
              <w:keepLines w:val="0"/>
              <w:pageBreakBefore w:val="0"/>
              <w:widowControl w:val="0"/>
              <w:numPr>
                <w:ilvl w:val="0"/>
                <w:numId w:val="0"/>
              </w:numPr>
              <w:kinsoku/>
              <w:wordWrap/>
              <w:overflowPunct/>
              <w:topLinePunct w:val="0"/>
              <w:bidi w:val="0"/>
              <w:spacing w:line="240" w:lineRule="auto"/>
              <w:ind w:leftChars="0"/>
              <w:jc w:val="both"/>
              <w:textAlignment w:val="auto"/>
              <w:rPr>
                <w:rFonts w:hint="eastAsia"/>
                <w:sz w:val="21"/>
                <w:szCs w:val="21"/>
              </w:rPr>
            </w:pPr>
            <w:r>
              <w:rPr>
                <w:rFonts w:hint="eastAsia"/>
                <w:sz w:val="21"/>
                <w:szCs w:val="21"/>
                <w:lang w:eastAsia="zh-CN"/>
              </w:rPr>
              <w:t>－－</w:t>
            </w:r>
            <w:r>
              <w:rPr>
                <w:rFonts w:hint="eastAsia"/>
                <w:sz w:val="21"/>
                <w:szCs w:val="21"/>
              </w:rPr>
              <w:t>企业目前主要工作人员</w:t>
            </w:r>
            <w:r>
              <w:rPr>
                <w:rFonts w:hint="eastAsia"/>
                <w:sz w:val="21"/>
                <w:szCs w:val="21"/>
                <w:lang w:val="en-US" w:eastAsia="zh-CN"/>
              </w:rPr>
              <w:t>25</w:t>
            </w:r>
            <w:r>
              <w:rPr>
                <w:rFonts w:hint="eastAsia"/>
                <w:sz w:val="21"/>
                <w:szCs w:val="21"/>
              </w:rPr>
              <w:t>名，包括管理</w:t>
            </w:r>
            <w:r>
              <w:rPr>
                <w:rFonts w:hint="eastAsia"/>
                <w:sz w:val="21"/>
                <w:szCs w:val="21"/>
                <w:lang w:val="en-US" w:eastAsia="zh-CN"/>
              </w:rPr>
              <w:t>人员</w:t>
            </w:r>
            <w:r>
              <w:rPr>
                <w:rFonts w:hint="eastAsia"/>
                <w:sz w:val="21"/>
                <w:szCs w:val="21"/>
              </w:rPr>
              <w:t>、</w:t>
            </w:r>
            <w:r>
              <w:rPr>
                <w:rFonts w:hint="eastAsia"/>
                <w:sz w:val="21"/>
                <w:szCs w:val="21"/>
                <w:lang w:val="en-US" w:eastAsia="zh-CN"/>
              </w:rPr>
              <w:t>业务</w:t>
            </w:r>
            <w:r>
              <w:rPr>
                <w:rFonts w:hint="eastAsia"/>
                <w:sz w:val="21"/>
                <w:szCs w:val="21"/>
              </w:rPr>
              <w:t>人员</w:t>
            </w:r>
            <w:r>
              <w:rPr>
                <w:rFonts w:hint="eastAsia"/>
                <w:sz w:val="21"/>
                <w:szCs w:val="21"/>
                <w:lang w:eastAsia="zh-CN"/>
              </w:rPr>
              <w:t>、</w:t>
            </w:r>
            <w:r>
              <w:rPr>
                <w:rFonts w:hint="eastAsia"/>
                <w:sz w:val="21"/>
                <w:szCs w:val="21"/>
                <w:lang w:val="en-US" w:eastAsia="zh-CN"/>
              </w:rPr>
              <w:t>技术人员、操作人员</w:t>
            </w:r>
            <w:r>
              <w:rPr>
                <w:rFonts w:hint="eastAsia"/>
                <w:sz w:val="21"/>
                <w:szCs w:val="21"/>
              </w:rPr>
              <w:t>等。可满足服务控制需要。</w:t>
            </w:r>
          </w:p>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建筑面积 500 平方米；办公室 1 个，生产车间1个</w:t>
            </w:r>
          </w:p>
          <w:p>
            <w:pPr>
              <w:pStyle w:val="25"/>
              <w:keepNext w:val="0"/>
              <w:keepLines w:val="0"/>
              <w:pageBreakBefore w:val="0"/>
              <w:widowControl w:val="0"/>
              <w:numPr>
                <w:ilvl w:val="0"/>
                <w:numId w:val="0"/>
              </w:numPr>
              <w:kinsoku/>
              <w:wordWrap/>
              <w:overflowPunct/>
              <w:topLinePunct w:val="0"/>
              <w:bidi w:val="0"/>
              <w:spacing w:line="240" w:lineRule="auto"/>
              <w:ind w:leftChars="0"/>
              <w:jc w:val="both"/>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生产设备有：  PXI控制器、可编程电源、矢量信号收发仪、示波器、耦合器</w:t>
            </w:r>
            <w:r>
              <w:rPr>
                <w:rFonts w:hint="eastAsia" w:cs="Times New Roman"/>
                <w:kern w:val="2"/>
                <w:sz w:val="21"/>
                <w:szCs w:val="21"/>
                <w:lang w:val="en-US" w:eastAsia="zh-CN" w:bidi="ar-SA"/>
              </w:rPr>
              <w:t>等。</w:t>
            </w:r>
            <w:r>
              <w:rPr>
                <w:rFonts w:hint="eastAsia" w:ascii="Times New Roman" w:hAnsi="Times New Roman" w:eastAsia="宋体" w:cs="Times New Roman"/>
                <w:kern w:val="2"/>
                <w:sz w:val="21"/>
                <w:szCs w:val="21"/>
                <w:lang w:val="en-US" w:eastAsia="zh-CN" w:bidi="ar-SA"/>
              </w:rPr>
              <w:t xml:space="preserve">  </w:t>
            </w:r>
          </w:p>
          <w:p>
            <w:pPr>
              <w:pStyle w:val="25"/>
              <w:keepNext w:val="0"/>
              <w:keepLines w:val="0"/>
              <w:pageBreakBefore w:val="0"/>
              <w:widowControl w:val="0"/>
              <w:numPr>
                <w:ilvl w:val="0"/>
                <w:numId w:val="0"/>
              </w:numPr>
              <w:kinsoku/>
              <w:wordWrap/>
              <w:overflowPunct/>
              <w:topLinePunct w:val="0"/>
              <w:bidi w:val="0"/>
              <w:spacing w:line="240" w:lineRule="auto"/>
              <w:ind w:leftChars="0"/>
              <w:jc w:val="both"/>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查公司现有资源，包括人力资源、基础设施（含办公场所、办公设备/设施、交通和通讯设施、消防安全设施等）、信息、技术、资金等配备生产设备有：办公设备：电话，电脑、打印机、复印机、扫描仪、空调、办公桌椅等办公和通讯等设备/设施。</w:t>
            </w:r>
          </w:p>
          <w:p>
            <w:pPr>
              <w:pStyle w:val="25"/>
              <w:keepNext w:val="0"/>
              <w:keepLines w:val="0"/>
              <w:pageBreakBefore w:val="0"/>
              <w:widowControl w:val="0"/>
              <w:numPr>
                <w:ilvl w:val="0"/>
                <w:numId w:val="0"/>
              </w:numPr>
              <w:kinsoku/>
              <w:wordWrap/>
              <w:overflowPunct/>
              <w:topLinePunct w:val="0"/>
              <w:bidi w:val="0"/>
              <w:spacing w:line="240" w:lineRule="auto"/>
              <w:ind w:leftChars="0"/>
              <w:jc w:val="both"/>
              <w:textAlignment w:val="auto"/>
              <w:rPr>
                <w:sz w:val="21"/>
                <w:szCs w:val="21"/>
              </w:rPr>
            </w:pPr>
            <w:r>
              <w:rPr>
                <w:rFonts w:hint="eastAsia"/>
                <w:sz w:val="21"/>
                <w:szCs w:val="21"/>
                <w:lang w:eastAsia="zh-CN"/>
              </w:rPr>
              <w:t>－－</w:t>
            </w:r>
            <w:r>
              <w:rPr>
                <w:rFonts w:hint="eastAsia"/>
                <w:sz w:val="21"/>
                <w:szCs w:val="21"/>
              </w:rPr>
              <w:t>外部资源，如供方、客户等相关方。</w:t>
            </w:r>
          </w:p>
          <w:p>
            <w:pPr>
              <w:keepNext w:val="0"/>
              <w:keepLines w:val="0"/>
              <w:pageBreakBefore w:val="0"/>
              <w:widowControl w:val="0"/>
              <w:kinsoku/>
              <w:wordWrap/>
              <w:overflowPunct/>
              <w:topLinePunct w:val="0"/>
              <w:bidi w:val="0"/>
              <w:spacing w:line="240" w:lineRule="auto"/>
              <w:textAlignment w:val="auto"/>
              <w:rPr>
                <w:rFonts w:hint="eastAsia"/>
                <w:sz w:val="21"/>
                <w:szCs w:val="21"/>
                <w:lang w:val="en-US" w:eastAsia="zh-CN"/>
              </w:rPr>
            </w:pPr>
            <w:r>
              <w:rPr>
                <w:rFonts w:hint="eastAsia"/>
                <w:sz w:val="21"/>
                <w:szCs w:val="21"/>
              </w:rPr>
              <w:t>目前企业所提供的内外部资源基本能满足管理体系运行的需要。</w:t>
            </w:r>
          </w:p>
        </w:tc>
        <w:tc>
          <w:tcPr>
            <w:tcW w:w="1585" w:type="dxa"/>
          </w:tcPr>
          <w:p>
            <w:pPr>
              <w:keepNext w:val="0"/>
              <w:keepLines w:val="0"/>
              <w:pageBreakBefore w:val="0"/>
              <w:widowControl w:val="0"/>
              <w:kinsoku/>
              <w:wordWrap/>
              <w:overflowPunct/>
              <w:topLinePunct w:val="0"/>
              <w:bidi w:val="0"/>
              <w:spacing w:after="0" w:line="240" w:lineRule="auto"/>
              <w:textAlignment w:val="auto"/>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rPr>
              <w:t>监视、测量、分析和评价</w:t>
            </w:r>
          </w:p>
        </w:tc>
        <w:tc>
          <w:tcPr>
            <w:tcW w:w="9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rPr>
              <w:t>Q9.1.1</w:t>
            </w:r>
          </w:p>
        </w:tc>
        <w:tc>
          <w:tcPr>
            <w:tcW w:w="10004" w:type="dxa"/>
            <w:vAlign w:val="center"/>
          </w:tcPr>
          <w:p>
            <w:pPr>
              <w:keepNext w:val="0"/>
              <w:keepLines w:val="0"/>
              <w:pageBreakBefore w:val="0"/>
              <w:widowControl w:val="0"/>
              <w:kinsoku/>
              <w:wordWrap/>
              <w:overflowPunct/>
              <w:topLinePunct w:val="0"/>
              <w:bidi w:val="0"/>
              <w:spacing w:line="240" w:lineRule="auto"/>
              <w:ind w:firstLine="420" w:firstLineChars="200"/>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公司制定《内部审核控制程序》 、《管理评审控制程序》为保证公司质量管理体系的有效运行，通过对管理绩效的监视与测量，确保体系运行的有效性。</w:t>
            </w:r>
          </w:p>
          <w:p>
            <w:pPr>
              <w:keepNext w:val="0"/>
              <w:keepLines w:val="0"/>
              <w:pageBreakBefore w:val="0"/>
              <w:widowControl w:val="0"/>
              <w:kinsoku/>
              <w:wordWrap/>
              <w:overflowPunct/>
              <w:topLinePunct w:val="0"/>
              <w:bidi w:val="0"/>
              <w:spacing w:before="25" w:after="25" w:line="240" w:lineRule="auto"/>
              <w:ind w:firstLine="460" w:firstLineChars="200"/>
              <w:textAlignment w:val="auto"/>
              <w:rPr>
                <w:bCs/>
                <w:spacing w:val="10"/>
                <w:sz w:val="21"/>
                <w:szCs w:val="21"/>
              </w:rPr>
            </w:pPr>
            <w:r>
              <w:rPr>
                <w:rFonts w:hint="eastAsia"/>
                <w:bCs/>
                <w:spacing w:val="10"/>
                <w:sz w:val="21"/>
                <w:szCs w:val="21"/>
                <w:lang w:eastAsia="zh-CN"/>
              </w:rPr>
              <w:t>行政部</w:t>
            </w:r>
            <w:r>
              <w:rPr>
                <w:rFonts w:hint="eastAsia"/>
                <w:bCs/>
                <w:spacing w:val="10"/>
                <w:sz w:val="21"/>
                <w:szCs w:val="21"/>
              </w:rPr>
              <w:t>提供了质量目标分解与实施表，规定了分解部门，分解值与采取的措施，考核频次为每季度。</w:t>
            </w:r>
          </w:p>
          <w:p>
            <w:pPr>
              <w:keepNext w:val="0"/>
              <w:keepLines w:val="0"/>
              <w:pageBreakBefore w:val="0"/>
              <w:widowControl w:val="0"/>
              <w:kinsoku/>
              <w:wordWrap/>
              <w:overflowPunct/>
              <w:topLinePunct w:val="0"/>
              <w:bidi w:val="0"/>
              <w:spacing w:before="25" w:after="25" w:line="240" w:lineRule="auto"/>
              <w:textAlignment w:val="auto"/>
              <w:rPr>
                <w:rFonts w:hint="eastAsia"/>
                <w:sz w:val="21"/>
                <w:szCs w:val="21"/>
              </w:rPr>
            </w:pPr>
            <w:r>
              <w:rPr>
                <w:rFonts w:hint="eastAsia"/>
                <w:bCs/>
                <w:spacing w:val="10"/>
                <w:sz w:val="21"/>
                <w:szCs w:val="21"/>
              </w:rPr>
              <w:t>目标均完成。</w:t>
            </w:r>
          </w:p>
        </w:tc>
        <w:tc>
          <w:tcPr>
            <w:tcW w:w="1585" w:type="dxa"/>
          </w:tcPr>
          <w:p>
            <w:pPr>
              <w:keepNext w:val="0"/>
              <w:keepLines w:val="0"/>
              <w:pageBreakBefore w:val="0"/>
              <w:widowControl w:val="0"/>
              <w:kinsoku/>
              <w:wordWrap/>
              <w:overflowPunct/>
              <w:topLinePunct w:val="0"/>
              <w:bidi w:val="0"/>
              <w:spacing w:after="0" w:line="240" w:lineRule="auto"/>
              <w:textAlignment w:val="auto"/>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rPr>
              <w:t>管理评审</w:t>
            </w:r>
          </w:p>
        </w:tc>
        <w:tc>
          <w:tcPr>
            <w:tcW w:w="9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rPr>
              <w:t>Q9.3</w:t>
            </w:r>
          </w:p>
        </w:tc>
        <w:tc>
          <w:tcPr>
            <w:tcW w:w="10004" w:type="dxa"/>
            <w:vAlign w:val="center"/>
          </w:tcPr>
          <w:p>
            <w:pPr>
              <w:pStyle w:val="25"/>
              <w:keepNext w:val="0"/>
              <w:keepLines w:val="0"/>
              <w:pageBreakBefore w:val="0"/>
              <w:widowControl w:val="0"/>
              <w:numPr>
                <w:ilvl w:val="0"/>
                <w:numId w:val="0"/>
              </w:numPr>
              <w:kinsoku/>
              <w:wordWrap/>
              <w:overflowPunct/>
              <w:topLinePunct w:val="0"/>
              <w:bidi w:val="0"/>
              <w:spacing w:line="240" w:lineRule="auto"/>
              <w:ind w:leftChars="0"/>
              <w:jc w:val="both"/>
              <w:textAlignment w:val="auto"/>
              <w:rPr>
                <w:sz w:val="21"/>
                <w:szCs w:val="21"/>
              </w:rPr>
            </w:pPr>
            <w:r>
              <w:rPr>
                <w:rFonts w:hint="eastAsia"/>
                <w:sz w:val="21"/>
                <w:szCs w:val="21"/>
                <w:lang w:eastAsia="zh-CN"/>
              </w:rPr>
              <w:t>－－</w:t>
            </w:r>
            <w:r>
              <w:rPr>
                <w:rFonts w:hint="eastAsia"/>
                <w:sz w:val="21"/>
                <w:szCs w:val="21"/>
              </w:rPr>
              <w:t>制定</w:t>
            </w:r>
            <w:r>
              <w:rPr>
                <w:rFonts w:hint="eastAsia"/>
                <w:sz w:val="21"/>
                <w:szCs w:val="21"/>
                <w:lang w:val="en-US" w:eastAsia="zh-CN"/>
              </w:rPr>
              <w:t>了</w:t>
            </w:r>
            <w:r>
              <w:rPr>
                <w:sz w:val="21"/>
                <w:szCs w:val="21"/>
              </w:rPr>
              <w:t xml:space="preserve"> </w:t>
            </w:r>
            <w:r>
              <w:rPr>
                <w:rFonts w:hint="eastAsia"/>
                <w:sz w:val="21"/>
                <w:szCs w:val="21"/>
              </w:rPr>
              <w:t>《管理评审控制程序》，</w:t>
            </w:r>
            <w:r>
              <w:rPr>
                <w:rFonts w:hint="eastAsia"/>
                <w:sz w:val="21"/>
                <w:szCs w:val="21"/>
              </w:rPr>
              <w:t>管理评审的时间、方法均有明确的要求，</w:t>
            </w:r>
            <w:r>
              <w:rPr>
                <w:rFonts w:hint="eastAsia"/>
                <w:sz w:val="21"/>
                <w:szCs w:val="21"/>
              </w:rPr>
              <w:t>文件规定每年至少进行一次管理评审。文件适用质量、环境、安全管理体系的评审工作，包括方针和目标的评审。</w:t>
            </w:r>
          </w:p>
          <w:p>
            <w:pPr>
              <w:pStyle w:val="25"/>
              <w:keepNext w:val="0"/>
              <w:keepLines w:val="0"/>
              <w:pageBreakBefore w:val="0"/>
              <w:widowControl w:val="0"/>
              <w:numPr>
                <w:ilvl w:val="0"/>
                <w:numId w:val="0"/>
              </w:numPr>
              <w:kinsoku/>
              <w:wordWrap/>
              <w:overflowPunct/>
              <w:topLinePunct w:val="0"/>
              <w:bidi w:val="0"/>
              <w:spacing w:line="240" w:lineRule="auto"/>
              <w:ind w:left="2" w:leftChars="0"/>
              <w:jc w:val="both"/>
              <w:textAlignment w:val="auto"/>
              <w:rPr>
                <w:color w:val="auto"/>
                <w:sz w:val="21"/>
                <w:szCs w:val="21"/>
              </w:rPr>
            </w:pPr>
            <w:r>
              <w:rPr>
                <w:rFonts w:hint="eastAsia"/>
                <w:sz w:val="21"/>
                <w:szCs w:val="21"/>
                <w:lang w:eastAsia="zh-CN"/>
              </w:rPr>
              <w:t>－－</w:t>
            </w:r>
            <w:r>
              <w:rPr>
                <w:rFonts w:hint="eastAsia"/>
                <w:color w:val="auto"/>
                <w:sz w:val="21"/>
                <w:szCs w:val="21"/>
              </w:rPr>
              <w:t>组织于202</w:t>
            </w:r>
            <w:r>
              <w:rPr>
                <w:rFonts w:hint="eastAsia"/>
                <w:color w:val="auto"/>
                <w:sz w:val="21"/>
                <w:szCs w:val="21"/>
                <w:lang w:val="en-US" w:eastAsia="zh-CN"/>
              </w:rPr>
              <w:t>2</w:t>
            </w:r>
            <w:r>
              <w:rPr>
                <w:rFonts w:hint="eastAsia"/>
                <w:color w:val="auto"/>
                <w:sz w:val="21"/>
                <w:szCs w:val="21"/>
              </w:rPr>
              <w:t>年</w:t>
            </w:r>
            <w:r>
              <w:rPr>
                <w:rFonts w:hint="eastAsia"/>
                <w:color w:val="auto"/>
                <w:sz w:val="21"/>
                <w:szCs w:val="21"/>
                <w:lang w:val="en-US" w:eastAsia="zh-CN"/>
              </w:rPr>
              <w:t>5</w:t>
            </w:r>
            <w:r>
              <w:rPr>
                <w:rFonts w:hint="eastAsia"/>
                <w:color w:val="auto"/>
                <w:sz w:val="21"/>
                <w:szCs w:val="21"/>
              </w:rPr>
              <w:t>月</w:t>
            </w:r>
            <w:r>
              <w:rPr>
                <w:rFonts w:hint="eastAsia"/>
                <w:color w:val="auto"/>
                <w:sz w:val="21"/>
                <w:szCs w:val="21"/>
                <w:lang w:val="en-US" w:eastAsia="zh-CN"/>
              </w:rPr>
              <w:t>30</w:t>
            </w:r>
            <w:r>
              <w:rPr>
                <w:rFonts w:hint="eastAsia"/>
                <w:color w:val="auto"/>
                <w:sz w:val="21"/>
                <w:szCs w:val="21"/>
              </w:rPr>
              <w:t>日由最高管理者主持，以会议的形式召开，各部门负责人参加。</w:t>
            </w:r>
          </w:p>
          <w:p>
            <w:pPr>
              <w:pStyle w:val="25"/>
              <w:keepNext w:val="0"/>
              <w:keepLines w:val="0"/>
              <w:pageBreakBefore w:val="0"/>
              <w:widowControl w:val="0"/>
              <w:numPr>
                <w:ilvl w:val="0"/>
                <w:numId w:val="1"/>
              </w:numPr>
              <w:kinsoku/>
              <w:wordWrap/>
              <w:overflowPunct/>
              <w:topLinePunct w:val="0"/>
              <w:bidi w:val="0"/>
              <w:spacing w:line="240" w:lineRule="auto"/>
              <w:ind w:left="2" w:firstLine="0" w:firstLineChars="0"/>
              <w:jc w:val="both"/>
              <w:textAlignment w:val="auto"/>
              <w:rPr>
                <w:sz w:val="21"/>
                <w:szCs w:val="21"/>
              </w:rPr>
            </w:pPr>
            <w:r>
              <w:rPr>
                <w:rFonts w:hint="eastAsia"/>
                <w:color w:val="auto"/>
                <w:sz w:val="21"/>
                <w:szCs w:val="21"/>
              </w:rPr>
              <w:t>抽查《管理评审计划》，计划内容</w:t>
            </w:r>
            <w:r>
              <w:rPr>
                <w:rFonts w:hint="eastAsia" w:ascii="宋体" w:hAnsi="宋体"/>
                <w:color w:val="auto"/>
                <w:sz w:val="21"/>
                <w:szCs w:val="21"/>
              </w:rPr>
              <w:t>包括</w:t>
            </w:r>
            <w:r>
              <w:rPr>
                <w:rFonts w:hint="eastAsia" w:ascii="宋体" w:hAnsi="宋体"/>
                <w:color w:val="000000"/>
                <w:sz w:val="21"/>
                <w:szCs w:val="21"/>
              </w:rPr>
              <w:t>管理评审目的、参加人员、各部门准备资料、评审会议要求等</w:t>
            </w:r>
            <w:r>
              <w:rPr>
                <w:rFonts w:hint="eastAsia"/>
                <w:sz w:val="21"/>
                <w:szCs w:val="21"/>
              </w:rPr>
              <w:t>。总经理批准。管理评审输入由管代和各部门收集并提供相关材料，内容基本涵盖：方针目标适宜性、质量目标的实现程度、体系策划和运行情况、可能的变更、内审情况、绩效达成、顾客满意情况及纠正措施完成情况，应对风险和机遇所采取措施的有效性以及改进的建议等等。</w:t>
            </w:r>
          </w:p>
          <w:p>
            <w:pPr>
              <w:pStyle w:val="25"/>
              <w:keepNext w:val="0"/>
              <w:keepLines w:val="0"/>
              <w:pageBreakBefore w:val="0"/>
              <w:widowControl w:val="0"/>
              <w:numPr>
                <w:ilvl w:val="0"/>
                <w:numId w:val="1"/>
              </w:numPr>
              <w:kinsoku/>
              <w:wordWrap/>
              <w:overflowPunct/>
              <w:topLinePunct w:val="0"/>
              <w:bidi w:val="0"/>
              <w:spacing w:line="240" w:lineRule="auto"/>
              <w:ind w:left="2" w:firstLine="0" w:firstLineChars="0"/>
              <w:jc w:val="both"/>
              <w:textAlignment w:val="auto"/>
              <w:rPr>
                <w:sz w:val="21"/>
                <w:szCs w:val="21"/>
              </w:rPr>
            </w:pPr>
            <w:r>
              <w:rPr>
                <w:rFonts w:hint="eastAsia"/>
                <w:sz w:val="21"/>
                <w:szCs w:val="21"/>
              </w:rPr>
              <w:t>查有《管理评审报告》，对评审情况进行了总结，各部门对各过程和活动进行了总结和讨论。</w:t>
            </w:r>
          </w:p>
          <w:p>
            <w:pPr>
              <w:keepNext w:val="0"/>
              <w:keepLines w:val="0"/>
              <w:pageBreakBefore w:val="0"/>
              <w:widowControl w:val="0"/>
              <w:kinsoku/>
              <w:wordWrap/>
              <w:overflowPunct/>
              <w:topLinePunct w:val="0"/>
              <w:bidi w:val="0"/>
              <w:spacing w:line="240" w:lineRule="auto"/>
              <w:jc w:val="both"/>
              <w:textAlignment w:val="auto"/>
              <w:rPr>
                <w:sz w:val="21"/>
                <w:szCs w:val="21"/>
              </w:rPr>
            </w:pPr>
            <w:r>
              <w:rPr>
                <w:rFonts w:hint="eastAsia"/>
                <w:sz w:val="21"/>
                <w:szCs w:val="21"/>
              </w:rPr>
              <w:t>评审结论：</w:t>
            </w:r>
            <w:r>
              <w:rPr>
                <w:rFonts w:hint="eastAsia" w:ascii="宋体" w:hAnsi="宋体" w:eastAsia="宋体" w:cs="宋体"/>
                <w:sz w:val="21"/>
                <w:szCs w:val="21"/>
              </w:rPr>
              <w:t>公司质量体系是适宜的和持续有效的</w:t>
            </w:r>
            <w:r>
              <w:rPr>
                <w:rFonts w:hint="eastAsia"/>
                <w:sz w:val="21"/>
                <w:szCs w:val="21"/>
              </w:rPr>
              <w:t>。</w:t>
            </w:r>
          </w:p>
          <w:p>
            <w:pPr>
              <w:pStyle w:val="3"/>
              <w:keepNext w:val="0"/>
              <w:keepLines w:val="0"/>
              <w:pageBreakBefore w:val="0"/>
              <w:widowControl w:val="0"/>
              <w:kinsoku/>
              <w:wordWrap/>
              <w:overflowPunct/>
              <w:topLinePunct w:val="0"/>
              <w:bidi w:val="0"/>
              <w:spacing w:line="240" w:lineRule="auto"/>
              <w:textAlignment w:val="auto"/>
              <w:rPr>
                <w:rFonts w:hint="default" w:eastAsia="宋体"/>
                <w:sz w:val="21"/>
                <w:szCs w:val="21"/>
                <w:lang w:val="en-US" w:eastAsia="zh-CN"/>
              </w:rPr>
            </w:pPr>
            <w:r>
              <w:rPr>
                <w:rFonts w:hint="eastAsia"/>
                <w:sz w:val="21"/>
                <w:szCs w:val="21"/>
              </w:rPr>
              <w:t>本年度提出改进措要求</w:t>
            </w:r>
            <w:r>
              <w:rPr>
                <w:rFonts w:hint="eastAsia"/>
                <w:sz w:val="21"/>
                <w:szCs w:val="21"/>
                <w:lang w:val="en-US" w:eastAsia="zh-CN"/>
              </w:rPr>
              <w:t>为：</w:t>
            </w:r>
            <w:r>
              <w:rPr>
                <w:rFonts w:hint="eastAsia" w:ascii="宋体" w:hAnsi="宋体" w:cs="宋体"/>
                <w:b/>
                <w:bCs/>
                <w:color w:val="000000"/>
                <w:kern w:val="0"/>
                <w:sz w:val="21"/>
                <w:szCs w:val="21"/>
                <w:lang w:val="en-US" w:eastAsia="zh-CN"/>
              </w:rPr>
              <w:t xml:space="preserve"> </w:t>
            </w:r>
            <w:r>
              <w:rPr>
                <w:rFonts w:hint="eastAsia" w:ascii="宋体" w:hAnsi="宋体" w:cs="宋体"/>
                <w:b w:val="0"/>
                <w:bCs w:val="0"/>
                <w:color w:val="000000"/>
                <w:kern w:val="0"/>
                <w:sz w:val="21"/>
                <w:szCs w:val="21"/>
                <w:lang w:val="en-US" w:eastAsia="zh-CN"/>
              </w:rPr>
              <w:t>公司将在适当时候对质量管理体系进行持续改进，以便于公司其他业务过程融合</w:t>
            </w:r>
            <w:r>
              <w:rPr>
                <w:rFonts w:hint="eastAsia"/>
                <w:sz w:val="21"/>
                <w:szCs w:val="21"/>
              </w:rPr>
              <w:t>。</w:t>
            </w:r>
            <w:r>
              <w:rPr>
                <w:rFonts w:hint="eastAsia"/>
                <w:sz w:val="21"/>
                <w:szCs w:val="21"/>
                <w:lang w:val="en-US" w:eastAsia="zh-CN"/>
              </w:rPr>
              <w:t>于2022.6.17对相关人员进行了培训。</w:t>
            </w:r>
          </w:p>
          <w:p>
            <w:pPr>
              <w:keepNext w:val="0"/>
              <w:keepLines w:val="0"/>
              <w:pageBreakBefore w:val="0"/>
              <w:widowControl w:val="0"/>
              <w:kinsoku/>
              <w:wordWrap/>
              <w:overflowPunct/>
              <w:topLinePunct w:val="0"/>
              <w:bidi w:val="0"/>
              <w:spacing w:before="25" w:after="25" w:line="240" w:lineRule="auto"/>
              <w:textAlignment w:val="auto"/>
              <w:rPr>
                <w:rFonts w:hint="eastAsia"/>
                <w:bCs/>
                <w:spacing w:val="10"/>
                <w:sz w:val="21"/>
                <w:szCs w:val="21"/>
              </w:rPr>
            </w:pPr>
            <w:r>
              <w:rPr>
                <w:rFonts w:hint="eastAsia"/>
                <w:sz w:val="21"/>
                <w:szCs w:val="21"/>
              </w:rPr>
              <w:t>管理评审基本符合要求。</w:t>
            </w:r>
          </w:p>
        </w:tc>
        <w:tc>
          <w:tcPr>
            <w:tcW w:w="1585" w:type="dxa"/>
          </w:tcPr>
          <w:p>
            <w:pPr>
              <w:keepNext w:val="0"/>
              <w:keepLines w:val="0"/>
              <w:pageBreakBefore w:val="0"/>
              <w:widowControl w:val="0"/>
              <w:kinsoku/>
              <w:wordWrap/>
              <w:overflowPunct/>
              <w:topLinePunct w:val="0"/>
              <w:bidi w:val="0"/>
              <w:spacing w:after="0" w:line="240" w:lineRule="auto"/>
              <w:textAlignment w:val="auto"/>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rPr>
              <w:t>改进</w:t>
            </w:r>
          </w:p>
        </w:tc>
        <w:tc>
          <w:tcPr>
            <w:tcW w:w="9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rPr>
              <w:t>Q10.1</w:t>
            </w:r>
          </w:p>
        </w:tc>
        <w:tc>
          <w:tcPr>
            <w:tcW w:w="10004" w:type="dxa"/>
            <w:vAlign w:val="center"/>
          </w:tcPr>
          <w:p>
            <w:pPr>
              <w:keepNext w:val="0"/>
              <w:keepLines w:val="0"/>
              <w:pageBreakBefore w:val="0"/>
              <w:widowControl w:val="0"/>
              <w:kinsoku/>
              <w:wordWrap/>
              <w:overflowPunct/>
              <w:topLinePunct w:val="0"/>
              <w:bidi w:val="0"/>
              <w:spacing w:line="240" w:lineRule="auto"/>
              <w:jc w:val="both"/>
              <w:textAlignment w:val="auto"/>
              <w:rPr>
                <w:sz w:val="21"/>
                <w:szCs w:val="21"/>
              </w:rPr>
            </w:pPr>
            <w:r>
              <w:rPr>
                <w:rFonts w:hint="eastAsia"/>
                <w:sz w:val="21"/>
                <w:szCs w:val="21"/>
              </w:rPr>
              <w:t>企业有通过建立管理方针、目标，改进服务质量、纠正、避免和减少非预期情况带来的不利影响，改进质量管理体系的绩效和有效性以及定期的内审、管理评审，合理化建议等，并通过质量管理目标建立与考核，明确了改进、努力的方向，建立一个自我完善、持续改进的机制和良好氛围。</w:t>
            </w:r>
          </w:p>
          <w:p>
            <w:pPr>
              <w:keepNext w:val="0"/>
              <w:keepLines w:val="0"/>
              <w:pageBreakBefore w:val="0"/>
              <w:widowControl w:val="0"/>
              <w:kinsoku/>
              <w:wordWrap/>
              <w:overflowPunct/>
              <w:topLinePunct w:val="0"/>
              <w:bidi w:val="0"/>
              <w:spacing w:line="240" w:lineRule="auto"/>
              <w:jc w:val="both"/>
              <w:textAlignment w:val="auto"/>
              <w:rPr>
                <w:sz w:val="21"/>
                <w:szCs w:val="21"/>
              </w:rPr>
            </w:pPr>
            <w:r>
              <w:rPr>
                <w:rFonts w:hint="eastAsia"/>
                <w:sz w:val="21"/>
                <w:szCs w:val="21"/>
              </w:rPr>
              <w:t>企业有充分识别和评价存在的改进机会，以持续满足顾客和相关方要求改进的方法措施包括：</w:t>
            </w:r>
          </w:p>
          <w:p>
            <w:pPr>
              <w:keepNext w:val="0"/>
              <w:keepLines w:val="0"/>
              <w:pageBreakBefore w:val="0"/>
              <w:widowControl w:val="0"/>
              <w:kinsoku/>
              <w:wordWrap/>
              <w:overflowPunct/>
              <w:topLinePunct w:val="0"/>
              <w:bidi w:val="0"/>
              <w:spacing w:line="240" w:lineRule="auto"/>
              <w:jc w:val="both"/>
              <w:textAlignment w:val="auto"/>
              <w:rPr>
                <w:sz w:val="21"/>
                <w:szCs w:val="21"/>
              </w:rPr>
            </w:pPr>
            <w:r>
              <w:rPr>
                <w:rFonts w:hint="eastAsia"/>
                <w:sz w:val="21"/>
                <w:szCs w:val="21"/>
              </w:rPr>
              <w:t>1）引导创新、修改和改进现有过程或实施新过程的突破项目；</w:t>
            </w:r>
          </w:p>
          <w:p>
            <w:pPr>
              <w:keepNext w:val="0"/>
              <w:keepLines w:val="0"/>
              <w:pageBreakBefore w:val="0"/>
              <w:widowControl w:val="0"/>
              <w:kinsoku/>
              <w:wordWrap/>
              <w:overflowPunct/>
              <w:topLinePunct w:val="0"/>
              <w:bidi w:val="0"/>
              <w:spacing w:line="240" w:lineRule="auto"/>
              <w:jc w:val="both"/>
              <w:textAlignment w:val="auto"/>
              <w:rPr>
                <w:sz w:val="21"/>
                <w:szCs w:val="21"/>
              </w:rPr>
            </w:pPr>
            <w:r>
              <w:rPr>
                <w:rFonts w:hint="eastAsia"/>
                <w:sz w:val="21"/>
                <w:szCs w:val="21"/>
              </w:rPr>
              <w:t>2）在现有过程中开展渐进、持续的改进活动；</w:t>
            </w:r>
          </w:p>
          <w:p>
            <w:pPr>
              <w:keepNext w:val="0"/>
              <w:keepLines w:val="0"/>
              <w:pageBreakBefore w:val="0"/>
              <w:widowControl w:val="0"/>
              <w:kinsoku/>
              <w:wordWrap/>
              <w:overflowPunct/>
              <w:topLinePunct w:val="0"/>
              <w:bidi w:val="0"/>
              <w:spacing w:before="25" w:after="25" w:line="240" w:lineRule="auto"/>
              <w:textAlignment w:val="auto"/>
              <w:rPr>
                <w:rFonts w:hint="eastAsia"/>
                <w:sz w:val="21"/>
                <w:szCs w:val="21"/>
              </w:rPr>
            </w:pPr>
            <w:r>
              <w:rPr>
                <w:rFonts w:hint="eastAsia"/>
                <w:sz w:val="21"/>
                <w:szCs w:val="21"/>
              </w:rPr>
              <w:t>3）纠正所存在不符合的原因等。</w:t>
            </w:r>
          </w:p>
        </w:tc>
        <w:tc>
          <w:tcPr>
            <w:tcW w:w="1585" w:type="dxa"/>
          </w:tcPr>
          <w:p>
            <w:pPr>
              <w:keepNext w:val="0"/>
              <w:keepLines w:val="0"/>
              <w:pageBreakBefore w:val="0"/>
              <w:widowControl w:val="0"/>
              <w:kinsoku/>
              <w:wordWrap/>
              <w:overflowPunct/>
              <w:topLinePunct w:val="0"/>
              <w:bidi w:val="0"/>
              <w:spacing w:after="0" w:line="240" w:lineRule="auto"/>
              <w:textAlignment w:val="auto"/>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rPr>
              <w:t xml:space="preserve"> 持续改进</w:t>
            </w:r>
          </w:p>
        </w:tc>
        <w:tc>
          <w:tcPr>
            <w:tcW w:w="960" w:type="dxa"/>
            <w:vAlign w:val="top"/>
          </w:tcPr>
          <w:p>
            <w:pPr>
              <w:keepNext w:val="0"/>
              <w:keepLines w:val="0"/>
              <w:pageBreakBefore w:val="0"/>
              <w:widowControl w:val="0"/>
              <w:kinsoku/>
              <w:wordWrap/>
              <w:overflowPunct/>
              <w:topLinePunct w:val="0"/>
              <w:bidi w:val="0"/>
              <w:spacing w:after="0"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rPr>
              <w:t>Q10.3</w:t>
            </w:r>
          </w:p>
        </w:tc>
        <w:tc>
          <w:tcPr>
            <w:tcW w:w="10004" w:type="dxa"/>
            <w:vAlign w:val="center"/>
          </w:tcPr>
          <w:p>
            <w:pPr>
              <w:keepNext w:val="0"/>
              <w:keepLines w:val="0"/>
              <w:pageBreakBefore w:val="0"/>
              <w:widowControl w:val="0"/>
              <w:kinsoku/>
              <w:wordWrap/>
              <w:overflowPunct/>
              <w:topLinePunct w:val="0"/>
              <w:bidi w:val="0"/>
              <w:spacing w:line="240" w:lineRule="auto"/>
              <w:jc w:val="both"/>
              <w:textAlignment w:val="auto"/>
              <w:rPr>
                <w:sz w:val="21"/>
                <w:szCs w:val="21"/>
              </w:rPr>
            </w:pPr>
            <w:r>
              <w:rPr>
                <w:rFonts w:hint="eastAsia"/>
                <w:sz w:val="21"/>
                <w:szCs w:val="21"/>
              </w:rPr>
              <w:t>企业策划的管理手册、程序文件等文件化信息要求要求实施、运行，并通过内审、管理评审、分析和评价、纠正和纠正措施、管理方针和管理目标等有关信息来源来实现对质量管理体系的持续改进，同时通过日常运行中发现的问题及时调整解决，以达到持续改进管理体系，以提升</w:t>
            </w:r>
            <w:r>
              <w:rPr>
                <w:rFonts w:hint="eastAsia"/>
                <w:sz w:val="21"/>
                <w:szCs w:val="21"/>
                <w:lang w:val="en-US" w:eastAsia="zh-CN"/>
              </w:rPr>
              <w:t>研发</w:t>
            </w:r>
            <w:r>
              <w:rPr>
                <w:rFonts w:hint="eastAsia"/>
                <w:sz w:val="21"/>
                <w:szCs w:val="21"/>
              </w:rPr>
              <w:t xml:space="preserve">质量、产品质量和组织环境绩效。 </w:t>
            </w:r>
          </w:p>
          <w:p>
            <w:pPr>
              <w:keepNext w:val="0"/>
              <w:keepLines w:val="0"/>
              <w:pageBreakBefore w:val="0"/>
              <w:widowControl w:val="0"/>
              <w:kinsoku/>
              <w:wordWrap/>
              <w:overflowPunct/>
              <w:topLinePunct w:val="0"/>
              <w:bidi w:val="0"/>
              <w:spacing w:before="25" w:after="25" w:line="240" w:lineRule="auto"/>
              <w:textAlignment w:val="auto"/>
              <w:rPr>
                <w:rFonts w:hint="eastAsia"/>
                <w:sz w:val="21"/>
                <w:szCs w:val="21"/>
              </w:rPr>
            </w:pPr>
            <w:r>
              <w:rPr>
                <w:rFonts w:hint="eastAsia"/>
                <w:sz w:val="21"/>
                <w:szCs w:val="21"/>
              </w:rPr>
              <w:t>日常监视和测量过程中发现的不合格、不符合要求相关责任部门及时制定相应的改进、纠正和纠正措施，以实现一体化管理体系的持续改进。</w:t>
            </w:r>
          </w:p>
        </w:tc>
        <w:tc>
          <w:tcPr>
            <w:tcW w:w="1585" w:type="dxa"/>
          </w:tcPr>
          <w:p>
            <w:pPr>
              <w:keepNext w:val="0"/>
              <w:keepLines w:val="0"/>
              <w:pageBreakBefore w:val="0"/>
              <w:widowControl w:val="0"/>
              <w:kinsoku/>
              <w:wordWrap/>
              <w:overflowPunct/>
              <w:topLinePunct w:val="0"/>
              <w:bidi w:val="0"/>
              <w:spacing w:after="0" w:line="240" w:lineRule="auto"/>
              <w:textAlignment w:val="auto"/>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pageBreakBefore w:val="0"/>
              <w:widowControl w:val="0"/>
              <w:kinsoku/>
              <w:wordWrap/>
              <w:overflowPunct/>
              <w:topLinePunct w:val="0"/>
              <w:bidi w:val="0"/>
              <w:spacing w:after="0" w:line="240" w:lineRule="auto"/>
              <w:textAlignment w:val="auto"/>
              <w:rPr>
                <w:rFonts w:hint="eastAsia"/>
                <w:sz w:val="21"/>
                <w:szCs w:val="21"/>
              </w:rPr>
            </w:pPr>
            <w:r>
              <w:rPr>
                <w:rFonts w:hint="eastAsia" w:ascii="Times New Roman" w:hAnsi="Times New Roman" w:eastAsia="宋体" w:cs="Times New Roman"/>
                <w:color w:val="000000" w:themeColor="text1"/>
                <w:sz w:val="21"/>
                <w:szCs w:val="21"/>
                <w:lang w:val="en-US" w:eastAsia="zh-CN"/>
              </w:rPr>
              <w:t>上次审核问题整改情况的确认；事故事件及起处理情况，质量监测情况、</w:t>
            </w:r>
            <w:r>
              <w:rPr>
                <w:rFonts w:hint="eastAsia" w:cs="Times New Roman"/>
                <w:color w:val="000000" w:themeColor="text1"/>
                <w:sz w:val="21"/>
                <w:szCs w:val="21"/>
                <w:lang w:val="en-US" w:eastAsia="zh-CN"/>
              </w:rPr>
              <w:t>证书</w:t>
            </w:r>
            <w:r>
              <w:rPr>
                <w:rFonts w:hint="eastAsia" w:ascii="Times New Roman" w:hAnsi="Times New Roman" w:eastAsia="宋体" w:cs="Times New Roman"/>
                <w:color w:val="000000" w:themeColor="text1"/>
                <w:sz w:val="21"/>
                <w:szCs w:val="21"/>
                <w:lang w:val="en-US" w:eastAsia="zh-CN"/>
              </w:rPr>
              <w:t>使用情况等</w:t>
            </w:r>
          </w:p>
        </w:tc>
        <w:tc>
          <w:tcPr>
            <w:tcW w:w="960" w:type="dxa"/>
            <w:vAlign w:val="top"/>
          </w:tcPr>
          <w:p>
            <w:pPr>
              <w:keepNext w:val="0"/>
              <w:keepLines w:val="0"/>
              <w:pageBreakBefore w:val="0"/>
              <w:widowControl w:val="0"/>
              <w:kinsoku/>
              <w:wordWrap/>
              <w:overflowPunct/>
              <w:topLinePunct w:val="0"/>
              <w:bidi w:val="0"/>
              <w:spacing w:after="0" w:line="240" w:lineRule="auto"/>
              <w:textAlignment w:val="auto"/>
              <w:rPr>
                <w:rFonts w:hint="eastAsia"/>
                <w:sz w:val="21"/>
                <w:szCs w:val="21"/>
              </w:rPr>
            </w:pPr>
          </w:p>
        </w:tc>
        <w:tc>
          <w:tcPr>
            <w:tcW w:w="10004" w:type="dxa"/>
            <w:vAlign w:val="center"/>
          </w:tcPr>
          <w:p>
            <w:pPr>
              <w:keepNext w:val="0"/>
              <w:keepLines w:val="0"/>
              <w:pageBreakBefore w:val="0"/>
              <w:widowControl w:val="0"/>
              <w:kinsoku/>
              <w:wordWrap/>
              <w:overflowPunct/>
              <w:topLinePunct w:val="0"/>
              <w:bidi w:val="0"/>
              <w:adjustRightInd w:val="0"/>
              <w:snapToGrid w:val="0"/>
              <w:spacing w:line="240" w:lineRule="auto"/>
              <w:jc w:val="both"/>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上年度不符合：</w:t>
            </w:r>
            <w:r>
              <w:rPr>
                <w:rFonts w:hint="eastAsia" w:asciiTheme="minorEastAsia" w:hAnsiTheme="minorEastAsia" w:eastAsiaTheme="minorEastAsia"/>
                <w:sz w:val="21"/>
                <w:szCs w:val="21"/>
                <w:lang w:val="en-US" w:eastAsia="zh-CN"/>
              </w:rPr>
              <w:t>上年度审核开具不符合Q10.2条款，进行了原因分析、实施了纠正及纠正措施，措施有效</w:t>
            </w:r>
            <w:r>
              <w:rPr>
                <w:rFonts w:hint="eastAsia" w:asciiTheme="minorEastAsia" w:hAnsiTheme="minorEastAsia" w:eastAsiaTheme="minorEastAsia"/>
                <w:sz w:val="21"/>
                <w:szCs w:val="21"/>
              </w:rPr>
              <w:t>。</w:t>
            </w:r>
          </w:p>
          <w:p>
            <w:pPr>
              <w:keepNext w:val="0"/>
              <w:keepLines w:val="0"/>
              <w:pageBreakBefore w:val="0"/>
              <w:widowControl w:val="0"/>
              <w:kinsoku/>
              <w:wordWrap/>
              <w:overflowPunct/>
              <w:topLinePunct w:val="0"/>
              <w:bidi w:val="0"/>
              <w:adjustRightInd w:val="0"/>
              <w:snapToGrid w:val="0"/>
              <w:spacing w:line="240" w:lineRule="auto"/>
              <w:jc w:val="both"/>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顾客投诉情况：未发生</w:t>
            </w:r>
          </w:p>
          <w:p>
            <w:pPr>
              <w:keepNext w:val="0"/>
              <w:keepLines w:val="0"/>
              <w:pageBreakBefore w:val="0"/>
              <w:widowControl w:val="0"/>
              <w:kinsoku/>
              <w:wordWrap/>
              <w:overflowPunct/>
              <w:topLinePunct w:val="0"/>
              <w:bidi w:val="0"/>
              <w:adjustRightInd w:val="0"/>
              <w:snapToGrid w:val="0"/>
              <w:spacing w:line="240" w:lineRule="auto"/>
              <w:jc w:val="both"/>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上级检查情况：未发生</w:t>
            </w:r>
          </w:p>
          <w:p>
            <w:pPr>
              <w:keepNext w:val="0"/>
              <w:keepLines w:val="0"/>
              <w:pageBreakBefore w:val="0"/>
              <w:widowControl w:val="0"/>
              <w:kinsoku/>
              <w:wordWrap/>
              <w:overflowPunct/>
              <w:topLinePunct w:val="0"/>
              <w:bidi w:val="0"/>
              <w:adjustRightInd w:val="0"/>
              <w:snapToGrid w:val="0"/>
              <w:spacing w:line="240" w:lineRule="auto"/>
              <w:jc w:val="both"/>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质量抽查：体系运行期间未进行抽查情况。</w:t>
            </w:r>
          </w:p>
          <w:p>
            <w:pPr>
              <w:keepNext w:val="0"/>
              <w:keepLines w:val="0"/>
              <w:pageBreakBefore w:val="0"/>
              <w:widowControl w:val="0"/>
              <w:kinsoku/>
              <w:wordWrap/>
              <w:overflowPunct/>
              <w:topLinePunct w:val="0"/>
              <w:bidi w:val="0"/>
              <w:adjustRightInd w:val="0"/>
              <w:snapToGrid w:val="0"/>
              <w:spacing w:line="240" w:lineRule="auto"/>
              <w:jc w:val="both"/>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在体系运行期间未发生重大质量事故。</w:t>
            </w:r>
          </w:p>
          <w:p>
            <w:pPr>
              <w:keepNext w:val="0"/>
              <w:keepLines w:val="0"/>
              <w:pageBreakBefore w:val="0"/>
              <w:widowControl w:val="0"/>
              <w:kinsoku/>
              <w:wordWrap/>
              <w:overflowPunct/>
              <w:topLinePunct w:val="0"/>
              <w:bidi w:val="0"/>
              <w:adjustRightInd w:val="0"/>
              <w:snapToGrid w:val="0"/>
              <w:spacing w:line="240" w:lineRule="auto"/>
              <w:jc w:val="both"/>
              <w:textAlignment w:val="auto"/>
              <w:rPr>
                <w:rFonts w:hint="eastAsia"/>
                <w:sz w:val="21"/>
                <w:szCs w:val="21"/>
              </w:rPr>
            </w:pPr>
            <w:r>
              <w:rPr>
                <w:rFonts w:hint="eastAsia" w:asciiTheme="minorEastAsia" w:hAnsiTheme="minorEastAsia" w:eastAsiaTheme="minorEastAsia"/>
                <w:sz w:val="21"/>
                <w:szCs w:val="21"/>
              </w:rPr>
              <w:t>认证证书、标志的使用情况：主要用于投标，未发现违规使用证据</w:t>
            </w:r>
          </w:p>
        </w:tc>
        <w:tc>
          <w:tcPr>
            <w:tcW w:w="1585" w:type="dxa"/>
          </w:tcPr>
          <w:p>
            <w:pPr>
              <w:keepNext w:val="0"/>
              <w:keepLines w:val="0"/>
              <w:pageBreakBefore w:val="0"/>
              <w:widowControl w:val="0"/>
              <w:kinsoku/>
              <w:wordWrap/>
              <w:overflowPunct/>
              <w:topLinePunct w:val="0"/>
              <w:bidi w:val="0"/>
              <w:spacing w:after="0" w:line="240" w:lineRule="auto"/>
              <w:textAlignment w:val="auto"/>
              <w:rPr>
                <w:rFonts w:hint="default"/>
                <w:sz w:val="21"/>
                <w:szCs w:val="21"/>
                <w:lang w:val="en-US" w:eastAsia="zh-CN"/>
              </w:rPr>
            </w:pPr>
            <w:r>
              <w:rPr>
                <w:rFonts w:hint="eastAsia"/>
                <w:sz w:val="21"/>
                <w:szCs w:val="21"/>
                <w:lang w:val="en-US" w:eastAsia="zh-CN"/>
              </w:rPr>
              <w:t>Y</w:t>
            </w:r>
          </w:p>
        </w:tc>
      </w:tr>
    </w:tbl>
    <w:p/>
    <w:p>
      <w:pPr>
        <w:pStyle w:val="7"/>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_x0000_s3073" o:spid="_x0000_s3073"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DE707B"/>
    <w:multiLevelType w:val="multilevel"/>
    <w:tmpl w:val="42DE707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A3MjkyOTIxN2VhMThkMTAxMDIyOTYxMWFmYzMzNTgifQ=="/>
  </w:docVars>
  <w:rsids>
    <w:rsidRoot w:val="000311D0"/>
    <w:rsid w:val="000311D0"/>
    <w:rsid w:val="001B4960"/>
    <w:rsid w:val="002B1CA2"/>
    <w:rsid w:val="002C43C1"/>
    <w:rsid w:val="003338E8"/>
    <w:rsid w:val="004307A3"/>
    <w:rsid w:val="004446CD"/>
    <w:rsid w:val="004B2D4B"/>
    <w:rsid w:val="004F3D6F"/>
    <w:rsid w:val="00592A78"/>
    <w:rsid w:val="005A26BB"/>
    <w:rsid w:val="00676C48"/>
    <w:rsid w:val="006B5B2E"/>
    <w:rsid w:val="006C7D16"/>
    <w:rsid w:val="007740F2"/>
    <w:rsid w:val="0083681D"/>
    <w:rsid w:val="008439DE"/>
    <w:rsid w:val="00843AA2"/>
    <w:rsid w:val="008E290C"/>
    <w:rsid w:val="009C31B6"/>
    <w:rsid w:val="00A213D1"/>
    <w:rsid w:val="00B30A12"/>
    <w:rsid w:val="00B87776"/>
    <w:rsid w:val="00C04A2B"/>
    <w:rsid w:val="00D35AAF"/>
    <w:rsid w:val="00D920A1"/>
    <w:rsid w:val="00F44BF9"/>
    <w:rsid w:val="00FB76ED"/>
    <w:rsid w:val="1B114159"/>
    <w:rsid w:val="282C25A6"/>
    <w:rsid w:val="2B0E0FD0"/>
    <w:rsid w:val="44022AC4"/>
    <w:rsid w:val="6C0E79A8"/>
    <w:rsid w:val="79A044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12">
    <w:name w:val="Default Paragraph Font"/>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line="240" w:lineRule="auto"/>
    </w:pPr>
    <w:rPr>
      <w:bCs/>
      <w:spacing w:val="10"/>
    </w:rPr>
  </w:style>
  <w:style w:type="paragraph" w:styleId="3">
    <w:name w:val="Body Text"/>
    <w:basedOn w:val="1"/>
    <w:link w:val="17"/>
    <w:qFormat/>
    <w:uiPriority w:val="0"/>
    <w:pPr>
      <w:spacing w:after="120" w:line="240" w:lineRule="auto"/>
    </w:pPr>
  </w:style>
  <w:style w:type="paragraph" w:styleId="4">
    <w:name w:val="toc 3"/>
    <w:basedOn w:val="1"/>
    <w:next w:val="1"/>
    <w:qFormat/>
    <w:uiPriority w:val="0"/>
    <w:pPr>
      <w:ind w:left="420"/>
      <w:jc w:val="left"/>
    </w:pPr>
    <w:rPr>
      <w:i/>
      <w:iCs/>
    </w:rPr>
  </w:style>
  <w:style w:type="paragraph" w:styleId="5">
    <w:name w:val="Plain Text"/>
    <w:basedOn w:val="1"/>
    <w:qFormat/>
    <w:uiPriority w:val="0"/>
    <w:rPr>
      <w:rFonts w:ascii="宋体"/>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3"/>
    <w:qFormat/>
    <w:uiPriority w:val="0"/>
    <w:pPr>
      <w:ind w:firstLine="420" w:firstLineChars="100"/>
    </w:pPr>
    <w:rPr>
      <w:szCs w:val="20"/>
    </w:rPr>
  </w:style>
  <w:style w:type="table" w:styleId="11">
    <w:name w:val="Table Grid"/>
    <w:basedOn w:val="10"/>
    <w:qFormat/>
    <w:uiPriority w:val="59"/>
    <w:pPr>
      <w:widowControl w:val="0"/>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8"/>
    <w:qFormat/>
    <w:uiPriority w:val="99"/>
    <w:rPr>
      <w:rFonts w:ascii="Times New Roman" w:hAnsi="Times New Roman" w:eastAsia="宋体" w:cs="Times New Roman"/>
      <w:sz w:val="18"/>
      <w:szCs w:val="18"/>
    </w:rPr>
  </w:style>
  <w:style w:type="character" w:customStyle="1" w:styleId="14">
    <w:name w:val="页脚 字符"/>
    <w:basedOn w:val="12"/>
    <w:link w:val="7"/>
    <w:qFormat/>
    <w:uiPriority w:val="99"/>
    <w:rPr>
      <w:rFonts w:ascii="Times New Roman" w:hAnsi="Times New Roman" w:eastAsia="宋体" w:cs="Times New Roman"/>
      <w:sz w:val="18"/>
      <w:szCs w:val="18"/>
    </w:rPr>
  </w:style>
  <w:style w:type="character" w:customStyle="1" w:styleId="15">
    <w:name w:val="批注框文本 字符"/>
    <w:basedOn w:val="12"/>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正文文本 字符"/>
    <w:basedOn w:val="12"/>
    <w:link w:val="3"/>
    <w:qFormat/>
    <w:uiPriority w:val="0"/>
    <w:rPr>
      <w:rFonts w:ascii="Times New Roman" w:hAnsi="Times New Roman" w:eastAsia="宋体" w:cs="Times New Roman"/>
      <w:kern w:val="2"/>
      <w:sz w:val="21"/>
    </w:rPr>
  </w:style>
  <w:style w:type="character" w:customStyle="1" w:styleId="18">
    <w:name w:val="纯文本 Char"/>
    <w:link w:val="19"/>
    <w:qFormat/>
    <w:uiPriority w:val="0"/>
    <w:rPr>
      <w:rFonts w:ascii="宋体" w:hAnsi="Courier New" w:cs="Courier New"/>
      <w:kern w:val="2"/>
      <w:sz w:val="21"/>
      <w:szCs w:val="21"/>
    </w:rPr>
  </w:style>
  <w:style w:type="paragraph" w:customStyle="1" w:styleId="19">
    <w:name w:val="纯文本1"/>
    <w:basedOn w:val="1"/>
    <w:link w:val="18"/>
    <w:qFormat/>
    <w:uiPriority w:val="0"/>
    <w:pPr>
      <w:spacing w:after="0" w:line="360" w:lineRule="auto"/>
    </w:pPr>
    <w:rPr>
      <w:rFonts w:ascii="宋体" w:hAnsi="Courier New" w:cs="Courier New" w:eastAsiaTheme="minorEastAsia"/>
      <w:szCs w:val="21"/>
    </w:rPr>
  </w:style>
  <w:style w:type="table" w:customStyle="1" w:styleId="20">
    <w:name w:val="网格型1"/>
    <w:basedOn w:val="10"/>
    <w:qFormat/>
    <w:uiPriority w:val="59"/>
    <w:pPr>
      <w:widowControl w:val="0"/>
      <w:spacing w:after="0" w:line="240" w:lineRule="auto"/>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网格型2"/>
    <w:basedOn w:val="10"/>
    <w:qFormat/>
    <w:uiPriority w:val="59"/>
    <w:pPr>
      <w:widowControl w:val="0"/>
      <w:spacing w:after="0" w:line="240" w:lineRule="auto"/>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No Spacing"/>
    <w:qFormat/>
    <w:uiPriority w:val="0"/>
    <w:pPr>
      <w:widowControl w:val="0"/>
      <w:adjustRightInd w:val="0"/>
      <w:spacing w:after="0" w:line="240" w:lineRule="auto"/>
      <w:jc w:val="both"/>
      <w:textAlignment w:val="baseline"/>
    </w:pPr>
    <w:rPr>
      <w:rFonts w:ascii="Times New Roman" w:hAnsi="Times New Roman" w:eastAsia="宋体" w:cs="Times New Roman"/>
      <w:kern w:val="2"/>
      <w:sz w:val="21"/>
      <w:szCs w:val="24"/>
      <w:lang w:val="en-US" w:eastAsia="zh-CN" w:bidi="ar-SA"/>
    </w:rPr>
  </w:style>
  <w:style w:type="table" w:customStyle="1" w:styleId="23">
    <w:name w:val="网格型3"/>
    <w:basedOn w:val="10"/>
    <w:qFormat/>
    <w:uiPriority w:val="59"/>
    <w:pPr>
      <w:widowControl w:val="0"/>
      <w:spacing w:after="0" w:line="240" w:lineRule="auto"/>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Plain Text"/>
    <w:basedOn w:val="1"/>
    <w:qFormat/>
    <w:uiPriority w:val="0"/>
    <w:rPr>
      <w:rFonts w:ascii="宋体" w:hAnsi="Courier New"/>
      <w:szCs w:val="21"/>
    </w:rPr>
  </w:style>
  <w:style w:type="paragraph"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F23992-C69C-4D19-9B86-B646420D975D}">
  <ds:schemaRefs/>
</ds:datastoreItem>
</file>

<file path=docProps/app.xml><?xml version="1.0" encoding="utf-8"?>
<Properties xmlns="http://schemas.openxmlformats.org/officeDocument/2006/extended-properties" xmlns:vt="http://schemas.openxmlformats.org/officeDocument/2006/docPropsVTypes">
  <Template>Normal</Template>
  <Pages>8</Pages>
  <Words>4246</Words>
  <Characters>4411</Characters>
  <Lines>208</Lines>
  <Paragraphs>58</Paragraphs>
  <TotalTime>0</TotalTime>
  <ScaleCrop>false</ScaleCrop>
  <LinksUpToDate>false</LinksUpToDate>
  <CharactersWithSpaces>4463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apple</cp:lastModifiedBy>
  <dcterms:modified xsi:type="dcterms:W3CDTF">2022-12-22T09:05:16Z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2052-11.1.0.12763</vt:lpwstr>
  </property>
</Properties>
</file>