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top"/>
          </w:tcPr>
          <w:p>
            <w:pPr>
              <w:spacing w:before="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抽样计划</w:t>
            </w:r>
          </w:p>
        </w:tc>
        <w:tc>
          <w:tcPr>
            <w:tcW w:w="1058" w:type="dxa"/>
            <w:vMerge w:val="restart"/>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w:t>
            </w:r>
          </w:p>
        </w:tc>
        <w:tc>
          <w:tcPr>
            <w:tcW w:w="10596"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eastAsia="zh-CN"/>
              </w:rPr>
              <w:t>行政部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highlight w:val="none"/>
              </w:rPr>
              <w:t>主管领导：</w:t>
            </w:r>
            <w:r>
              <w:rPr>
                <w:rFonts w:hint="eastAsia" w:asciiTheme="minorEastAsia" w:hAnsiTheme="minorEastAsia" w:eastAsiaTheme="minorEastAsia" w:cstheme="minorEastAsia"/>
                <w:sz w:val="24"/>
                <w:szCs w:val="24"/>
                <w:highlight w:val="none"/>
                <w:lang w:val="en-US" w:eastAsia="zh-CN"/>
              </w:rPr>
              <w:t>尹雪</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p>
        </w:tc>
        <w:tc>
          <w:tcPr>
            <w:tcW w:w="895" w:type="dxa"/>
            <w:vMerge w:val="restart"/>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top"/>
          </w:tcPr>
          <w:p>
            <w:pPr>
              <w:jc w:val="both"/>
              <w:rPr>
                <w:rFonts w:hint="eastAsia" w:asciiTheme="minorEastAsia" w:hAnsiTheme="minorEastAsia" w:eastAsiaTheme="minorEastAsia" w:cstheme="minorEastAsia"/>
                <w:sz w:val="24"/>
                <w:szCs w:val="24"/>
              </w:rPr>
            </w:pPr>
          </w:p>
        </w:tc>
        <w:tc>
          <w:tcPr>
            <w:tcW w:w="1058" w:type="dxa"/>
            <w:vMerge w:val="continue"/>
            <w:vAlign w:val="top"/>
          </w:tcPr>
          <w:p>
            <w:pPr>
              <w:jc w:val="both"/>
              <w:rPr>
                <w:rFonts w:hint="eastAsia" w:asciiTheme="minorEastAsia" w:hAnsiTheme="minorEastAsia" w:eastAsiaTheme="minorEastAsia" w:cstheme="minorEastAsia"/>
                <w:sz w:val="24"/>
                <w:szCs w:val="24"/>
              </w:rPr>
            </w:pPr>
          </w:p>
        </w:tc>
        <w:tc>
          <w:tcPr>
            <w:tcW w:w="10596"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审核员：</w:t>
            </w:r>
            <w:r>
              <w:rPr>
                <w:rFonts w:hint="eastAsia" w:asciiTheme="minorEastAsia" w:hAnsiTheme="minorEastAsia" w:eastAsiaTheme="minorEastAsia" w:cstheme="minorEastAsia"/>
                <w:sz w:val="24"/>
                <w:szCs w:val="24"/>
                <w:lang w:val="en-US" w:eastAsia="zh-CN"/>
              </w:rPr>
              <w:t xml:space="preserve"> 赵丽萍          </w:t>
            </w:r>
            <w:r>
              <w:rPr>
                <w:rFonts w:hint="eastAsia" w:asciiTheme="minorEastAsia" w:hAnsiTheme="minorEastAsia" w:eastAsiaTheme="minorEastAsia" w:cstheme="minorEastAsia"/>
                <w:sz w:val="24"/>
                <w:szCs w:val="24"/>
              </w:rPr>
              <w:t>审核时间：202</w:t>
            </w:r>
            <w:r>
              <w:rPr>
                <w:rFonts w:hint="eastAsia" w:asciiTheme="minorEastAsia" w:hAnsiTheme="minorEastAsia" w:eastAsiaTheme="minorEastAsia" w:cstheme="minorEastAsia"/>
                <w:sz w:val="24"/>
                <w:szCs w:val="24"/>
                <w:lang w:val="en-US" w:eastAsia="zh-CN"/>
              </w:rPr>
              <w:t>2.12.14</w:t>
            </w:r>
          </w:p>
        </w:tc>
        <w:tc>
          <w:tcPr>
            <w:tcW w:w="895" w:type="dxa"/>
            <w:vMerge w:val="continue"/>
            <w:vAlign w:val="top"/>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top"/>
          </w:tcPr>
          <w:p>
            <w:pPr>
              <w:jc w:val="both"/>
              <w:rPr>
                <w:rFonts w:hint="eastAsia" w:asciiTheme="minorEastAsia" w:hAnsiTheme="minorEastAsia" w:eastAsiaTheme="minorEastAsia" w:cstheme="minorEastAsia"/>
                <w:sz w:val="24"/>
                <w:szCs w:val="24"/>
              </w:rPr>
            </w:pPr>
          </w:p>
        </w:tc>
        <w:tc>
          <w:tcPr>
            <w:tcW w:w="1058" w:type="dxa"/>
            <w:vMerge w:val="continue"/>
            <w:vAlign w:val="top"/>
          </w:tcPr>
          <w:p>
            <w:pPr>
              <w:jc w:val="both"/>
              <w:rPr>
                <w:rFonts w:hint="eastAsia" w:asciiTheme="minorEastAsia" w:hAnsiTheme="minorEastAsia" w:eastAsiaTheme="minorEastAsia" w:cstheme="minorEastAsia"/>
                <w:sz w:val="24"/>
                <w:szCs w:val="24"/>
              </w:rPr>
            </w:pPr>
          </w:p>
        </w:tc>
        <w:tc>
          <w:tcPr>
            <w:tcW w:w="10596" w:type="dxa"/>
            <w:vAlign w:val="top"/>
          </w:tcPr>
          <w:p>
            <w:pPr>
              <w:spacing w:line="3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审核条款：</w:t>
            </w:r>
          </w:p>
          <w:p>
            <w:pPr>
              <w:tabs>
                <w:tab w:val="left" w:pos="709"/>
              </w:tabs>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Q:5.3/</w:t>
            </w:r>
            <w:r>
              <w:rPr>
                <w:rFonts w:hint="eastAsia" w:asciiTheme="minorEastAsia" w:hAnsiTheme="minorEastAsia" w:eastAsiaTheme="minorEastAsia" w:cstheme="minorEastAsia"/>
                <w:sz w:val="24"/>
                <w:szCs w:val="24"/>
                <w:lang w:val="en-US" w:eastAsia="zh-CN"/>
              </w:rPr>
              <w:t>6.2/</w:t>
            </w: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10.2</w:t>
            </w:r>
          </w:p>
        </w:tc>
        <w:tc>
          <w:tcPr>
            <w:tcW w:w="895" w:type="dxa"/>
            <w:vMerge w:val="continue"/>
            <w:vAlign w:val="top"/>
          </w:tcPr>
          <w:p>
            <w:pPr>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组织的岗位、职责权限</w:t>
            </w:r>
          </w:p>
        </w:tc>
        <w:tc>
          <w:tcPr>
            <w:tcW w:w="1058"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5.3</w:t>
            </w:r>
          </w:p>
          <w:p>
            <w:pPr>
              <w:pStyle w:val="2"/>
              <w:jc w:val="both"/>
              <w:rPr>
                <w:rFonts w:hint="eastAsia" w:asciiTheme="minorEastAsia" w:hAnsiTheme="minorEastAsia" w:eastAsiaTheme="minorEastAsia" w:cstheme="minorEastAsia"/>
                <w:sz w:val="24"/>
                <w:szCs w:val="24"/>
              </w:rPr>
            </w:pPr>
          </w:p>
        </w:tc>
        <w:tc>
          <w:tcPr>
            <w:tcW w:w="10596" w:type="dxa"/>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通过远程视频与负责人沟通了解到,本部门主要职责：</w:t>
            </w: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a）负责质量管理体系文件</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及对外来文件有效性进行识别；</w:t>
            </w: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负责记录的归口管理、建档工作；</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协助总经理落实管理职责，并协助实施管理评审；</w:t>
            </w: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d）负责人员配备及人员培训的实施和管理；</w:t>
            </w:r>
          </w:p>
          <w:p>
            <w:pPr>
              <w:keepNext w:val="0"/>
              <w:keepLines w:val="0"/>
              <w:pageBreakBefore w:val="0"/>
              <w:kinsoku/>
              <w:wordWrap/>
              <w:overflowPunct/>
              <w:topLinePunct w:val="0"/>
              <w:autoSpaceDE/>
              <w:autoSpaceDN/>
              <w:bidi w:val="0"/>
              <w:adjustRightInd/>
              <w:snapToGrid/>
              <w:spacing w:line="240" w:lineRule="auto"/>
              <w:ind w:firstLine="480"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e）协助管理者代表组织内部质量审核；</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f)</w:t>
            </w:r>
            <w:r>
              <w:rPr>
                <w:rFonts w:hint="eastAsia" w:asciiTheme="minorEastAsia" w:hAnsiTheme="minorEastAsia" w:eastAsiaTheme="minorEastAsia" w:cstheme="minorEastAsia"/>
                <w:color w:val="auto"/>
                <w:sz w:val="24"/>
                <w:szCs w:val="24"/>
              </w:rPr>
              <w:t>按规定对本部门的管理目标完成进行分析评价，改进和提高，确保年度目标达成</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720"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询问</w:t>
            </w:r>
            <w:r>
              <w:rPr>
                <w:rFonts w:hint="eastAsia" w:asciiTheme="minorEastAsia" w:hAnsiTheme="minorEastAsia" w:eastAsiaTheme="minorEastAsia" w:cstheme="minorEastAsia"/>
                <w:sz w:val="24"/>
                <w:szCs w:val="24"/>
                <w:lang w:eastAsia="zh-CN"/>
              </w:rPr>
              <w:t>行政部</w:t>
            </w:r>
            <w:r>
              <w:rPr>
                <w:rFonts w:hint="eastAsia" w:asciiTheme="minorEastAsia" w:hAnsiTheme="minorEastAsia" w:eastAsiaTheme="minorEastAsia" w:cstheme="minorEastAsia"/>
                <w:sz w:val="24"/>
                <w:szCs w:val="24"/>
              </w:rPr>
              <w:t>负责人</w:t>
            </w:r>
            <w:r>
              <w:rPr>
                <w:rFonts w:hint="eastAsia" w:asciiTheme="minorEastAsia" w:hAnsiTheme="minorEastAsia" w:eastAsiaTheme="minorEastAsia" w:cstheme="minorEastAsia"/>
                <w:sz w:val="24"/>
                <w:szCs w:val="24"/>
                <w:lang w:eastAsia="zh-CN"/>
              </w:rPr>
              <w:t>尹雪</w:t>
            </w:r>
            <w:r>
              <w:rPr>
                <w:rFonts w:hint="eastAsia" w:asciiTheme="minorEastAsia" w:hAnsiTheme="minorEastAsia" w:eastAsiaTheme="minorEastAsia" w:cstheme="minorEastAsia"/>
                <w:sz w:val="24"/>
                <w:szCs w:val="24"/>
              </w:rPr>
              <w:t>，职责明确。</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管理目标及其实现的策划</w:t>
            </w:r>
          </w:p>
          <w:p>
            <w:pPr>
              <w:spacing w:line="280" w:lineRule="exact"/>
              <w:jc w:val="both"/>
              <w:rPr>
                <w:rFonts w:hint="eastAsia" w:asciiTheme="minorEastAsia" w:hAnsiTheme="minorEastAsia" w:eastAsiaTheme="minorEastAsia" w:cstheme="minorEastAsia"/>
                <w:kern w:val="2"/>
                <w:sz w:val="24"/>
                <w:szCs w:val="24"/>
                <w:lang w:val="en-US" w:eastAsia="zh-CN" w:bidi="ar-SA"/>
              </w:rPr>
            </w:pPr>
          </w:p>
        </w:tc>
        <w:tc>
          <w:tcPr>
            <w:tcW w:w="1058" w:type="dxa"/>
            <w:vAlign w:val="top"/>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6.2</w:t>
            </w:r>
          </w:p>
          <w:p>
            <w:pPr>
              <w:spacing w:line="280" w:lineRule="exact"/>
              <w:jc w:val="both"/>
              <w:rPr>
                <w:rFonts w:hint="eastAsia" w:asciiTheme="minorEastAsia" w:hAnsiTheme="minorEastAsia" w:eastAsiaTheme="minorEastAsia" w:cstheme="minorEastAsia"/>
                <w:kern w:val="2"/>
                <w:sz w:val="24"/>
                <w:szCs w:val="24"/>
                <w:lang w:val="en-US" w:eastAsia="zh-CN" w:bidi="ar-SA"/>
              </w:rPr>
            </w:pPr>
          </w:p>
        </w:tc>
        <w:tc>
          <w:tcPr>
            <w:tcW w:w="10596"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w:t>
            </w:r>
            <w:r>
              <w:rPr>
                <w:rFonts w:hint="eastAsia" w:asciiTheme="minorEastAsia" w:hAnsiTheme="minorEastAsia" w:eastAsiaTheme="minorEastAsia" w:cstheme="minorEastAsia"/>
                <w:sz w:val="24"/>
                <w:szCs w:val="24"/>
                <w:lang w:val="en-US" w:eastAsia="zh-CN"/>
              </w:rPr>
              <w:t>分解到本部门目标为：</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员工培训率</w:t>
            </w:r>
            <w:r>
              <w:rPr>
                <w:rFonts w:hint="eastAsia" w:asciiTheme="minorEastAsia" w:hAnsiTheme="minorEastAsia" w:eastAsiaTheme="minorEastAsia" w:cstheme="minorEastAsia"/>
                <w:sz w:val="24"/>
                <w:szCs w:val="24"/>
              </w:rPr>
              <w:t>100％（计算方法：培训数/计划数×100%）</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规定了计算方法及统计周期</w:t>
            </w:r>
          </w:p>
          <w:p>
            <w:pPr>
              <w:jc w:val="both"/>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lang w:val="en-US" w:eastAsia="zh-CN"/>
              </w:rPr>
              <w:t>----查看</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2.10.8</w:t>
            </w:r>
            <w:r>
              <w:rPr>
                <w:rFonts w:hint="eastAsia" w:asciiTheme="minorEastAsia" w:hAnsiTheme="minorEastAsia" w:eastAsiaTheme="minorEastAsia" w:cstheme="minorEastAsia"/>
                <w:sz w:val="24"/>
                <w:szCs w:val="24"/>
              </w:rPr>
              <w:t>目标</w:t>
            </w:r>
            <w:r>
              <w:rPr>
                <w:rFonts w:hint="eastAsia" w:asciiTheme="minorEastAsia" w:hAnsiTheme="minorEastAsia" w:eastAsiaTheme="minorEastAsia" w:cstheme="minorEastAsia"/>
                <w:sz w:val="24"/>
                <w:szCs w:val="24"/>
                <w:lang w:val="en-US" w:eastAsia="zh-CN"/>
              </w:rPr>
              <w:t>完成情况统考，</w:t>
            </w:r>
            <w:r>
              <w:rPr>
                <w:rFonts w:hint="eastAsia" w:asciiTheme="minorEastAsia" w:hAnsiTheme="minorEastAsia" w:eastAsiaTheme="minorEastAsia" w:cstheme="minorEastAsia"/>
                <w:sz w:val="24"/>
                <w:szCs w:val="24"/>
              </w:rPr>
              <w:t>均符合指标要求。，符合要求。</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内部审核</w:t>
            </w:r>
          </w:p>
        </w:tc>
        <w:tc>
          <w:tcPr>
            <w:tcW w:w="1058"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Q</w:t>
            </w:r>
            <w:r>
              <w:rPr>
                <w:rFonts w:hint="eastAsia" w:asciiTheme="minorEastAsia" w:hAnsiTheme="minorEastAsia" w:eastAsiaTheme="minorEastAsia" w:cstheme="minorEastAsia"/>
                <w:sz w:val="24"/>
                <w:szCs w:val="24"/>
              </w:rPr>
              <w:t>9.2</w:t>
            </w:r>
          </w:p>
          <w:p>
            <w:pPr>
              <w:jc w:val="both"/>
              <w:rPr>
                <w:rFonts w:hint="eastAsia" w:asciiTheme="minorEastAsia" w:hAnsiTheme="minorEastAsia" w:eastAsiaTheme="minorEastAsia" w:cstheme="minorEastAsia"/>
                <w:sz w:val="24"/>
                <w:szCs w:val="24"/>
              </w:rPr>
            </w:pPr>
          </w:p>
        </w:tc>
        <w:tc>
          <w:tcPr>
            <w:tcW w:w="10596" w:type="dxa"/>
            <w:vAlign w:val="top"/>
          </w:tcPr>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公司制定《内部审核控制程序》，对内部审核方案策划规定：</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1.频次：内审每年至少进行一次，两次内部审核的时间间隔不超过12个月。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2.方法：集中式按部门审核。</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3.职责：体系负责人组织内部审核活动。</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4.策划要求：范围、准则、工作分配等。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5.报告：体系负责人在内部审核结束及纠正措施完成后应向总经理报告审核结果。</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6.提供了《年度内审方案》，计划内容有：目的、范围、审核准则，审核时间</w:t>
            </w: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sz w:val="24"/>
                <w:szCs w:val="24"/>
              </w:rPr>
              <w:t>。</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查阅内部审核有关记录</w:t>
            </w:r>
          </w:p>
          <w:p>
            <w:pPr>
              <w:numPr>
                <w:ilvl w:val="0"/>
                <w:numId w:val="1"/>
              </w:numPr>
              <w:jc w:val="both"/>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szCs w:val="24"/>
              </w:rPr>
              <w:t>提供了审核组名单：</w:t>
            </w:r>
            <w:r>
              <w:rPr>
                <w:rFonts w:hint="eastAsia" w:asciiTheme="minorEastAsia" w:hAnsiTheme="minorEastAsia" w:eastAsiaTheme="minorEastAsia" w:cstheme="minorEastAsia"/>
                <w:bCs/>
                <w:color w:val="000000"/>
                <w:sz w:val="24"/>
                <w:szCs w:val="24"/>
              </w:rPr>
              <w:t>组长：</w:t>
            </w:r>
            <w:r>
              <w:rPr>
                <w:rFonts w:hint="eastAsia" w:asciiTheme="minorEastAsia" w:hAnsiTheme="minorEastAsia" w:eastAsiaTheme="minorEastAsia" w:cstheme="minorEastAsia"/>
                <w:sz w:val="24"/>
                <w:szCs w:val="24"/>
              </w:rPr>
              <w:t>李翔</w:t>
            </w:r>
            <w:r>
              <w:rPr>
                <w:rFonts w:hint="eastAsia" w:asciiTheme="minorEastAsia" w:hAnsiTheme="minorEastAsia" w:eastAsiaTheme="minorEastAsia" w:cstheme="minorEastAsia"/>
                <w:bCs/>
                <w:color w:val="000000"/>
                <w:sz w:val="24"/>
                <w:szCs w:val="24"/>
              </w:rPr>
              <w:t xml:space="preserve"> 组员：</w:t>
            </w:r>
            <w:r>
              <w:rPr>
                <w:rFonts w:hint="eastAsia" w:asciiTheme="minorEastAsia" w:hAnsiTheme="minorEastAsia" w:eastAsiaTheme="minorEastAsia" w:cstheme="minorEastAsia"/>
                <w:bCs/>
                <w:color w:val="000000"/>
                <w:sz w:val="24"/>
                <w:szCs w:val="24"/>
                <w:lang w:eastAsia="zh-CN"/>
              </w:rPr>
              <w:t>尹雪</w:t>
            </w:r>
            <w:r>
              <w:rPr>
                <w:rFonts w:hint="eastAsia" w:asciiTheme="minorEastAsia" w:hAnsiTheme="minorEastAsia" w:eastAsiaTheme="minorEastAsia" w:cstheme="minorEastAsia"/>
                <w:bCs/>
                <w:color w:val="000000"/>
                <w:sz w:val="24"/>
                <w:szCs w:val="24"/>
                <w:lang w:val="en-US" w:eastAsia="zh-CN"/>
              </w:rPr>
              <w:t xml:space="preserve"> </w:t>
            </w:r>
            <w:r>
              <w:rPr>
                <w:rFonts w:hint="eastAsia" w:asciiTheme="minorEastAsia" w:hAnsiTheme="minorEastAsia" w:eastAsiaTheme="minorEastAsia" w:cstheme="minorEastAsia"/>
                <w:sz w:val="24"/>
                <w:szCs w:val="24"/>
              </w:rPr>
              <w:t xml:space="preserve">审核时间：  </w:t>
            </w:r>
            <w:r>
              <w:rPr>
                <w:rFonts w:hint="eastAsia" w:asciiTheme="minorEastAsia" w:hAnsiTheme="minorEastAsia" w:eastAsiaTheme="minorEastAsia" w:cstheme="minorEastAsia"/>
                <w:color w:val="000000"/>
                <w:sz w:val="24"/>
                <w:szCs w:val="24"/>
                <w:lang w:eastAsia="zh-CN"/>
              </w:rPr>
              <w:t>2022年</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日</w:t>
            </w:r>
          </w:p>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3.审核范围：管理手册覆盖的所有部门及过程；</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4.审核准则：</w:t>
            </w:r>
            <w:r>
              <w:rPr>
                <w:rFonts w:hint="eastAsia" w:asciiTheme="minorEastAsia" w:hAnsiTheme="minorEastAsia" w:eastAsiaTheme="minorEastAsia" w:cstheme="minorEastAsia"/>
                <w:color w:val="auto"/>
                <w:sz w:val="24"/>
                <w:szCs w:val="24"/>
                <w:lang w:eastAsia="zh-CN"/>
              </w:rPr>
              <w:t>GB/T19001-2016</w:t>
            </w:r>
            <w:r>
              <w:rPr>
                <w:rFonts w:hint="eastAsia" w:asciiTheme="minorEastAsia" w:hAnsiTheme="minorEastAsia" w:eastAsiaTheme="minorEastAsia" w:cstheme="minorEastAsia"/>
                <w:sz w:val="24"/>
                <w:szCs w:val="24"/>
              </w:rPr>
              <w:t>《质量管理体系 要求》、公司管理体系文件、适用的法律法规、产品标准等。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5.提供了《内审首次会议签到表》，参加人有各部门负责人等。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6.提供了《内审检查表》，经查阅对照，受审核部门涉及条款与公司管理体系职责分配相一致。</w:t>
            </w:r>
          </w:p>
          <w:p>
            <w:pPr>
              <w:pStyle w:val="2"/>
              <w:ind w:firstLine="240" w:firstLineChars="1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审核计划安排合理，审核记录基本满足要求。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提供了《内审不符合报告》，不符合GB/T19001-2016 标准</w:t>
            </w:r>
            <w:r>
              <w:rPr>
                <w:rFonts w:hint="eastAsia" w:asciiTheme="minorEastAsia" w:hAnsiTheme="minorEastAsia" w:eastAsiaTheme="minorEastAsia" w:cstheme="minorEastAsia"/>
                <w:sz w:val="24"/>
                <w:szCs w:val="24"/>
                <w:lang w:val="en-US" w:eastAsia="zh-CN"/>
              </w:rPr>
              <w:t>7.5.3</w:t>
            </w:r>
            <w:r>
              <w:rPr>
                <w:rFonts w:hint="eastAsia" w:asciiTheme="minorEastAsia" w:hAnsiTheme="minorEastAsia" w:eastAsiaTheme="minorEastAsia" w:cstheme="minorEastAsia"/>
                <w:sz w:val="24"/>
                <w:szCs w:val="24"/>
              </w:rPr>
              <w:t>条款。</w:t>
            </w:r>
          </w:p>
          <w:p>
            <w:pPr>
              <w:spacing w:line="36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管理体系要求。</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审核结论：体系运行基本符合标准的要求，且运行有效。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各</w:t>
            </w:r>
            <w:r>
              <w:rPr>
                <w:rFonts w:hint="eastAsia" w:asciiTheme="minorEastAsia" w:hAnsiTheme="minorEastAsia" w:eastAsiaTheme="minorEastAsia" w:cstheme="minorEastAsia"/>
                <w:sz w:val="24"/>
                <w:szCs w:val="24"/>
              </w:rPr>
              <w:t>审员没有审核自己部门工作，具有独立性。</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不符合和纠正措施</w:t>
            </w:r>
          </w:p>
          <w:p>
            <w:pPr>
              <w:jc w:val="both"/>
              <w:rPr>
                <w:rFonts w:hint="eastAsia" w:asciiTheme="minorEastAsia" w:hAnsiTheme="minorEastAsia" w:eastAsiaTheme="minorEastAsia" w:cstheme="minorEastAsia"/>
                <w:sz w:val="24"/>
                <w:szCs w:val="24"/>
              </w:rPr>
            </w:pPr>
          </w:p>
        </w:tc>
        <w:tc>
          <w:tcPr>
            <w:tcW w:w="1058" w:type="dxa"/>
            <w:vAlign w:val="top"/>
          </w:tcPr>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Q</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p>
          <w:p>
            <w:pPr>
              <w:jc w:val="both"/>
              <w:rPr>
                <w:rFonts w:hint="eastAsia" w:asciiTheme="minorEastAsia" w:hAnsiTheme="minorEastAsia" w:eastAsiaTheme="minorEastAsia" w:cstheme="minorEastAsia"/>
                <w:sz w:val="24"/>
                <w:szCs w:val="24"/>
              </w:rPr>
            </w:pPr>
          </w:p>
        </w:tc>
        <w:tc>
          <w:tcPr>
            <w:tcW w:w="10596" w:type="dxa"/>
            <w:vAlign w:val="top"/>
          </w:tcPr>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企业通过过程的监视和测量、绩效考核、内审、管理评审等方式和机制，确保质量管理制度有效执行。</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企业经过策划，采用对产品的监视和测量，对不合格品控制等来证实产品的符合性。</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企业制定《不合格输出控制程序》、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纠正措施控制程序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highlight w:val="none"/>
              </w:rPr>
              <w:t>预防措施控制程序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rPr>
              <w:t>等，通过分析实际存在的或潜在的不符合的原因，制定纠正和预防措施，并验证其效果，以防止不符合的发生／再发生，实现持续改进绩效的目的。</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对内审中的不符合，采取了纠正措施，并验证；</w:t>
            </w:r>
          </w:p>
          <w:p>
            <w:pPr>
              <w:pStyle w:val="2"/>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查持续改进：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a. 通过管理体系运行，管理方针、目标的实施，内审、管理评审进行持续改进；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b. 通过数据分析、纠正、预防措施实施达到持续改进；</w:t>
            </w:r>
          </w:p>
          <w:p>
            <w:pPr>
              <w:pStyle w:val="2"/>
              <w:ind w:firstLine="480" w:firstLineChars="200"/>
              <w:jc w:val="both"/>
              <w:rPr>
                <w:rFonts w:hint="eastAsia" w:asciiTheme="minorEastAsia" w:hAnsiTheme="minorEastAsia" w:eastAsiaTheme="minorEastAsia" w:cstheme="minorEastAsia"/>
                <w:bCs w:val="0"/>
                <w:spacing w:val="0"/>
                <w:sz w:val="24"/>
                <w:szCs w:val="24"/>
              </w:rPr>
            </w:pPr>
            <w:r>
              <w:rPr>
                <w:rFonts w:hint="eastAsia" w:asciiTheme="minorEastAsia" w:hAnsiTheme="minorEastAsia" w:eastAsiaTheme="minorEastAsia" w:cstheme="minorEastAsia"/>
                <w:bCs w:val="0"/>
                <w:spacing w:val="0"/>
                <w:sz w:val="24"/>
                <w:szCs w:val="24"/>
              </w:rPr>
              <w:t>c. 通过顾客满意度调查，改进、提高产品质量，满足顾客需求，达到持续改进的目的。</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管理评审提出改进措施正在实施过程中。</w:t>
            </w:r>
          </w:p>
        </w:tc>
        <w:tc>
          <w:tcPr>
            <w:tcW w:w="895" w:type="dxa"/>
            <w:vAlign w:val="top"/>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Y</w:t>
            </w: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jkyOTIxN2VhMThkMTAxMDIyOTYxMWFmYzMzNTgifQ=="/>
  </w:docVars>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B84719"/>
    <w:rsid w:val="02D4328D"/>
    <w:rsid w:val="02FA6253"/>
    <w:rsid w:val="032C3757"/>
    <w:rsid w:val="036603D4"/>
    <w:rsid w:val="04617F72"/>
    <w:rsid w:val="04C04927"/>
    <w:rsid w:val="05B11F2A"/>
    <w:rsid w:val="06400A4B"/>
    <w:rsid w:val="06E01EC3"/>
    <w:rsid w:val="09535250"/>
    <w:rsid w:val="09806D23"/>
    <w:rsid w:val="0A675819"/>
    <w:rsid w:val="0B156FC6"/>
    <w:rsid w:val="0B256D46"/>
    <w:rsid w:val="0BB74A17"/>
    <w:rsid w:val="0C1821A1"/>
    <w:rsid w:val="0C5F0639"/>
    <w:rsid w:val="0C85106D"/>
    <w:rsid w:val="0D66233C"/>
    <w:rsid w:val="0D8B1FB3"/>
    <w:rsid w:val="0F6442AD"/>
    <w:rsid w:val="0FDA7F53"/>
    <w:rsid w:val="108219C2"/>
    <w:rsid w:val="11705116"/>
    <w:rsid w:val="11AF5C86"/>
    <w:rsid w:val="129F0DF1"/>
    <w:rsid w:val="15110FDA"/>
    <w:rsid w:val="155A19C5"/>
    <w:rsid w:val="16766361"/>
    <w:rsid w:val="167B53BD"/>
    <w:rsid w:val="17B20018"/>
    <w:rsid w:val="18DB38B5"/>
    <w:rsid w:val="1A120A39"/>
    <w:rsid w:val="1AD215C7"/>
    <w:rsid w:val="1B2C7B1C"/>
    <w:rsid w:val="1E295883"/>
    <w:rsid w:val="1E565434"/>
    <w:rsid w:val="1E90527F"/>
    <w:rsid w:val="21747ECE"/>
    <w:rsid w:val="22017E7F"/>
    <w:rsid w:val="224458A6"/>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3E2EF6"/>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58C33B1"/>
    <w:rsid w:val="45AF65DF"/>
    <w:rsid w:val="47477F1D"/>
    <w:rsid w:val="49BA3960"/>
    <w:rsid w:val="4A0F666A"/>
    <w:rsid w:val="4B4B30DE"/>
    <w:rsid w:val="4BFA763C"/>
    <w:rsid w:val="4C4035AE"/>
    <w:rsid w:val="4DDC3C53"/>
    <w:rsid w:val="4F7F35B2"/>
    <w:rsid w:val="52B24340"/>
    <w:rsid w:val="5473149B"/>
    <w:rsid w:val="56311B54"/>
    <w:rsid w:val="590762DE"/>
    <w:rsid w:val="5949498B"/>
    <w:rsid w:val="59A85EFD"/>
    <w:rsid w:val="5B3C6463"/>
    <w:rsid w:val="5D86343D"/>
    <w:rsid w:val="5D8D11F8"/>
    <w:rsid w:val="5DB12D14"/>
    <w:rsid w:val="5EA12B9A"/>
    <w:rsid w:val="5EC928D3"/>
    <w:rsid w:val="5F425B73"/>
    <w:rsid w:val="5F5C48D2"/>
    <w:rsid w:val="5F6A1134"/>
    <w:rsid w:val="5F8E191F"/>
    <w:rsid w:val="5F9641CD"/>
    <w:rsid w:val="628D2779"/>
    <w:rsid w:val="628D5F03"/>
    <w:rsid w:val="6440778C"/>
    <w:rsid w:val="64F43146"/>
    <w:rsid w:val="654A5507"/>
    <w:rsid w:val="658C10F3"/>
    <w:rsid w:val="65CA104B"/>
    <w:rsid w:val="65F63C8C"/>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4DB2C5F"/>
    <w:rsid w:val="76C24502"/>
    <w:rsid w:val="772935FE"/>
    <w:rsid w:val="78681A0A"/>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Plain Text"/>
    <w:basedOn w:val="1"/>
    <w:qFormat/>
    <w:uiPriority w:val="0"/>
    <w:rPr>
      <w:rFonts w:ascii="宋体" w:hAnsi="Courier New"/>
      <w:sz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8"/>
    <w:unhideWhenUsed/>
    <w:qFormat/>
    <w:uiPriority w:val="99"/>
    <w:pPr>
      <w:spacing w:after="120"/>
      <w:ind w:left="420" w:leftChars="200"/>
    </w:pPr>
    <w:rPr>
      <w:sz w:val="16"/>
      <w:szCs w:val="16"/>
    </w:rPr>
  </w:style>
  <w:style w:type="paragraph" w:styleId="13">
    <w:name w:val="Body Text First Indent"/>
    <w:basedOn w:val="5"/>
    <w:qFormat/>
    <w:uiPriority w:val="0"/>
    <w:pPr>
      <w:ind w:firstLine="420" w:firstLineChars="100"/>
    </w:pPr>
    <w:rPr>
      <w:szCs w:val="20"/>
    </w:rPr>
  </w:style>
  <w:style w:type="paragraph" w:styleId="14">
    <w:name w:val="Body Text First Indent 2"/>
    <w:basedOn w:val="6"/>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1"/>
    <w:qFormat/>
    <w:uiPriority w:val="99"/>
    <w:rPr>
      <w:rFonts w:ascii="Times New Roman" w:hAnsi="Times New Roman" w:eastAsia="宋体" w:cs="Times New Roman"/>
      <w:sz w:val="18"/>
      <w:szCs w:val="18"/>
    </w:rPr>
  </w:style>
  <w:style w:type="character" w:customStyle="1" w:styleId="19">
    <w:name w:val="页脚 字符"/>
    <w:basedOn w:val="17"/>
    <w:link w:val="10"/>
    <w:qFormat/>
    <w:uiPriority w:val="99"/>
    <w:rPr>
      <w:rFonts w:ascii="Times New Roman" w:hAnsi="Times New Roman" w:eastAsia="宋体" w:cs="Times New Roman"/>
      <w:sz w:val="18"/>
      <w:szCs w:val="18"/>
    </w:rPr>
  </w:style>
  <w:style w:type="character" w:customStyle="1" w:styleId="20">
    <w:name w:val="批注框文本 字符"/>
    <w:basedOn w:val="17"/>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qFormat/>
    <w:uiPriority w:val="0"/>
  </w:style>
  <w:style w:type="character" w:customStyle="1" w:styleId="24">
    <w:name w:val="标题 1 字符"/>
    <w:basedOn w:val="17"/>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qFormat/>
    <w:uiPriority w:val="0"/>
    <w:pPr>
      <w:spacing w:line="240" w:lineRule="atLeast"/>
      <w:ind w:left="420" w:firstLine="420"/>
      <w:jc w:val="left"/>
    </w:pPr>
    <w:rPr>
      <w:szCs w:val="24"/>
    </w:rPr>
  </w:style>
  <w:style w:type="character" w:customStyle="1" w:styleId="28">
    <w:name w:val="正文文本缩进 3 字符"/>
    <w:basedOn w:val="17"/>
    <w:link w:val="12"/>
    <w:semiHidden/>
    <w:qFormat/>
    <w:uiPriority w:val="99"/>
    <w:rPr>
      <w:kern w:val="2"/>
      <w:sz w:val="16"/>
      <w:szCs w:val="16"/>
    </w:rPr>
  </w:style>
  <w:style w:type="character" w:customStyle="1" w:styleId="29">
    <w:name w:val="font11"/>
    <w:basedOn w:val="17"/>
    <w:qFormat/>
    <w:uiPriority w:val="0"/>
    <w:rPr>
      <w:rFonts w:hint="eastAsia" w:ascii="宋体" w:hAnsi="宋体" w:eastAsia="宋体" w:cs="宋体"/>
      <w:color w:val="000000"/>
      <w:sz w:val="20"/>
      <w:szCs w:val="20"/>
      <w:u w:val="none"/>
    </w:rPr>
  </w:style>
  <w:style w:type="character" w:customStyle="1" w:styleId="30">
    <w:name w:val="font01"/>
    <w:basedOn w:val="17"/>
    <w:qFormat/>
    <w:uiPriority w:val="0"/>
    <w:rPr>
      <w:rFonts w:ascii="Arial" w:hAnsi="Arial" w:cs="Arial"/>
      <w:color w:val="000000"/>
      <w:sz w:val="20"/>
      <w:szCs w:val="20"/>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3</Pages>
  <Words>1341</Words>
  <Characters>1456</Characters>
  <Lines>55</Lines>
  <Paragraphs>15</Paragraphs>
  <TotalTime>11</TotalTime>
  <ScaleCrop>false</ScaleCrop>
  <LinksUpToDate>false</LinksUpToDate>
  <CharactersWithSpaces>1493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2022-12-14T02:07:31Z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7D4B013820AC4FC2900CB2E128A06AF9</vt:lpwstr>
  </property>
</Properties>
</file>